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9FC934" w14:textId="77777777" w:rsidR="006B1509" w:rsidRDefault="006B1509" w:rsidP="00305B4B">
      <w:pPr>
        <w:pStyle w:val="BodyText"/>
        <w:ind w:right="3"/>
      </w:pPr>
    </w:p>
    <w:p w14:paraId="07F6A53D" w14:textId="43EC4598" w:rsidR="006B1509" w:rsidRDefault="00B05512" w:rsidP="00305B4B">
      <w:pPr>
        <w:pStyle w:val="BodyText"/>
        <w:ind w:right="3"/>
        <w:rPr>
          <w:rFonts w:ascii="Times New Roman" w:hAnsi="Times New Roman" w:cs="Times New Roman"/>
        </w:rPr>
      </w:pPr>
      <w:r>
        <w:rPr>
          <w:noProof/>
        </w:rPr>
        <w:drawing>
          <wp:inline distT="0" distB="0" distL="0" distR="0" wp14:anchorId="0E267295" wp14:editId="762468F9">
            <wp:extent cx="5705476" cy="561975"/>
            <wp:effectExtent l="0" t="0" r="9525" b="9525"/>
            <wp:docPr id="73064671" name="Picture 73064671" descr="SVA Consulting logo. Karen Milward Consulting logo and Australian national Universi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64671" name="Picture 73064671" descr="SVA Consulting logo. Karen Milward Consulting logo and Australian national University Logo"/>
                    <pic:cNvPicPr/>
                  </pic:nvPicPr>
                  <pic:blipFill>
                    <a:blip r:embed="rId11">
                      <a:extLst>
                        <a:ext uri="{28A0092B-C50C-407E-A947-70E740481C1C}">
                          <a14:useLocalDpi xmlns:a14="http://schemas.microsoft.com/office/drawing/2010/main" val="0"/>
                        </a:ext>
                      </a:extLst>
                    </a:blip>
                    <a:stretch>
                      <a:fillRect/>
                    </a:stretch>
                  </pic:blipFill>
                  <pic:spPr>
                    <a:xfrm>
                      <a:off x="0" y="0"/>
                      <a:ext cx="5705476" cy="561975"/>
                    </a:xfrm>
                    <a:prstGeom prst="rect">
                      <a:avLst/>
                    </a:prstGeom>
                  </pic:spPr>
                </pic:pic>
              </a:graphicData>
            </a:graphic>
          </wp:inline>
        </w:drawing>
      </w:r>
    </w:p>
    <w:p w14:paraId="1C2DC45E" w14:textId="77777777" w:rsidR="006B1509" w:rsidRDefault="006B1509" w:rsidP="00305B4B">
      <w:pPr>
        <w:pStyle w:val="BodyText"/>
        <w:ind w:right="3"/>
      </w:pPr>
    </w:p>
    <w:p w14:paraId="22D30E43" w14:textId="77777777" w:rsidR="006B1509" w:rsidRDefault="006B1509" w:rsidP="00305B4B">
      <w:pPr>
        <w:pStyle w:val="BodyText"/>
        <w:ind w:right="3"/>
      </w:pPr>
    </w:p>
    <w:p w14:paraId="6E2CA339" w14:textId="77777777" w:rsidR="006B1509" w:rsidRDefault="006B1509" w:rsidP="00305B4B">
      <w:pPr>
        <w:pStyle w:val="BodyText"/>
        <w:ind w:right="3"/>
      </w:pPr>
    </w:p>
    <w:p w14:paraId="417EBCBD" w14:textId="77777777" w:rsidR="006B1509" w:rsidRDefault="006B1509" w:rsidP="00305B4B">
      <w:pPr>
        <w:pStyle w:val="BodyText"/>
        <w:ind w:right="3"/>
      </w:pPr>
    </w:p>
    <w:p w14:paraId="5D2B42F1" w14:textId="2D6BB2EA" w:rsidR="006B1509" w:rsidRDefault="006B1509" w:rsidP="00305B4B">
      <w:pPr>
        <w:pStyle w:val="Heading1"/>
        <w:ind w:right="3"/>
      </w:pPr>
      <w:bookmarkStart w:id="0" w:name="_GoBack"/>
      <w:r w:rsidRPr="00D610D6">
        <w:t>Evaluation of the Time to Work Employment Service</w:t>
      </w:r>
    </w:p>
    <w:bookmarkEnd w:id="0"/>
    <w:p w14:paraId="5FB3F0DD" w14:textId="14DEDE70" w:rsidR="006B1509" w:rsidRDefault="00E658C3" w:rsidP="00305B4B">
      <w:pPr>
        <w:pStyle w:val="BodyText"/>
        <w:ind w:right="3"/>
      </w:pPr>
      <w:r>
        <w:rPr>
          <w:rFonts w:ascii="Georgia" w:hAnsi="Georgia" w:cs="Georgia"/>
          <w:sz w:val="6"/>
          <w:szCs w:val="6"/>
        </w:rPr>
      </w:r>
      <w:r w:rsidR="00E044BE">
        <w:rPr>
          <w:rFonts w:ascii="Georgia" w:hAnsi="Georgia" w:cs="Georgia"/>
          <w:sz w:val="6"/>
          <w:szCs w:val="6"/>
        </w:rPr>
        <w:pict w14:anchorId="5927B00F">
          <v:group id="_x0000_s1026" alt="" style="width:75.95pt;height:3.1pt;mso-position-horizontal-relative:char;mso-position-vertical-relative:line" coordsize="1519,62" o:allowincell="f">
            <v:shape id="_x0000_s1027" alt="" style="position:absolute;left:30;top:30;width:1457;height:20;mso-position-horizontal-relative:page;mso-position-vertical-relative:page" coordsize="1457,20" o:allowincell="f" path="m,l1456,e" filled="f" strokecolor="#b1ba1e" strokeweight="3.1pt">
              <v:path arrowok="t"/>
            </v:shape>
            <w10:wrap type="none"/>
            <w10:anchorlock/>
          </v:group>
        </w:pict>
      </w:r>
    </w:p>
    <w:p w14:paraId="152C3BE8" w14:textId="77777777" w:rsidR="006B1509" w:rsidRDefault="006B1509" w:rsidP="00305B4B">
      <w:pPr>
        <w:pStyle w:val="BodyText"/>
        <w:ind w:right="3"/>
      </w:pPr>
    </w:p>
    <w:p w14:paraId="5D030327" w14:textId="77777777" w:rsidR="006B1509" w:rsidRDefault="006B1509" w:rsidP="00305B4B">
      <w:pPr>
        <w:pStyle w:val="BodyText"/>
        <w:ind w:right="3"/>
      </w:pPr>
    </w:p>
    <w:p w14:paraId="579CE122" w14:textId="40F4C18E" w:rsidR="006B1509" w:rsidRPr="00D610D6" w:rsidRDefault="002065FF" w:rsidP="00305B4B">
      <w:pPr>
        <w:pStyle w:val="Heading2"/>
        <w:ind w:right="3"/>
      </w:pPr>
      <w:r w:rsidRPr="00D610D6">
        <w:t xml:space="preserve">Final </w:t>
      </w:r>
      <w:r w:rsidR="006B1509" w:rsidRPr="00D610D6">
        <w:t>Evaluation Report</w:t>
      </w:r>
    </w:p>
    <w:p w14:paraId="739ADB0B" w14:textId="77777777" w:rsidR="006B1509" w:rsidRDefault="006B1509" w:rsidP="00305B4B">
      <w:pPr>
        <w:pStyle w:val="BodyText"/>
        <w:ind w:right="3"/>
      </w:pPr>
    </w:p>
    <w:p w14:paraId="16564D4B" w14:textId="79DB7E60" w:rsidR="007E76B0" w:rsidRPr="00D610D6" w:rsidRDefault="00725ADD" w:rsidP="00305B4B">
      <w:pPr>
        <w:pStyle w:val="Heading3"/>
        <w:ind w:right="3"/>
      </w:pPr>
      <w:r w:rsidRPr="00D610D6">
        <w:t xml:space="preserve">30 June </w:t>
      </w:r>
      <w:r w:rsidR="004A5405" w:rsidRPr="00D610D6">
        <w:t>2021</w:t>
      </w:r>
    </w:p>
    <w:p w14:paraId="13876BCA" w14:textId="2B3B7364" w:rsidR="005067C7" w:rsidRPr="00FF3D15" w:rsidRDefault="005067C7" w:rsidP="00305B4B">
      <w:pPr>
        <w:pStyle w:val="BodyText"/>
        <w:ind w:right="3"/>
      </w:pPr>
    </w:p>
    <w:p w14:paraId="4817BD40" w14:textId="17BB9440" w:rsidR="00124060" w:rsidRDefault="00124060" w:rsidP="00305B4B">
      <w:pPr>
        <w:pStyle w:val="BodyText"/>
        <w:ind w:right="3"/>
      </w:pPr>
    </w:p>
    <w:p w14:paraId="12331B8B" w14:textId="4DB45120" w:rsidR="00D610D6" w:rsidRDefault="00D610D6" w:rsidP="00305B4B">
      <w:pPr>
        <w:pStyle w:val="BodyText"/>
        <w:ind w:right="3"/>
      </w:pPr>
    </w:p>
    <w:p w14:paraId="19992A38" w14:textId="4459EEEA" w:rsidR="00D610D6" w:rsidRDefault="00D610D6" w:rsidP="00305B4B">
      <w:pPr>
        <w:pStyle w:val="BodyText"/>
        <w:ind w:right="3"/>
      </w:pPr>
    </w:p>
    <w:p w14:paraId="492F6F88" w14:textId="3BD69D28" w:rsidR="00D610D6" w:rsidRDefault="00D610D6" w:rsidP="00305B4B">
      <w:pPr>
        <w:pStyle w:val="BodyText"/>
        <w:ind w:right="3"/>
      </w:pPr>
    </w:p>
    <w:p w14:paraId="3357DED3" w14:textId="77777777" w:rsidR="00D610D6" w:rsidRDefault="00D610D6" w:rsidP="00305B4B">
      <w:pPr>
        <w:pStyle w:val="BodyText"/>
        <w:ind w:right="3"/>
      </w:pPr>
    </w:p>
    <w:p w14:paraId="18A006A6" w14:textId="77777777" w:rsidR="00D610D6" w:rsidRPr="00FF3D15" w:rsidRDefault="00D610D6" w:rsidP="00305B4B">
      <w:pPr>
        <w:pStyle w:val="BodyText"/>
        <w:ind w:right="3"/>
      </w:pPr>
    </w:p>
    <w:p w14:paraId="6B31436E" w14:textId="53981AEC" w:rsidR="006B1509" w:rsidRDefault="00DF41A3" w:rsidP="00305B4B">
      <w:pPr>
        <w:pStyle w:val="BodyText"/>
        <w:ind w:right="3"/>
      </w:pPr>
      <w:r>
        <w:rPr>
          <w:noProof/>
        </w:rPr>
        <w:drawing>
          <wp:inline distT="0" distB="0" distL="0" distR="0" wp14:anchorId="191639DD" wp14:editId="32E8DAC2">
            <wp:extent cx="2257425" cy="1409700"/>
            <wp:effectExtent l="0" t="0" r="9525" b="0"/>
            <wp:docPr id="404027752" name="Picture 404027752" descr="Australian Government National Indigenous Australians Agenc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027752" name="Picture 404027752" descr="Australian Government National Indigenous Australians Agency logo"/>
                    <pic:cNvPicPr/>
                  </pic:nvPicPr>
                  <pic:blipFill>
                    <a:blip r:embed="rId12">
                      <a:extLst>
                        <a:ext uri="{28A0092B-C50C-407E-A947-70E740481C1C}">
                          <a14:useLocalDpi xmlns:a14="http://schemas.microsoft.com/office/drawing/2010/main" val="0"/>
                        </a:ext>
                      </a:extLst>
                    </a:blip>
                    <a:srcRect b="-10768"/>
                    <a:stretch>
                      <a:fillRect/>
                    </a:stretch>
                  </pic:blipFill>
                  <pic:spPr>
                    <a:xfrm>
                      <a:off x="0" y="0"/>
                      <a:ext cx="2257425" cy="1409700"/>
                    </a:xfrm>
                    <a:prstGeom prst="rect">
                      <a:avLst/>
                    </a:prstGeom>
                  </pic:spPr>
                </pic:pic>
              </a:graphicData>
            </a:graphic>
          </wp:inline>
        </w:drawing>
      </w:r>
      <w:r w:rsidR="006B1509">
        <w:t xml:space="preserve"> </w:t>
      </w:r>
      <w:r w:rsidR="0010630C">
        <w:rPr>
          <w:noProof/>
        </w:rPr>
        <w:drawing>
          <wp:inline distT="0" distB="0" distL="0" distR="0" wp14:anchorId="04B692FA" wp14:editId="3CFE54C5">
            <wp:extent cx="2276475" cy="1266825"/>
            <wp:effectExtent l="0" t="0" r="0" b="3175"/>
            <wp:docPr id="1623174857" name="Picture 1623174857" descr="Australian Government Department of Education, Skills and Employmen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3174857" name="Picture 1623174857" descr="Australian Government Department of Education, Skills and Employment logo"/>
                    <pic:cNvPicPr/>
                  </pic:nvPicPr>
                  <pic:blipFill>
                    <a:blip r:embed="rId13">
                      <a:extLst>
                        <a:ext uri="{28A0092B-C50C-407E-A947-70E740481C1C}">
                          <a14:useLocalDpi xmlns:a14="http://schemas.microsoft.com/office/drawing/2010/main" val="0"/>
                        </a:ext>
                      </a:extLst>
                    </a:blip>
                    <a:stretch>
                      <a:fillRect/>
                    </a:stretch>
                  </pic:blipFill>
                  <pic:spPr>
                    <a:xfrm>
                      <a:off x="0" y="0"/>
                      <a:ext cx="2276475" cy="1266825"/>
                    </a:xfrm>
                    <a:prstGeom prst="rect">
                      <a:avLst/>
                    </a:prstGeom>
                  </pic:spPr>
                </pic:pic>
              </a:graphicData>
            </a:graphic>
          </wp:inline>
        </w:drawing>
      </w:r>
    </w:p>
    <w:p w14:paraId="5BF4BF28" w14:textId="77777777" w:rsidR="006B1509" w:rsidRDefault="006B1509" w:rsidP="00305B4B">
      <w:pPr>
        <w:pStyle w:val="BodyText"/>
        <w:ind w:right="3"/>
        <w:sectPr w:rsidR="006B1509" w:rsidSect="00D82168">
          <w:pgSz w:w="11910" w:h="16840"/>
          <w:pgMar w:top="1276" w:right="1276" w:bottom="1276" w:left="1276" w:header="0" w:footer="550" w:gutter="0"/>
          <w:pgNumType w:start="1"/>
          <w:cols w:space="720"/>
          <w:noEndnote/>
        </w:sectPr>
      </w:pPr>
    </w:p>
    <w:p w14:paraId="35776AAA" w14:textId="6D4FA82B" w:rsidR="004A6363" w:rsidRPr="00D610D6" w:rsidRDefault="004A6363" w:rsidP="00305B4B">
      <w:pPr>
        <w:pStyle w:val="BodyText"/>
        <w:spacing w:before="120"/>
        <w:ind w:right="3"/>
      </w:pPr>
      <w:bookmarkStart w:id="1" w:name="bookmark0"/>
      <w:bookmarkStart w:id="2" w:name="_Toc10743112"/>
      <w:bookmarkStart w:id="3" w:name="_Toc10743141"/>
      <w:bookmarkStart w:id="4" w:name="_Toc55282695"/>
      <w:bookmarkStart w:id="5" w:name="_Toc55352753"/>
      <w:bookmarkStart w:id="6" w:name="_Toc56177786"/>
      <w:bookmarkStart w:id="7" w:name="_Toc56183032"/>
      <w:bookmarkStart w:id="8" w:name="_Toc56185961"/>
      <w:bookmarkStart w:id="9" w:name="_Toc56185996"/>
      <w:bookmarkStart w:id="10" w:name="_Toc69718834"/>
      <w:bookmarkStart w:id="11" w:name="_Toc5789252"/>
      <w:bookmarkEnd w:id="1"/>
      <w:r w:rsidRPr="00D610D6">
        <w:lastRenderedPageBreak/>
        <w:t>Social Ventures Australia acknowledges and pays respect to the past, present and future traditional</w:t>
      </w:r>
      <w:r w:rsidR="00563A2D" w:rsidRPr="00D610D6">
        <w:t xml:space="preserve"> </w:t>
      </w:r>
      <w:r w:rsidRPr="00D610D6">
        <w:t>custodians</w:t>
      </w:r>
      <w:r w:rsidR="00BE5069" w:rsidRPr="00D610D6">
        <w:t>,</w:t>
      </w:r>
      <w:r w:rsidRPr="00D610D6">
        <w:t xml:space="preserve"> and elders of this country on which we work. We also accept the invitation in the Uluru Statement</w:t>
      </w:r>
      <w:r w:rsidR="00563A2D" w:rsidRPr="00D610D6">
        <w:t xml:space="preserve"> </w:t>
      </w:r>
      <w:r w:rsidRPr="00D610D6">
        <w:t>from the Heart to walk together with Aboriginal and Torres Strait Islander peoples in a movement of the</w:t>
      </w:r>
      <w:r w:rsidR="00563A2D" w:rsidRPr="00D610D6">
        <w:t xml:space="preserve"> </w:t>
      </w:r>
      <w:r w:rsidRPr="00D610D6">
        <w:t>Australian people for a better future.</w:t>
      </w:r>
    </w:p>
    <w:p w14:paraId="65CD4882" w14:textId="77777777" w:rsidR="004A6363" w:rsidRPr="00880E68" w:rsidRDefault="004A6363" w:rsidP="00305B4B">
      <w:pPr>
        <w:pStyle w:val="Heading3"/>
        <w:ind w:right="3"/>
      </w:pPr>
      <w:r w:rsidRPr="00880E68">
        <w:t>About Social Ventures Australia</w:t>
      </w:r>
    </w:p>
    <w:p w14:paraId="5320DEC3" w14:textId="5ABE0F06" w:rsidR="004A6363" w:rsidRPr="004A6363" w:rsidRDefault="004A6363" w:rsidP="00305B4B">
      <w:pPr>
        <w:pStyle w:val="BodyText"/>
        <w:ind w:right="3"/>
      </w:pPr>
      <w:r w:rsidRPr="004A6363">
        <w:t>Social Ventures Australia (SVA) is a not-for-profit organisation that works</w:t>
      </w:r>
      <w:r w:rsidR="00880E68">
        <w:t xml:space="preserve"> </w:t>
      </w:r>
      <w:r w:rsidRPr="004A6363">
        <w:t>with partners to alleviate disadvantage – towards an Australia where all</w:t>
      </w:r>
      <w:r w:rsidR="00880E68">
        <w:t xml:space="preserve"> </w:t>
      </w:r>
      <w:r w:rsidRPr="004A6363">
        <w:t>people and communities thrive.</w:t>
      </w:r>
    </w:p>
    <w:p w14:paraId="775F9D00" w14:textId="32C37FD2" w:rsidR="004A6363" w:rsidRPr="00D610D6" w:rsidRDefault="004A6363" w:rsidP="00305B4B">
      <w:pPr>
        <w:pStyle w:val="BodyText"/>
        <w:ind w:right="3"/>
      </w:pPr>
      <w:r w:rsidRPr="00D610D6">
        <w:t>We influence systems to deliver better social outcomes for people by</w:t>
      </w:r>
      <w:r w:rsidR="00880E68" w:rsidRPr="00D610D6">
        <w:t xml:space="preserve"> </w:t>
      </w:r>
      <w:r w:rsidRPr="00D610D6">
        <w:t>learning about what works in communities, helping organisations be</w:t>
      </w:r>
      <w:r w:rsidR="00880E68" w:rsidRPr="00D610D6">
        <w:t xml:space="preserve"> </w:t>
      </w:r>
      <w:r w:rsidRPr="00D610D6">
        <w:t>more effective, sharing our perspectives and advocating for change.</w:t>
      </w:r>
    </w:p>
    <w:p w14:paraId="2A170E60" w14:textId="77777777" w:rsidR="004A6363" w:rsidRPr="00D610D6" w:rsidRDefault="004A6363" w:rsidP="00305B4B">
      <w:pPr>
        <w:pStyle w:val="Heading3"/>
        <w:ind w:right="3"/>
      </w:pPr>
      <w:r w:rsidRPr="00D610D6">
        <w:t>Acknowledgements</w:t>
      </w:r>
    </w:p>
    <w:p w14:paraId="5541E644" w14:textId="4D0C0F95" w:rsidR="003E1A98" w:rsidRPr="00D610D6" w:rsidRDefault="004A6363" w:rsidP="00305B4B">
      <w:pPr>
        <w:pStyle w:val="BodyText"/>
        <w:ind w:right="3"/>
      </w:pPr>
      <w:r w:rsidRPr="00D610D6">
        <w:t>SVA acknowledges the participation and/or assistance of the following</w:t>
      </w:r>
      <w:r w:rsidR="00880E68" w:rsidRPr="00D610D6">
        <w:t xml:space="preserve"> </w:t>
      </w:r>
      <w:r w:rsidRPr="00D610D6">
        <w:t>organisations and individuals in this evaluation: the National Indigenous</w:t>
      </w:r>
      <w:r w:rsidR="00880E68" w:rsidRPr="00D610D6">
        <w:t xml:space="preserve"> </w:t>
      </w:r>
      <w:r w:rsidRPr="00D610D6">
        <w:t>Australians Agency; the Department of Education, Skills and Employment,</w:t>
      </w:r>
      <w:r w:rsidR="00536F0A" w:rsidRPr="00D610D6">
        <w:t xml:space="preserve"> </w:t>
      </w:r>
      <w:r w:rsidRPr="00D610D6">
        <w:t>Services Australia; the Departments of Justice or Corrections for all</w:t>
      </w:r>
      <w:r w:rsidR="00880E68" w:rsidRPr="00D610D6">
        <w:t xml:space="preserve"> </w:t>
      </w:r>
      <w:r w:rsidR="00BB4D44" w:rsidRPr="00D610D6">
        <w:t xml:space="preserve">states </w:t>
      </w:r>
      <w:r w:rsidRPr="00D610D6">
        <w:t xml:space="preserve">and </w:t>
      </w:r>
      <w:r w:rsidR="00BB4D44" w:rsidRPr="00D610D6">
        <w:t xml:space="preserve">territories </w:t>
      </w:r>
      <w:r w:rsidRPr="00D610D6">
        <w:t>in Australia; Time to Work Employment Service</w:t>
      </w:r>
      <w:r w:rsidR="00880E68" w:rsidRPr="00D610D6">
        <w:t xml:space="preserve"> </w:t>
      </w:r>
      <w:r w:rsidR="00BC1946" w:rsidRPr="00D610D6">
        <w:t>providers</w:t>
      </w:r>
      <w:r w:rsidRPr="00D610D6">
        <w:t>; management and staff at the 10 prisons where consultations</w:t>
      </w:r>
      <w:r w:rsidR="00BE5069" w:rsidRPr="00D610D6">
        <w:t xml:space="preserve"> </w:t>
      </w:r>
      <w:r w:rsidRPr="00D610D6">
        <w:t>were conducted; and current and past participants of the Time to Work</w:t>
      </w:r>
      <w:r w:rsidR="003E1A98" w:rsidRPr="00D610D6">
        <w:t xml:space="preserve"> </w:t>
      </w:r>
      <w:r w:rsidRPr="00D610D6">
        <w:t>Employment Service who were interviewed for the evaluation.</w:t>
      </w:r>
    </w:p>
    <w:p w14:paraId="3BB512C7" w14:textId="77777777" w:rsidR="004A6363" w:rsidRPr="00D610D6" w:rsidRDefault="004A6363" w:rsidP="00305B4B">
      <w:pPr>
        <w:pStyle w:val="Heading3"/>
        <w:ind w:right="3"/>
      </w:pPr>
      <w:r w:rsidRPr="00D610D6">
        <w:t>Professional Disclosure Statement</w:t>
      </w:r>
    </w:p>
    <w:p w14:paraId="4BF950B4" w14:textId="2E1BF031" w:rsidR="009D4CCE" w:rsidRPr="00D610D6" w:rsidRDefault="004A6363" w:rsidP="00305B4B">
      <w:pPr>
        <w:pStyle w:val="BodyText"/>
        <w:ind w:right="3"/>
      </w:pPr>
      <w:r w:rsidRPr="00D610D6">
        <w:t xml:space="preserve">The Evaluation </w:t>
      </w:r>
      <w:r w:rsidR="006F233E" w:rsidRPr="00D610D6">
        <w:t xml:space="preserve">Team </w:t>
      </w:r>
      <w:r w:rsidRPr="00D610D6">
        <w:t>(Social Ventures Australia Limited, Karen</w:t>
      </w:r>
      <w:r w:rsidR="003E1A98" w:rsidRPr="00D610D6">
        <w:t xml:space="preserve"> </w:t>
      </w:r>
      <w:r w:rsidRPr="00D610D6">
        <w:t>Milward Consulting</w:t>
      </w:r>
      <w:r w:rsidR="00216AD9" w:rsidRPr="00D610D6">
        <w:t xml:space="preserve">, the Australian National University, and contractors </w:t>
      </w:r>
      <w:r w:rsidR="00634903" w:rsidRPr="00D610D6">
        <w:t xml:space="preserve">for stakeholder consultation </w:t>
      </w:r>
      <w:r w:rsidR="00216AD9" w:rsidRPr="00D610D6">
        <w:t>Sorrell Ashby, Jayde Geia and Ralph Mogridge</w:t>
      </w:r>
      <w:r w:rsidRPr="00D610D6">
        <w:t xml:space="preserve">) have prepared this </w:t>
      </w:r>
      <w:r w:rsidR="005F1AD6" w:rsidRPr="00D610D6">
        <w:t xml:space="preserve">analysis and </w:t>
      </w:r>
      <w:r w:rsidRPr="00D610D6">
        <w:t>report in good faith</w:t>
      </w:r>
      <w:r w:rsidR="003E1A98" w:rsidRPr="00D610D6">
        <w:t xml:space="preserve"> </w:t>
      </w:r>
      <w:r w:rsidRPr="00D610D6">
        <w:t>on the ba</w:t>
      </w:r>
      <w:r w:rsidR="0098071B" w:rsidRPr="00D610D6">
        <w:t>s</w:t>
      </w:r>
      <w:r w:rsidRPr="00D610D6">
        <w:t>is of our research and information available to us at the date</w:t>
      </w:r>
      <w:r w:rsidR="005F1AD6" w:rsidRPr="00D610D6">
        <w:t xml:space="preserve"> </w:t>
      </w:r>
      <w:r w:rsidRPr="00D610D6">
        <w:t>of publication (“Information”) without any independent verification. The</w:t>
      </w:r>
      <w:r w:rsidR="003E1A98" w:rsidRPr="00D610D6">
        <w:t xml:space="preserve"> </w:t>
      </w:r>
      <w:r w:rsidRPr="00D610D6">
        <w:t xml:space="preserve">Evaluation </w:t>
      </w:r>
      <w:r w:rsidR="006F233E" w:rsidRPr="00D610D6">
        <w:t xml:space="preserve">Team </w:t>
      </w:r>
      <w:r w:rsidRPr="00D610D6">
        <w:t>does not guarantee the accuracy, completeness</w:t>
      </w:r>
      <w:r w:rsidR="00BE5069" w:rsidRPr="00D610D6">
        <w:t>,</w:t>
      </w:r>
      <w:r w:rsidRPr="00D610D6">
        <w:t xml:space="preserve"> or</w:t>
      </w:r>
      <w:r w:rsidR="003E1A98" w:rsidRPr="00D610D6">
        <w:t xml:space="preserve"> </w:t>
      </w:r>
      <w:r w:rsidRPr="00D610D6">
        <w:t>currency of the Information.</w:t>
      </w:r>
    </w:p>
    <w:p w14:paraId="029CEC01" w14:textId="6D975E0E" w:rsidR="004A6363" w:rsidRPr="00D610D6" w:rsidRDefault="004A6363" w:rsidP="00305B4B">
      <w:pPr>
        <w:pStyle w:val="BodyText"/>
        <w:ind w:right="3"/>
      </w:pPr>
      <w:r w:rsidRPr="00D610D6">
        <w:t xml:space="preserve">This Report was prepared by the Evaluation </w:t>
      </w:r>
      <w:r w:rsidR="00216AD9" w:rsidRPr="00D610D6">
        <w:t xml:space="preserve">Team </w:t>
      </w:r>
      <w:r w:rsidRPr="00D610D6">
        <w:t>for the use and</w:t>
      </w:r>
      <w:r w:rsidR="003E1A98" w:rsidRPr="00D610D6">
        <w:t xml:space="preserve"> </w:t>
      </w:r>
      <w:r w:rsidRPr="00D610D6">
        <w:t>benefit of our client only and solely for the purpose for which it was</w:t>
      </w:r>
      <w:r w:rsidR="003E1A98" w:rsidRPr="00D610D6">
        <w:t xml:space="preserve"> </w:t>
      </w:r>
      <w:r w:rsidRPr="00D610D6">
        <w:t xml:space="preserve">provided. The Evaluation </w:t>
      </w:r>
      <w:r w:rsidR="00216AD9" w:rsidRPr="00D610D6">
        <w:t xml:space="preserve">Team </w:t>
      </w:r>
      <w:r w:rsidRPr="00D610D6">
        <w:t>does not accept any liability if this</w:t>
      </w:r>
      <w:r w:rsidR="003E1A98" w:rsidRPr="00D610D6">
        <w:t xml:space="preserve"> </w:t>
      </w:r>
      <w:r w:rsidRPr="00D610D6">
        <w:t>Report is used for an alternate purpose from which it was intended, nor to</w:t>
      </w:r>
      <w:r w:rsidR="003E1A98" w:rsidRPr="00D610D6">
        <w:t xml:space="preserve"> </w:t>
      </w:r>
      <w:r w:rsidRPr="00D610D6">
        <w:t>any third party in respect of this Report.</w:t>
      </w:r>
    </w:p>
    <w:p w14:paraId="28AFC2D9" w14:textId="18FC48EA" w:rsidR="004A6363" w:rsidRPr="00D610D6" w:rsidRDefault="004A6363" w:rsidP="00305B4B">
      <w:pPr>
        <w:pStyle w:val="BodyText"/>
        <w:ind w:right="3"/>
      </w:pPr>
      <w:r w:rsidRPr="00D610D6">
        <w:t>This work is copyright. Apart from any use permitted under the Copyright</w:t>
      </w:r>
      <w:r w:rsidR="00563A2D" w:rsidRPr="00D610D6">
        <w:t xml:space="preserve"> </w:t>
      </w:r>
      <w:r w:rsidRPr="00D610D6">
        <w:t>Act 1968, no part may be reproduced by any process or in any form</w:t>
      </w:r>
      <w:r w:rsidR="00563A2D" w:rsidRPr="00D610D6">
        <w:t xml:space="preserve"> </w:t>
      </w:r>
      <w:r w:rsidRPr="00D610D6">
        <w:t>by any third party without obtaining prior written consent from the</w:t>
      </w:r>
      <w:r w:rsidR="00563A2D" w:rsidRPr="00D610D6">
        <w:t xml:space="preserve"> </w:t>
      </w:r>
      <w:r w:rsidRPr="00D610D6">
        <w:t xml:space="preserve">Evaluation </w:t>
      </w:r>
      <w:r w:rsidR="00216AD9" w:rsidRPr="00D610D6">
        <w:t xml:space="preserve">Team </w:t>
      </w:r>
      <w:r w:rsidRPr="00D610D6">
        <w:t>and our Client. Requests and inquiries concerning</w:t>
      </w:r>
      <w:r w:rsidR="00563A2D" w:rsidRPr="00D610D6">
        <w:t xml:space="preserve"> </w:t>
      </w:r>
      <w:r w:rsidRPr="00D610D6">
        <w:t>reproduction and rights should be addressed to: Social Ventures Australia:</w:t>
      </w:r>
      <w:r w:rsidR="00563A2D" w:rsidRPr="00D610D6">
        <w:t xml:space="preserve"> </w:t>
      </w:r>
      <w:r w:rsidRPr="00D610D6">
        <w:t>attention Director, Legal, Level 7, 1 Chifley Square, Sydney NSW 2000.</w:t>
      </w:r>
    </w:p>
    <w:p w14:paraId="3C2DA345" w14:textId="2BBA1880" w:rsidR="00563A2D" w:rsidRPr="00404437" w:rsidRDefault="004A6363" w:rsidP="00305B4B">
      <w:pPr>
        <w:pStyle w:val="Heading3"/>
        <w:ind w:right="3"/>
      </w:pPr>
      <w:r w:rsidRPr="00D610D6">
        <w:t>Additional statement</w:t>
      </w:r>
      <w:r w:rsidR="00563A2D" w:rsidRPr="00D610D6">
        <w:t xml:space="preserve"> </w:t>
      </w:r>
    </w:p>
    <w:p w14:paraId="354C2676" w14:textId="316EC183" w:rsidR="00672C08" w:rsidRPr="00D610D6" w:rsidRDefault="004A6363" w:rsidP="00305B4B">
      <w:pPr>
        <w:pStyle w:val="BodyText"/>
        <w:ind w:right="3"/>
      </w:pPr>
      <w:r w:rsidRPr="00D610D6">
        <w:t xml:space="preserve">The Evaluation </w:t>
      </w:r>
      <w:r w:rsidR="006F233E" w:rsidRPr="00D610D6">
        <w:t xml:space="preserve">Team </w:t>
      </w:r>
      <w:r w:rsidRPr="00D610D6">
        <w:t>acknowledges the participation and/or assistance of the WA Department of Justice, prison management</w:t>
      </w:r>
      <w:r w:rsidR="00563A2D" w:rsidRPr="00D610D6">
        <w:t xml:space="preserve"> </w:t>
      </w:r>
      <w:r w:rsidRPr="00D610D6">
        <w:t xml:space="preserve">and staff and Time to Work Employment Service </w:t>
      </w:r>
      <w:r w:rsidR="00BC1946" w:rsidRPr="00D610D6">
        <w:t xml:space="preserve">providers </w:t>
      </w:r>
      <w:r w:rsidRPr="00D610D6">
        <w:t>in Western</w:t>
      </w:r>
      <w:r w:rsidR="00563A2D" w:rsidRPr="00D610D6">
        <w:t xml:space="preserve"> </w:t>
      </w:r>
      <w:r w:rsidRPr="00D610D6">
        <w:t>Australia. Any material published or made publicly available by the</w:t>
      </w:r>
      <w:r w:rsidR="00563A2D" w:rsidRPr="00D610D6">
        <w:t xml:space="preserve"> </w:t>
      </w:r>
      <w:r w:rsidRPr="00D610D6">
        <w:t xml:space="preserve">Evaluation </w:t>
      </w:r>
      <w:r w:rsidR="006F233E" w:rsidRPr="00D610D6">
        <w:t xml:space="preserve">Team </w:t>
      </w:r>
      <w:r w:rsidRPr="00D610D6">
        <w:t>cannot be considered as either endorsed by the</w:t>
      </w:r>
      <w:r w:rsidR="00563A2D" w:rsidRPr="00D610D6">
        <w:t xml:space="preserve"> </w:t>
      </w:r>
      <w:r w:rsidRPr="00D610D6">
        <w:t>WA</w:t>
      </w:r>
      <w:r w:rsidR="00A84110" w:rsidRPr="00D610D6">
        <w:t> </w:t>
      </w:r>
      <w:r w:rsidRPr="00D610D6">
        <w:t>Department of Justice or an expression of the policies or views of the</w:t>
      </w:r>
      <w:r w:rsidR="00563A2D" w:rsidRPr="00D610D6">
        <w:t xml:space="preserve"> </w:t>
      </w:r>
      <w:r w:rsidRPr="00D610D6">
        <w:t>Department. Any errors of omission or commission are the responsibility</w:t>
      </w:r>
      <w:r w:rsidR="00563A2D" w:rsidRPr="00D610D6">
        <w:t xml:space="preserve"> </w:t>
      </w:r>
      <w:r w:rsidRPr="00D610D6">
        <w:t xml:space="preserve">of the Evaluation </w:t>
      </w:r>
      <w:r w:rsidR="006F233E" w:rsidRPr="00D610D6">
        <w:t>Team</w:t>
      </w:r>
      <w:r w:rsidRPr="00D610D6">
        <w:t>.</w:t>
      </w:r>
      <w:r w:rsidR="00672C08" w:rsidRPr="00D610D6">
        <w:br w:type="page"/>
      </w:r>
    </w:p>
    <w:p w14:paraId="59F305D6" w14:textId="77777777" w:rsidR="00EB5A91" w:rsidRPr="00B53A99" w:rsidRDefault="00090305" w:rsidP="00305B4B">
      <w:pPr>
        <w:pStyle w:val="Heading1"/>
        <w:ind w:right="3"/>
        <w:rPr>
          <w:noProof/>
        </w:rPr>
      </w:pPr>
      <w:bookmarkStart w:id="12" w:name="_Toc72996573"/>
      <w:bookmarkStart w:id="13" w:name="_Toc74911577"/>
      <w:bookmarkStart w:id="14" w:name="_Toc74911602"/>
      <w:bookmarkStart w:id="15" w:name="_Toc75207429"/>
      <w:bookmarkStart w:id="16" w:name="_Toc75207520"/>
      <w:bookmarkStart w:id="17" w:name="_Toc75959314"/>
      <w:r w:rsidRPr="00B53A99">
        <w:lastRenderedPageBreak/>
        <w:t>Table of contents</w:t>
      </w:r>
      <w:bookmarkEnd w:id="2"/>
      <w:bookmarkEnd w:id="3"/>
      <w:bookmarkEnd w:id="4"/>
      <w:bookmarkEnd w:id="5"/>
      <w:bookmarkEnd w:id="6"/>
      <w:bookmarkEnd w:id="7"/>
      <w:bookmarkEnd w:id="8"/>
      <w:bookmarkEnd w:id="9"/>
      <w:bookmarkEnd w:id="10"/>
      <w:bookmarkEnd w:id="12"/>
      <w:bookmarkEnd w:id="13"/>
      <w:bookmarkEnd w:id="14"/>
      <w:bookmarkEnd w:id="15"/>
      <w:bookmarkEnd w:id="16"/>
      <w:bookmarkEnd w:id="17"/>
      <w:r w:rsidR="0035084A" w:rsidRPr="00EB5A91">
        <w:fldChar w:fldCharType="begin"/>
      </w:r>
      <w:r w:rsidR="0035084A" w:rsidRPr="00B53A99">
        <w:instrText xml:space="preserve"> TOC \o "1-2" \h \z \u </w:instrText>
      </w:r>
      <w:r w:rsidR="0035084A" w:rsidRPr="00EB5A91">
        <w:fldChar w:fldCharType="separate"/>
      </w:r>
    </w:p>
    <w:p w14:paraId="3DF1BACC" w14:textId="4132F5C8" w:rsidR="00EB5A91" w:rsidRPr="00EB5A91" w:rsidRDefault="00E658C3" w:rsidP="00305B4B">
      <w:pPr>
        <w:pStyle w:val="TOC1"/>
        <w:ind w:right="3"/>
        <w:rPr>
          <w:rFonts w:cstheme="majorHAnsi"/>
          <w:noProof/>
          <w:sz w:val="20"/>
          <w:szCs w:val="20"/>
        </w:rPr>
      </w:pPr>
      <w:hyperlink w:anchor="_Toc75959316" w:history="1">
        <w:r w:rsidR="00EB5A91" w:rsidRPr="00EB5A91">
          <w:rPr>
            <w:rStyle w:val="Hyperlink"/>
            <w:rFonts w:asciiTheme="majorHAnsi" w:hAnsiTheme="majorHAnsi" w:cstheme="majorHAnsi"/>
            <w:noProof/>
            <w:szCs w:val="20"/>
          </w:rPr>
          <w:t>Executive</w:t>
        </w:r>
        <w:r w:rsidR="00EB5A91" w:rsidRPr="00EB5A91">
          <w:rPr>
            <w:rStyle w:val="Hyperlink"/>
            <w:rFonts w:asciiTheme="majorHAnsi" w:hAnsiTheme="majorHAnsi" w:cstheme="majorHAnsi"/>
            <w:noProof/>
            <w:spacing w:val="-27"/>
            <w:szCs w:val="20"/>
          </w:rPr>
          <w:t xml:space="preserve"> </w:t>
        </w:r>
        <w:r w:rsidR="00EB5A91" w:rsidRPr="00EB5A91">
          <w:rPr>
            <w:rStyle w:val="Hyperlink"/>
            <w:rFonts w:asciiTheme="majorHAnsi" w:hAnsiTheme="majorHAnsi" w:cstheme="majorHAnsi"/>
            <w:noProof/>
            <w:spacing w:val="-1"/>
            <w:szCs w:val="20"/>
          </w:rPr>
          <w:t>summary</w:t>
        </w:r>
        <w:r w:rsidR="00EB5A91" w:rsidRPr="00EB5A91">
          <w:rPr>
            <w:rFonts w:cstheme="majorHAnsi"/>
            <w:noProof/>
            <w:webHidden/>
            <w:sz w:val="20"/>
            <w:szCs w:val="20"/>
          </w:rPr>
          <w:tab/>
        </w:r>
        <w:r w:rsidR="00EB5A91" w:rsidRPr="00EB5A91">
          <w:rPr>
            <w:rFonts w:cstheme="majorHAnsi"/>
            <w:noProof/>
            <w:webHidden/>
            <w:sz w:val="20"/>
            <w:szCs w:val="20"/>
          </w:rPr>
          <w:fldChar w:fldCharType="begin"/>
        </w:r>
        <w:r w:rsidR="00EB5A91" w:rsidRPr="00EB5A91">
          <w:rPr>
            <w:rFonts w:cstheme="majorHAnsi"/>
            <w:noProof/>
            <w:webHidden/>
            <w:sz w:val="20"/>
            <w:szCs w:val="20"/>
          </w:rPr>
          <w:instrText xml:space="preserve"> PAGEREF _Toc75959316 \h </w:instrText>
        </w:r>
        <w:r w:rsidR="00EB5A91" w:rsidRPr="00EB5A91">
          <w:rPr>
            <w:rFonts w:cstheme="majorHAnsi"/>
            <w:noProof/>
            <w:webHidden/>
            <w:sz w:val="20"/>
            <w:szCs w:val="20"/>
          </w:rPr>
        </w:r>
        <w:r w:rsidR="00EB5A91" w:rsidRPr="00EB5A91">
          <w:rPr>
            <w:rFonts w:cstheme="majorHAnsi"/>
            <w:noProof/>
            <w:webHidden/>
            <w:sz w:val="20"/>
            <w:szCs w:val="20"/>
          </w:rPr>
          <w:fldChar w:fldCharType="separate"/>
        </w:r>
        <w:r w:rsidR="00B4730A">
          <w:rPr>
            <w:rFonts w:cstheme="majorHAnsi"/>
            <w:noProof/>
            <w:webHidden/>
            <w:sz w:val="20"/>
            <w:szCs w:val="20"/>
          </w:rPr>
          <w:t>5</w:t>
        </w:r>
        <w:r w:rsidR="00EB5A91" w:rsidRPr="00EB5A91">
          <w:rPr>
            <w:rFonts w:cstheme="majorHAnsi"/>
            <w:noProof/>
            <w:webHidden/>
            <w:sz w:val="20"/>
            <w:szCs w:val="20"/>
          </w:rPr>
          <w:fldChar w:fldCharType="end"/>
        </w:r>
      </w:hyperlink>
    </w:p>
    <w:p w14:paraId="7D980B35" w14:textId="6E928E42" w:rsidR="00EB5A91" w:rsidRPr="00EB5A91" w:rsidRDefault="00E658C3" w:rsidP="00305B4B">
      <w:pPr>
        <w:pStyle w:val="TOC1"/>
        <w:ind w:right="3"/>
        <w:rPr>
          <w:rFonts w:cstheme="majorHAnsi"/>
          <w:noProof/>
          <w:sz w:val="20"/>
          <w:szCs w:val="20"/>
        </w:rPr>
      </w:pPr>
      <w:hyperlink w:anchor="_Toc75959317" w:history="1">
        <w:r w:rsidR="00EB5A91" w:rsidRPr="00EB5A91">
          <w:rPr>
            <w:rStyle w:val="Hyperlink"/>
            <w:rFonts w:asciiTheme="majorHAnsi" w:hAnsiTheme="majorHAnsi" w:cstheme="majorHAnsi"/>
            <w:noProof/>
            <w:szCs w:val="20"/>
          </w:rPr>
          <w:t>1.</w:t>
        </w:r>
        <w:r w:rsidR="00EB5A91" w:rsidRPr="00EB5A91">
          <w:rPr>
            <w:rFonts w:cstheme="majorHAnsi"/>
            <w:noProof/>
            <w:sz w:val="20"/>
            <w:szCs w:val="20"/>
          </w:rPr>
          <w:tab/>
        </w:r>
        <w:r w:rsidR="00EB5A91" w:rsidRPr="00EB5A91">
          <w:rPr>
            <w:rStyle w:val="Hyperlink"/>
            <w:rFonts w:asciiTheme="majorHAnsi" w:hAnsiTheme="majorHAnsi" w:cstheme="majorHAnsi"/>
            <w:noProof/>
            <w:szCs w:val="20"/>
          </w:rPr>
          <w:t>Introduction and Context</w:t>
        </w:r>
        <w:r w:rsidR="00EB5A91" w:rsidRPr="00EB5A91">
          <w:rPr>
            <w:rFonts w:cstheme="majorHAnsi"/>
            <w:noProof/>
            <w:webHidden/>
            <w:sz w:val="20"/>
            <w:szCs w:val="20"/>
          </w:rPr>
          <w:tab/>
        </w:r>
        <w:r w:rsidR="00EB5A91" w:rsidRPr="00EB5A91">
          <w:rPr>
            <w:rFonts w:cstheme="majorHAnsi"/>
            <w:noProof/>
            <w:webHidden/>
            <w:sz w:val="20"/>
            <w:szCs w:val="20"/>
          </w:rPr>
          <w:fldChar w:fldCharType="begin"/>
        </w:r>
        <w:r w:rsidR="00EB5A91" w:rsidRPr="00EB5A91">
          <w:rPr>
            <w:rFonts w:cstheme="majorHAnsi"/>
            <w:noProof/>
            <w:webHidden/>
            <w:sz w:val="20"/>
            <w:szCs w:val="20"/>
          </w:rPr>
          <w:instrText xml:space="preserve"> PAGEREF _Toc75959317 \h </w:instrText>
        </w:r>
        <w:r w:rsidR="00EB5A91" w:rsidRPr="00EB5A91">
          <w:rPr>
            <w:rFonts w:cstheme="majorHAnsi"/>
            <w:noProof/>
            <w:webHidden/>
            <w:sz w:val="20"/>
            <w:szCs w:val="20"/>
          </w:rPr>
        </w:r>
        <w:r w:rsidR="00EB5A91" w:rsidRPr="00EB5A91">
          <w:rPr>
            <w:rFonts w:cstheme="majorHAnsi"/>
            <w:noProof/>
            <w:webHidden/>
            <w:sz w:val="20"/>
            <w:szCs w:val="20"/>
          </w:rPr>
          <w:fldChar w:fldCharType="separate"/>
        </w:r>
        <w:r w:rsidR="00B4730A">
          <w:rPr>
            <w:rFonts w:cstheme="majorHAnsi"/>
            <w:noProof/>
            <w:webHidden/>
            <w:sz w:val="20"/>
            <w:szCs w:val="20"/>
          </w:rPr>
          <w:t>14</w:t>
        </w:r>
        <w:r w:rsidR="00EB5A91" w:rsidRPr="00EB5A91">
          <w:rPr>
            <w:rFonts w:cstheme="majorHAnsi"/>
            <w:noProof/>
            <w:webHidden/>
            <w:sz w:val="20"/>
            <w:szCs w:val="20"/>
          </w:rPr>
          <w:fldChar w:fldCharType="end"/>
        </w:r>
      </w:hyperlink>
    </w:p>
    <w:p w14:paraId="4CF2EE0F" w14:textId="49500011" w:rsidR="00EB5A91" w:rsidRPr="00EB5A91" w:rsidRDefault="00E658C3" w:rsidP="00305B4B">
      <w:pPr>
        <w:pStyle w:val="TOC1"/>
        <w:ind w:right="3"/>
        <w:rPr>
          <w:rFonts w:cstheme="majorHAnsi"/>
          <w:noProof/>
          <w:sz w:val="20"/>
          <w:szCs w:val="20"/>
        </w:rPr>
      </w:pPr>
      <w:hyperlink w:anchor="_Toc75959318" w:history="1">
        <w:r w:rsidR="00EB5A91" w:rsidRPr="00EB5A91">
          <w:rPr>
            <w:rStyle w:val="Hyperlink"/>
            <w:rFonts w:asciiTheme="majorHAnsi" w:hAnsiTheme="majorHAnsi" w:cstheme="majorHAnsi"/>
            <w:noProof/>
            <w:szCs w:val="20"/>
          </w:rPr>
          <w:t>2.</w:t>
        </w:r>
        <w:r w:rsidR="00EB5A91" w:rsidRPr="00EB5A91">
          <w:rPr>
            <w:rFonts w:cstheme="majorHAnsi"/>
            <w:noProof/>
            <w:sz w:val="20"/>
            <w:szCs w:val="20"/>
          </w:rPr>
          <w:tab/>
        </w:r>
        <w:r w:rsidR="00EB5A91" w:rsidRPr="00EB5A91">
          <w:rPr>
            <w:rStyle w:val="Hyperlink"/>
            <w:rFonts w:asciiTheme="majorHAnsi" w:hAnsiTheme="majorHAnsi" w:cstheme="majorHAnsi"/>
            <w:noProof/>
            <w:szCs w:val="20"/>
          </w:rPr>
          <w:t>Evaluation Methodology</w:t>
        </w:r>
        <w:r w:rsidR="00EB5A91" w:rsidRPr="00EB5A91">
          <w:rPr>
            <w:rFonts w:cstheme="majorHAnsi"/>
            <w:noProof/>
            <w:webHidden/>
            <w:sz w:val="20"/>
            <w:szCs w:val="20"/>
          </w:rPr>
          <w:tab/>
        </w:r>
        <w:r w:rsidR="00EB5A91" w:rsidRPr="00EB5A91">
          <w:rPr>
            <w:rFonts w:cstheme="majorHAnsi"/>
            <w:noProof/>
            <w:webHidden/>
            <w:sz w:val="20"/>
            <w:szCs w:val="20"/>
          </w:rPr>
          <w:fldChar w:fldCharType="begin"/>
        </w:r>
        <w:r w:rsidR="00EB5A91" w:rsidRPr="00EB5A91">
          <w:rPr>
            <w:rFonts w:cstheme="majorHAnsi"/>
            <w:noProof/>
            <w:webHidden/>
            <w:sz w:val="20"/>
            <w:szCs w:val="20"/>
          </w:rPr>
          <w:instrText xml:space="preserve"> PAGEREF _Toc75959318 \h </w:instrText>
        </w:r>
        <w:r w:rsidR="00EB5A91" w:rsidRPr="00EB5A91">
          <w:rPr>
            <w:rFonts w:cstheme="majorHAnsi"/>
            <w:noProof/>
            <w:webHidden/>
            <w:sz w:val="20"/>
            <w:szCs w:val="20"/>
          </w:rPr>
        </w:r>
        <w:r w:rsidR="00EB5A91" w:rsidRPr="00EB5A91">
          <w:rPr>
            <w:rFonts w:cstheme="majorHAnsi"/>
            <w:noProof/>
            <w:webHidden/>
            <w:sz w:val="20"/>
            <w:szCs w:val="20"/>
          </w:rPr>
          <w:fldChar w:fldCharType="separate"/>
        </w:r>
        <w:r w:rsidR="00B4730A">
          <w:rPr>
            <w:rFonts w:cstheme="majorHAnsi"/>
            <w:noProof/>
            <w:webHidden/>
            <w:sz w:val="20"/>
            <w:szCs w:val="20"/>
          </w:rPr>
          <w:t>17</w:t>
        </w:r>
        <w:r w:rsidR="00EB5A91" w:rsidRPr="00EB5A91">
          <w:rPr>
            <w:rFonts w:cstheme="majorHAnsi"/>
            <w:noProof/>
            <w:webHidden/>
            <w:sz w:val="20"/>
            <w:szCs w:val="20"/>
          </w:rPr>
          <w:fldChar w:fldCharType="end"/>
        </w:r>
      </w:hyperlink>
    </w:p>
    <w:p w14:paraId="1EA38E64" w14:textId="5AAD4133" w:rsidR="00EB5A91" w:rsidRPr="00EB5A91" w:rsidRDefault="00E658C3" w:rsidP="00305B4B">
      <w:pPr>
        <w:pStyle w:val="TOC1"/>
        <w:ind w:right="3"/>
        <w:rPr>
          <w:rFonts w:cstheme="majorHAnsi"/>
          <w:noProof/>
          <w:sz w:val="20"/>
          <w:szCs w:val="20"/>
        </w:rPr>
      </w:pPr>
      <w:hyperlink w:anchor="_Toc75959319" w:history="1">
        <w:r w:rsidR="00EB5A91" w:rsidRPr="00EB5A91">
          <w:rPr>
            <w:rStyle w:val="Hyperlink"/>
            <w:rFonts w:asciiTheme="majorHAnsi" w:hAnsiTheme="majorHAnsi" w:cstheme="majorHAnsi"/>
            <w:noProof/>
            <w:szCs w:val="20"/>
          </w:rPr>
          <w:t>3.</w:t>
        </w:r>
        <w:r w:rsidR="00EB5A91" w:rsidRPr="00EB5A91">
          <w:rPr>
            <w:rFonts w:cstheme="majorHAnsi"/>
            <w:noProof/>
            <w:sz w:val="20"/>
            <w:szCs w:val="20"/>
          </w:rPr>
          <w:tab/>
        </w:r>
        <w:r w:rsidR="00EB5A91" w:rsidRPr="00EB5A91">
          <w:rPr>
            <w:rStyle w:val="Hyperlink"/>
            <w:rFonts w:asciiTheme="majorHAnsi" w:hAnsiTheme="majorHAnsi" w:cstheme="majorHAnsi"/>
            <w:noProof/>
            <w:szCs w:val="20"/>
          </w:rPr>
          <w:t>TWES Program Logic</w:t>
        </w:r>
        <w:r w:rsidR="00EB5A91" w:rsidRPr="00EB5A91">
          <w:rPr>
            <w:rFonts w:cstheme="majorHAnsi"/>
            <w:noProof/>
            <w:webHidden/>
            <w:sz w:val="20"/>
            <w:szCs w:val="20"/>
          </w:rPr>
          <w:tab/>
        </w:r>
        <w:r w:rsidR="00EB5A91" w:rsidRPr="00EB5A91">
          <w:rPr>
            <w:rFonts w:cstheme="majorHAnsi"/>
            <w:noProof/>
            <w:webHidden/>
            <w:sz w:val="20"/>
            <w:szCs w:val="20"/>
          </w:rPr>
          <w:fldChar w:fldCharType="begin"/>
        </w:r>
        <w:r w:rsidR="00EB5A91" w:rsidRPr="00EB5A91">
          <w:rPr>
            <w:rFonts w:cstheme="majorHAnsi"/>
            <w:noProof/>
            <w:webHidden/>
            <w:sz w:val="20"/>
            <w:szCs w:val="20"/>
          </w:rPr>
          <w:instrText xml:space="preserve"> PAGEREF _Toc75959319 \h </w:instrText>
        </w:r>
        <w:r w:rsidR="00EB5A91" w:rsidRPr="00EB5A91">
          <w:rPr>
            <w:rFonts w:cstheme="majorHAnsi"/>
            <w:noProof/>
            <w:webHidden/>
            <w:sz w:val="20"/>
            <w:szCs w:val="20"/>
          </w:rPr>
        </w:r>
        <w:r w:rsidR="00EB5A91" w:rsidRPr="00EB5A91">
          <w:rPr>
            <w:rFonts w:cstheme="majorHAnsi"/>
            <w:noProof/>
            <w:webHidden/>
            <w:sz w:val="20"/>
            <w:szCs w:val="20"/>
          </w:rPr>
          <w:fldChar w:fldCharType="separate"/>
        </w:r>
        <w:r w:rsidR="00B4730A">
          <w:rPr>
            <w:rFonts w:cstheme="majorHAnsi"/>
            <w:noProof/>
            <w:webHidden/>
            <w:sz w:val="20"/>
            <w:szCs w:val="20"/>
          </w:rPr>
          <w:t>23</w:t>
        </w:r>
        <w:r w:rsidR="00EB5A91" w:rsidRPr="00EB5A91">
          <w:rPr>
            <w:rFonts w:cstheme="majorHAnsi"/>
            <w:noProof/>
            <w:webHidden/>
            <w:sz w:val="20"/>
            <w:szCs w:val="20"/>
          </w:rPr>
          <w:fldChar w:fldCharType="end"/>
        </w:r>
      </w:hyperlink>
    </w:p>
    <w:p w14:paraId="039A5D1C" w14:textId="16EF4F31" w:rsidR="00EB5A91" w:rsidRPr="00EB5A91" w:rsidRDefault="00E658C3" w:rsidP="00305B4B">
      <w:pPr>
        <w:pStyle w:val="TOC1"/>
        <w:ind w:right="3"/>
        <w:rPr>
          <w:rFonts w:cstheme="majorHAnsi"/>
          <w:noProof/>
          <w:sz w:val="20"/>
          <w:szCs w:val="20"/>
        </w:rPr>
      </w:pPr>
      <w:hyperlink w:anchor="_Toc75959320" w:history="1">
        <w:r w:rsidR="00EB5A91" w:rsidRPr="00EB5A91">
          <w:rPr>
            <w:rStyle w:val="Hyperlink"/>
            <w:rFonts w:asciiTheme="majorHAnsi" w:hAnsiTheme="majorHAnsi" w:cstheme="majorHAnsi"/>
            <w:noProof/>
            <w:szCs w:val="20"/>
          </w:rPr>
          <w:t>4.</w:t>
        </w:r>
        <w:r w:rsidR="00EB5A91" w:rsidRPr="00EB5A91">
          <w:rPr>
            <w:rFonts w:cstheme="majorHAnsi"/>
            <w:noProof/>
            <w:sz w:val="20"/>
            <w:szCs w:val="20"/>
          </w:rPr>
          <w:tab/>
        </w:r>
        <w:r w:rsidR="00EB5A91" w:rsidRPr="00EB5A91">
          <w:rPr>
            <w:rStyle w:val="Hyperlink"/>
            <w:rFonts w:asciiTheme="majorHAnsi" w:hAnsiTheme="majorHAnsi" w:cstheme="majorHAnsi"/>
            <w:noProof/>
            <w:szCs w:val="20"/>
          </w:rPr>
          <w:t>Evaluation Findings</w:t>
        </w:r>
        <w:r w:rsidR="00EB5A91" w:rsidRPr="00EB5A91">
          <w:rPr>
            <w:rFonts w:cstheme="majorHAnsi"/>
            <w:noProof/>
            <w:webHidden/>
            <w:sz w:val="20"/>
            <w:szCs w:val="20"/>
          </w:rPr>
          <w:tab/>
        </w:r>
        <w:r w:rsidR="00EB5A91" w:rsidRPr="00EB5A91">
          <w:rPr>
            <w:rFonts w:cstheme="majorHAnsi"/>
            <w:noProof/>
            <w:webHidden/>
            <w:sz w:val="20"/>
            <w:szCs w:val="20"/>
          </w:rPr>
          <w:fldChar w:fldCharType="begin"/>
        </w:r>
        <w:r w:rsidR="00EB5A91" w:rsidRPr="00EB5A91">
          <w:rPr>
            <w:rFonts w:cstheme="majorHAnsi"/>
            <w:noProof/>
            <w:webHidden/>
            <w:sz w:val="20"/>
            <w:szCs w:val="20"/>
          </w:rPr>
          <w:instrText xml:space="preserve"> PAGEREF _Toc75959320 \h </w:instrText>
        </w:r>
        <w:r w:rsidR="00EB5A91" w:rsidRPr="00EB5A91">
          <w:rPr>
            <w:rFonts w:cstheme="majorHAnsi"/>
            <w:noProof/>
            <w:webHidden/>
            <w:sz w:val="20"/>
            <w:szCs w:val="20"/>
          </w:rPr>
        </w:r>
        <w:r w:rsidR="00EB5A91" w:rsidRPr="00EB5A91">
          <w:rPr>
            <w:rFonts w:cstheme="majorHAnsi"/>
            <w:noProof/>
            <w:webHidden/>
            <w:sz w:val="20"/>
            <w:szCs w:val="20"/>
          </w:rPr>
          <w:fldChar w:fldCharType="separate"/>
        </w:r>
        <w:r w:rsidR="00B4730A">
          <w:rPr>
            <w:rFonts w:cstheme="majorHAnsi"/>
            <w:noProof/>
            <w:webHidden/>
            <w:sz w:val="20"/>
            <w:szCs w:val="20"/>
          </w:rPr>
          <w:t>28</w:t>
        </w:r>
        <w:r w:rsidR="00EB5A91" w:rsidRPr="00EB5A91">
          <w:rPr>
            <w:rFonts w:cstheme="majorHAnsi"/>
            <w:noProof/>
            <w:webHidden/>
            <w:sz w:val="20"/>
            <w:szCs w:val="20"/>
          </w:rPr>
          <w:fldChar w:fldCharType="end"/>
        </w:r>
      </w:hyperlink>
    </w:p>
    <w:p w14:paraId="53F2B949" w14:textId="0EF6B067" w:rsidR="00EB5A91" w:rsidRPr="00EB5A91" w:rsidRDefault="00E658C3" w:rsidP="00305B4B">
      <w:pPr>
        <w:pStyle w:val="TOC2"/>
        <w:ind w:left="993" w:right="3" w:hanging="567"/>
        <w:rPr>
          <w:rFonts w:cstheme="majorHAnsi"/>
          <w:noProof/>
          <w:sz w:val="20"/>
          <w:szCs w:val="20"/>
        </w:rPr>
      </w:pPr>
      <w:hyperlink w:anchor="_Toc75959321" w:history="1">
        <w:r w:rsidR="00EB5A91" w:rsidRPr="00EB5A91">
          <w:rPr>
            <w:rStyle w:val="Hyperlink"/>
            <w:rFonts w:asciiTheme="majorHAnsi" w:hAnsiTheme="majorHAnsi" w:cstheme="majorHAnsi"/>
            <w:noProof/>
            <w:szCs w:val="20"/>
          </w:rPr>
          <w:t>4.1 Objective 1: Understand the design and implementation of TWES</w:t>
        </w:r>
        <w:r w:rsidR="00EB5A91" w:rsidRPr="00EB5A91">
          <w:rPr>
            <w:rFonts w:cstheme="majorHAnsi"/>
            <w:noProof/>
            <w:webHidden/>
            <w:sz w:val="20"/>
            <w:szCs w:val="20"/>
          </w:rPr>
          <w:tab/>
        </w:r>
        <w:r w:rsidR="00EB5A91" w:rsidRPr="00EB5A91">
          <w:rPr>
            <w:rFonts w:cstheme="majorHAnsi"/>
            <w:noProof/>
            <w:webHidden/>
            <w:sz w:val="20"/>
            <w:szCs w:val="20"/>
          </w:rPr>
          <w:fldChar w:fldCharType="begin"/>
        </w:r>
        <w:r w:rsidR="00EB5A91" w:rsidRPr="00EB5A91">
          <w:rPr>
            <w:rFonts w:cstheme="majorHAnsi"/>
            <w:noProof/>
            <w:webHidden/>
            <w:sz w:val="20"/>
            <w:szCs w:val="20"/>
          </w:rPr>
          <w:instrText xml:space="preserve"> PAGEREF _Toc75959321 \h </w:instrText>
        </w:r>
        <w:r w:rsidR="00EB5A91" w:rsidRPr="00EB5A91">
          <w:rPr>
            <w:rFonts w:cstheme="majorHAnsi"/>
            <w:noProof/>
            <w:webHidden/>
            <w:sz w:val="20"/>
            <w:szCs w:val="20"/>
          </w:rPr>
        </w:r>
        <w:r w:rsidR="00EB5A91" w:rsidRPr="00EB5A91">
          <w:rPr>
            <w:rFonts w:cstheme="majorHAnsi"/>
            <w:noProof/>
            <w:webHidden/>
            <w:sz w:val="20"/>
            <w:szCs w:val="20"/>
          </w:rPr>
          <w:fldChar w:fldCharType="separate"/>
        </w:r>
        <w:r w:rsidR="00B4730A">
          <w:rPr>
            <w:rFonts w:cstheme="majorHAnsi"/>
            <w:noProof/>
            <w:webHidden/>
            <w:sz w:val="20"/>
            <w:szCs w:val="20"/>
          </w:rPr>
          <w:t>28</w:t>
        </w:r>
        <w:r w:rsidR="00EB5A91" w:rsidRPr="00EB5A91">
          <w:rPr>
            <w:rFonts w:cstheme="majorHAnsi"/>
            <w:noProof/>
            <w:webHidden/>
            <w:sz w:val="20"/>
            <w:szCs w:val="20"/>
          </w:rPr>
          <w:fldChar w:fldCharType="end"/>
        </w:r>
      </w:hyperlink>
    </w:p>
    <w:p w14:paraId="21BB159D" w14:textId="52559E61" w:rsidR="00EB5A91" w:rsidRPr="00EB5A91" w:rsidRDefault="00E658C3" w:rsidP="00305B4B">
      <w:pPr>
        <w:pStyle w:val="TOC2"/>
        <w:ind w:left="993" w:right="3" w:hanging="567"/>
        <w:rPr>
          <w:rFonts w:cstheme="majorHAnsi"/>
          <w:noProof/>
          <w:sz w:val="20"/>
          <w:szCs w:val="20"/>
        </w:rPr>
      </w:pPr>
      <w:hyperlink w:anchor="_Toc75959322" w:history="1">
        <w:r w:rsidR="00EB5A91" w:rsidRPr="00EB5A91">
          <w:rPr>
            <w:rStyle w:val="Hyperlink"/>
            <w:rFonts w:asciiTheme="majorHAnsi" w:hAnsiTheme="majorHAnsi" w:cstheme="majorHAnsi"/>
            <w:noProof/>
            <w:szCs w:val="20"/>
          </w:rPr>
          <w:t>4.2 Objective 2: Understand the impact of TWES</w:t>
        </w:r>
        <w:r w:rsidR="00EB5A91" w:rsidRPr="00EB5A91">
          <w:rPr>
            <w:rFonts w:cstheme="majorHAnsi"/>
            <w:noProof/>
            <w:webHidden/>
            <w:sz w:val="20"/>
            <w:szCs w:val="20"/>
          </w:rPr>
          <w:tab/>
        </w:r>
        <w:r w:rsidR="00EB5A91" w:rsidRPr="00EB5A91">
          <w:rPr>
            <w:rFonts w:cstheme="majorHAnsi"/>
            <w:noProof/>
            <w:webHidden/>
            <w:sz w:val="20"/>
            <w:szCs w:val="20"/>
          </w:rPr>
          <w:fldChar w:fldCharType="begin"/>
        </w:r>
        <w:r w:rsidR="00EB5A91" w:rsidRPr="00EB5A91">
          <w:rPr>
            <w:rFonts w:cstheme="majorHAnsi"/>
            <w:noProof/>
            <w:webHidden/>
            <w:sz w:val="20"/>
            <w:szCs w:val="20"/>
          </w:rPr>
          <w:instrText xml:space="preserve"> PAGEREF _Toc75959322 \h </w:instrText>
        </w:r>
        <w:r w:rsidR="00EB5A91" w:rsidRPr="00EB5A91">
          <w:rPr>
            <w:rFonts w:cstheme="majorHAnsi"/>
            <w:noProof/>
            <w:webHidden/>
            <w:sz w:val="20"/>
            <w:szCs w:val="20"/>
          </w:rPr>
        </w:r>
        <w:r w:rsidR="00EB5A91" w:rsidRPr="00EB5A91">
          <w:rPr>
            <w:rFonts w:cstheme="majorHAnsi"/>
            <w:noProof/>
            <w:webHidden/>
            <w:sz w:val="20"/>
            <w:szCs w:val="20"/>
          </w:rPr>
          <w:fldChar w:fldCharType="separate"/>
        </w:r>
        <w:r w:rsidR="00B4730A">
          <w:rPr>
            <w:rFonts w:cstheme="majorHAnsi"/>
            <w:noProof/>
            <w:webHidden/>
            <w:sz w:val="20"/>
            <w:szCs w:val="20"/>
          </w:rPr>
          <w:t>56</w:t>
        </w:r>
        <w:r w:rsidR="00EB5A91" w:rsidRPr="00EB5A91">
          <w:rPr>
            <w:rFonts w:cstheme="majorHAnsi"/>
            <w:noProof/>
            <w:webHidden/>
            <w:sz w:val="20"/>
            <w:szCs w:val="20"/>
          </w:rPr>
          <w:fldChar w:fldCharType="end"/>
        </w:r>
      </w:hyperlink>
    </w:p>
    <w:p w14:paraId="2138F7B0" w14:textId="415498C8" w:rsidR="00EB5A91" w:rsidRPr="00EB5A91" w:rsidRDefault="00E658C3" w:rsidP="00305B4B">
      <w:pPr>
        <w:pStyle w:val="TOC2"/>
        <w:ind w:left="993" w:right="3" w:hanging="567"/>
        <w:rPr>
          <w:rFonts w:cstheme="majorHAnsi"/>
          <w:noProof/>
          <w:sz w:val="20"/>
          <w:szCs w:val="20"/>
        </w:rPr>
      </w:pPr>
      <w:hyperlink w:anchor="_Toc75959323" w:history="1">
        <w:r w:rsidR="00EB5A91" w:rsidRPr="00EB5A91">
          <w:rPr>
            <w:rStyle w:val="Hyperlink"/>
            <w:rFonts w:asciiTheme="majorHAnsi" w:hAnsiTheme="majorHAnsi" w:cstheme="majorHAnsi"/>
            <w:noProof/>
            <w:szCs w:val="20"/>
          </w:rPr>
          <w:t>4.3 Objective 3: Understand how to improve TWES</w:t>
        </w:r>
        <w:r w:rsidR="00EB5A91" w:rsidRPr="00EB5A91">
          <w:rPr>
            <w:rFonts w:cstheme="majorHAnsi"/>
            <w:noProof/>
            <w:webHidden/>
            <w:sz w:val="20"/>
            <w:szCs w:val="20"/>
          </w:rPr>
          <w:tab/>
        </w:r>
        <w:r w:rsidR="00EB5A91" w:rsidRPr="00EB5A91">
          <w:rPr>
            <w:rFonts w:cstheme="majorHAnsi"/>
            <w:noProof/>
            <w:webHidden/>
            <w:sz w:val="20"/>
            <w:szCs w:val="20"/>
          </w:rPr>
          <w:fldChar w:fldCharType="begin"/>
        </w:r>
        <w:r w:rsidR="00EB5A91" w:rsidRPr="00EB5A91">
          <w:rPr>
            <w:rFonts w:cstheme="majorHAnsi"/>
            <w:noProof/>
            <w:webHidden/>
            <w:sz w:val="20"/>
            <w:szCs w:val="20"/>
          </w:rPr>
          <w:instrText xml:space="preserve"> PAGEREF _Toc75959323 \h </w:instrText>
        </w:r>
        <w:r w:rsidR="00EB5A91" w:rsidRPr="00EB5A91">
          <w:rPr>
            <w:rFonts w:cstheme="majorHAnsi"/>
            <w:noProof/>
            <w:webHidden/>
            <w:sz w:val="20"/>
            <w:szCs w:val="20"/>
          </w:rPr>
        </w:r>
        <w:r w:rsidR="00EB5A91" w:rsidRPr="00EB5A91">
          <w:rPr>
            <w:rFonts w:cstheme="majorHAnsi"/>
            <w:noProof/>
            <w:webHidden/>
            <w:sz w:val="20"/>
            <w:szCs w:val="20"/>
          </w:rPr>
          <w:fldChar w:fldCharType="separate"/>
        </w:r>
        <w:r w:rsidR="00B4730A">
          <w:rPr>
            <w:rFonts w:cstheme="majorHAnsi"/>
            <w:noProof/>
            <w:webHidden/>
            <w:sz w:val="20"/>
            <w:szCs w:val="20"/>
          </w:rPr>
          <w:t>62</w:t>
        </w:r>
        <w:r w:rsidR="00EB5A91" w:rsidRPr="00EB5A91">
          <w:rPr>
            <w:rFonts w:cstheme="majorHAnsi"/>
            <w:noProof/>
            <w:webHidden/>
            <w:sz w:val="20"/>
            <w:szCs w:val="20"/>
          </w:rPr>
          <w:fldChar w:fldCharType="end"/>
        </w:r>
      </w:hyperlink>
    </w:p>
    <w:p w14:paraId="2182D1A3" w14:textId="7E82E487" w:rsidR="00EB5A91" w:rsidRPr="00EB5A91" w:rsidRDefault="00E658C3" w:rsidP="00305B4B">
      <w:pPr>
        <w:pStyle w:val="TOC1"/>
        <w:ind w:right="3"/>
        <w:rPr>
          <w:rFonts w:cstheme="majorHAnsi"/>
          <w:noProof/>
          <w:sz w:val="20"/>
          <w:szCs w:val="20"/>
        </w:rPr>
      </w:pPr>
      <w:hyperlink w:anchor="_Toc75959324" w:history="1">
        <w:r w:rsidR="00EB5A91" w:rsidRPr="00EB5A91">
          <w:rPr>
            <w:rStyle w:val="Hyperlink"/>
            <w:rFonts w:asciiTheme="majorHAnsi" w:hAnsiTheme="majorHAnsi" w:cstheme="majorHAnsi"/>
            <w:noProof/>
            <w:szCs w:val="20"/>
          </w:rPr>
          <w:t>Appendix 1: Detail on Evaluation Questions</w:t>
        </w:r>
        <w:r w:rsidR="00EB5A91" w:rsidRPr="00EB5A91">
          <w:rPr>
            <w:rFonts w:cstheme="majorHAnsi"/>
            <w:noProof/>
            <w:webHidden/>
            <w:sz w:val="20"/>
            <w:szCs w:val="20"/>
          </w:rPr>
          <w:tab/>
        </w:r>
        <w:r w:rsidR="00EB5A91" w:rsidRPr="00EB5A91">
          <w:rPr>
            <w:rFonts w:cstheme="majorHAnsi"/>
            <w:noProof/>
            <w:webHidden/>
            <w:sz w:val="20"/>
            <w:szCs w:val="20"/>
          </w:rPr>
          <w:fldChar w:fldCharType="begin"/>
        </w:r>
        <w:r w:rsidR="00EB5A91" w:rsidRPr="00EB5A91">
          <w:rPr>
            <w:rFonts w:cstheme="majorHAnsi"/>
            <w:noProof/>
            <w:webHidden/>
            <w:sz w:val="20"/>
            <w:szCs w:val="20"/>
          </w:rPr>
          <w:instrText xml:space="preserve"> PAGEREF _Toc75959324 \h </w:instrText>
        </w:r>
        <w:r w:rsidR="00EB5A91" w:rsidRPr="00EB5A91">
          <w:rPr>
            <w:rFonts w:cstheme="majorHAnsi"/>
            <w:noProof/>
            <w:webHidden/>
            <w:sz w:val="20"/>
            <w:szCs w:val="20"/>
          </w:rPr>
        </w:r>
        <w:r w:rsidR="00EB5A91" w:rsidRPr="00EB5A91">
          <w:rPr>
            <w:rFonts w:cstheme="majorHAnsi"/>
            <w:noProof/>
            <w:webHidden/>
            <w:sz w:val="20"/>
            <w:szCs w:val="20"/>
          </w:rPr>
          <w:fldChar w:fldCharType="separate"/>
        </w:r>
        <w:r w:rsidR="00B4730A">
          <w:rPr>
            <w:rFonts w:cstheme="majorHAnsi"/>
            <w:noProof/>
            <w:webHidden/>
            <w:sz w:val="20"/>
            <w:szCs w:val="20"/>
          </w:rPr>
          <w:t>67</w:t>
        </w:r>
        <w:r w:rsidR="00EB5A91" w:rsidRPr="00EB5A91">
          <w:rPr>
            <w:rFonts w:cstheme="majorHAnsi"/>
            <w:noProof/>
            <w:webHidden/>
            <w:sz w:val="20"/>
            <w:szCs w:val="20"/>
          </w:rPr>
          <w:fldChar w:fldCharType="end"/>
        </w:r>
      </w:hyperlink>
    </w:p>
    <w:p w14:paraId="32B1249F" w14:textId="76040CA7" w:rsidR="00EB5A91" w:rsidRPr="00EB5A91" w:rsidRDefault="00E658C3" w:rsidP="00305B4B">
      <w:pPr>
        <w:pStyle w:val="TOC1"/>
        <w:ind w:right="3"/>
        <w:rPr>
          <w:rFonts w:cstheme="majorHAnsi"/>
          <w:noProof/>
          <w:sz w:val="20"/>
          <w:szCs w:val="20"/>
        </w:rPr>
      </w:pPr>
      <w:hyperlink w:anchor="_Toc75959325" w:history="1">
        <w:r w:rsidR="00EB5A91" w:rsidRPr="00EB5A91">
          <w:rPr>
            <w:rStyle w:val="Hyperlink"/>
            <w:rFonts w:asciiTheme="majorHAnsi" w:hAnsiTheme="majorHAnsi" w:cstheme="majorHAnsi"/>
            <w:noProof/>
            <w:szCs w:val="20"/>
          </w:rPr>
          <w:t>Appendix 2: Evaluation Team</w:t>
        </w:r>
        <w:r w:rsidR="00EB5A91" w:rsidRPr="00EB5A91">
          <w:rPr>
            <w:rFonts w:cstheme="majorHAnsi"/>
            <w:noProof/>
            <w:webHidden/>
            <w:sz w:val="20"/>
            <w:szCs w:val="20"/>
          </w:rPr>
          <w:tab/>
        </w:r>
        <w:r w:rsidR="00EB5A91" w:rsidRPr="00EB5A91">
          <w:rPr>
            <w:rFonts w:cstheme="majorHAnsi"/>
            <w:noProof/>
            <w:webHidden/>
            <w:sz w:val="20"/>
            <w:szCs w:val="20"/>
          </w:rPr>
          <w:fldChar w:fldCharType="begin"/>
        </w:r>
        <w:r w:rsidR="00EB5A91" w:rsidRPr="00EB5A91">
          <w:rPr>
            <w:rFonts w:cstheme="majorHAnsi"/>
            <w:noProof/>
            <w:webHidden/>
            <w:sz w:val="20"/>
            <w:szCs w:val="20"/>
          </w:rPr>
          <w:instrText xml:space="preserve"> PAGEREF _Toc75959325 \h </w:instrText>
        </w:r>
        <w:r w:rsidR="00EB5A91" w:rsidRPr="00EB5A91">
          <w:rPr>
            <w:rFonts w:cstheme="majorHAnsi"/>
            <w:noProof/>
            <w:webHidden/>
            <w:sz w:val="20"/>
            <w:szCs w:val="20"/>
          </w:rPr>
        </w:r>
        <w:r w:rsidR="00EB5A91" w:rsidRPr="00EB5A91">
          <w:rPr>
            <w:rFonts w:cstheme="majorHAnsi"/>
            <w:noProof/>
            <w:webHidden/>
            <w:sz w:val="20"/>
            <w:szCs w:val="20"/>
          </w:rPr>
          <w:fldChar w:fldCharType="separate"/>
        </w:r>
        <w:r w:rsidR="00B4730A">
          <w:rPr>
            <w:rFonts w:cstheme="majorHAnsi"/>
            <w:noProof/>
            <w:webHidden/>
            <w:sz w:val="20"/>
            <w:szCs w:val="20"/>
          </w:rPr>
          <w:t>69</w:t>
        </w:r>
        <w:r w:rsidR="00EB5A91" w:rsidRPr="00EB5A91">
          <w:rPr>
            <w:rFonts w:cstheme="majorHAnsi"/>
            <w:noProof/>
            <w:webHidden/>
            <w:sz w:val="20"/>
            <w:szCs w:val="20"/>
          </w:rPr>
          <w:fldChar w:fldCharType="end"/>
        </w:r>
      </w:hyperlink>
    </w:p>
    <w:p w14:paraId="50D6A966" w14:textId="32DB4593" w:rsidR="00EB5A91" w:rsidRPr="00EB5A91" w:rsidRDefault="00E658C3" w:rsidP="00305B4B">
      <w:pPr>
        <w:pStyle w:val="TOC1"/>
        <w:ind w:right="3"/>
        <w:rPr>
          <w:rFonts w:cstheme="majorHAnsi"/>
          <w:noProof/>
          <w:sz w:val="20"/>
          <w:szCs w:val="20"/>
        </w:rPr>
      </w:pPr>
      <w:hyperlink w:anchor="_Toc75959326" w:history="1">
        <w:r w:rsidR="00EB5A91" w:rsidRPr="00EB5A91">
          <w:rPr>
            <w:rStyle w:val="Hyperlink"/>
            <w:rFonts w:asciiTheme="majorHAnsi" w:hAnsiTheme="majorHAnsi" w:cstheme="majorHAnsi"/>
            <w:noProof/>
            <w:szCs w:val="20"/>
          </w:rPr>
          <w:t>References</w:t>
        </w:r>
        <w:r w:rsidR="00EB5A91" w:rsidRPr="00EB5A91">
          <w:rPr>
            <w:rFonts w:cstheme="majorHAnsi"/>
            <w:noProof/>
            <w:webHidden/>
            <w:sz w:val="20"/>
            <w:szCs w:val="20"/>
          </w:rPr>
          <w:tab/>
        </w:r>
        <w:r w:rsidR="00EB5A91" w:rsidRPr="00EB5A91">
          <w:rPr>
            <w:rFonts w:cstheme="majorHAnsi"/>
            <w:noProof/>
            <w:webHidden/>
            <w:sz w:val="20"/>
            <w:szCs w:val="20"/>
          </w:rPr>
          <w:fldChar w:fldCharType="begin"/>
        </w:r>
        <w:r w:rsidR="00EB5A91" w:rsidRPr="00EB5A91">
          <w:rPr>
            <w:rFonts w:cstheme="majorHAnsi"/>
            <w:noProof/>
            <w:webHidden/>
            <w:sz w:val="20"/>
            <w:szCs w:val="20"/>
          </w:rPr>
          <w:instrText xml:space="preserve"> PAGEREF _Toc75959326 \h </w:instrText>
        </w:r>
        <w:r w:rsidR="00EB5A91" w:rsidRPr="00EB5A91">
          <w:rPr>
            <w:rFonts w:cstheme="majorHAnsi"/>
            <w:noProof/>
            <w:webHidden/>
            <w:sz w:val="20"/>
            <w:szCs w:val="20"/>
          </w:rPr>
        </w:r>
        <w:r w:rsidR="00EB5A91" w:rsidRPr="00EB5A91">
          <w:rPr>
            <w:rFonts w:cstheme="majorHAnsi"/>
            <w:noProof/>
            <w:webHidden/>
            <w:sz w:val="20"/>
            <w:szCs w:val="20"/>
          </w:rPr>
          <w:fldChar w:fldCharType="separate"/>
        </w:r>
        <w:r w:rsidR="00B4730A">
          <w:rPr>
            <w:rFonts w:cstheme="majorHAnsi"/>
            <w:noProof/>
            <w:webHidden/>
            <w:sz w:val="20"/>
            <w:szCs w:val="20"/>
          </w:rPr>
          <w:t>70</w:t>
        </w:r>
        <w:r w:rsidR="00EB5A91" w:rsidRPr="00EB5A91">
          <w:rPr>
            <w:rFonts w:cstheme="majorHAnsi"/>
            <w:noProof/>
            <w:webHidden/>
            <w:sz w:val="20"/>
            <w:szCs w:val="20"/>
          </w:rPr>
          <w:fldChar w:fldCharType="end"/>
        </w:r>
      </w:hyperlink>
    </w:p>
    <w:p w14:paraId="5A36FC7D" w14:textId="3BD348EE" w:rsidR="0035084A" w:rsidRPr="002B1311" w:rsidRDefault="0035084A" w:rsidP="00305B4B">
      <w:pPr>
        <w:pStyle w:val="BodyText"/>
        <w:ind w:right="3"/>
      </w:pPr>
      <w:r w:rsidRPr="00EB5A91">
        <w:fldChar w:fldCharType="end"/>
      </w:r>
    </w:p>
    <w:p w14:paraId="08D98825" w14:textId="77777777" w:rsidR="00717493" w:rsidRDefault="00717493" w:rsidP="00305B4B">
      <w:pPr>
        <w:widowControl/>
        <w:autoSpaceDE/>
        <w:autoSpaceDN/>
        <w:adjustRightInd/>
        <w:ind w:right="3"/>
        <w:rPr>
          <w:rFonts w:ascii="Arial" w:hAnsi="Arial" w:cs="Arial"/>
          <w:sz w:val="32"/>
          <w:szCs w:val="32"/>
        </w:rPr>
      </w:pPr>
      <w:r>
        <w:br w:type="page"/>
      </w:r>
    </w:p>
    <w:p w14:paraId="5877C03A" w14:textId="5EE91958" w:rsidR="00AF502C" w:rsidRDefault="00AF502C" w:rsidP="00305B4B">
      <w:pPr>
        <w:pStyle w:val="Heading1"/>
        <w:ind w:right="3"/>
      </w:pPr>
      <w:bookmarkStart w:id="18" w:name="bookmark1"/>
      <w:bookmarkStart w:id="19" w:name="_Toc72996574"/>
      <w:bookmarkStart w:id="20" w:name="_Toc74911578"/>
      <w:bookmarkStart w:id="21" w:name="_Toc74911603"/>
      <w:bookmarkStart w:id="22" w:name="_Toc75207430"/>
      <w:bookmarkStart w:id="23" w:name="_Toc75207521"/>
      <w:bookmarkStart w:id="24" w:name="_Toc75959315"/>
      <w:bookmarkEnd w:id="11"/>
      <w:bookmarkEnd w:id="18"/>
      <w:r>
        <w:lastRenderedPageBreak/>
        <w:t>Glossary</w:t>
      </w:r>
      <w:bookmarkEnd w:id="19"/>
      <w:bookmarkEnd w:id="20"/>
      <w:bookmarkEnd w:id="21"/>
      <w:bookmarkEnd w:id="22"/>
      <w:bookmarkEnd w:id="23"/>
      <w:bookmarkEnd w:id="24"/>
    </w:p>
    <w:tbl>
      <w:tblPr>
        <w:tblW w:w="0" w:type="auto"/>
        <w:tblCellMar>
          <w:top w:w="28" w:type="dxa"/>
          <w:left w:w="0" w:type="dxa"/>
          <w:bottom w:w="28" w:type="dxa"/>
          <w:right w:w="0" w:type="dxa"/>
        </w:tblCellMar>
        <w:tblLook w:val="0420" w:firstRow="1" w:lastRow="0" w:firstColumn="0" w:lastColumn="0" w:noHBand="0" w:noVBand="1"/>
      </w:tblPr>
      <w:tblGrid>
        <w:gridCol w:w="1257"/>
        <w:gridCol w:w="8361"/>
      </w:tblGrid>
      <w:tr w:rsidR="000B1DD2" w:rsidRPr="008123E2" w14:paraId="3B16F83E" w14:textId="4D2AEFC6" w:rsidTr="000753F2">
        <w:trPr>
          <w:trHeight w:hRule="exact" w:val="397"/>
        </w:trPr>
        <w:tc>
          <w:tcPr>
            <w:tcW w:w="1257" w:type="dxa"/>
            <w:tcBorders>
              <w:top w:val="single" w:sz="4" w:space="0" w:color="002D62"/>
              <w:left w:val="nil"/>
              <w:right w:val="nil"/>
            </w:tcBorders>
            <w:shd w:val="clear" w:color="auto" w:fill="FFFFFF" w:themeFill="background1"/>
            <w:noWrap/>
            <w:tcMar>
              <w:top w:w="85" w:type="dxa"/>
              <w:left w:w="85" w:type="dxa"/>
              <w:bottom w:w="85" w:type="dxa"/>
              <w:right w:w="85" w:type="dxa"/>
            </w:tcMar>
          </w:tcPr>
          <w:p w14:paraId="3090B906" w14:textId="308BF6CD" w:rsidR="000B1DD2" w:rsidRPr="00404437" w:rsidRDefault="000B1DD2" w:rsidP="007F09E7">
            <w:pPr>
              <w:pStyle w:val="TableParagraph"/>
              <w:ind w:left="54"/>
            </w:pPr>
            <w:r w:rsidRPr="00404437">
              <w:t>AIATSIS</w:t>
            </w:r>
          </w:p>
        </w:tc>
        <w:tc>
          <w:tcPr>
            <w:tcW w:w="8361" w:type="dxa"/>
            <w:tcBorders>
              <w:top w:val="single" w:sz="4" w:space="0" w:color="002D62"/>
              <w:left w:val="nil"/>
              <w:right w:val="nil"/>
            </w:tcBorders>
            <w:shd w:val="clear" w:color="auto" w:fill="FFFFFF" w:themeFill="background1"/>
            <w:noWrap/>
            <w:tcMar>
              <w:top w:w="85" w:type="dxa"/>
              <w:left w:w="85" w:type="dxa"/>
              <w:bottom w:w="85" w:type="dxa"/>
              <w:right w:w="85" w:type="dxa"/>
            </w:tcMar>
          </w:tcPr>
          <w:p w14:paraId="033D686F" w14:textId="331EC0EC" w:rsidR="000B1DD2" w:rsidRPr="00404437" w:rsidRDefault="000B1DD2" w:rsidP="007F09E7">
            <w:pPr>
              <w:pStyle w:val="TableParagraph"/>
              <w:ind w:left="54"/>
            </w:pPr>
            <w:r w:rsidRPr="00404437">
              <w:t>Australian Institute for Aboriginal and Torres Strait Islander Studies</w:t>
            </w:r>
          </w:p>
        </w:tc>
      </w:tr>
      <w:tr w:rsidR="000B1DD2" w:rsidRPr="00C23C85" w14:paraId="0C3A4C61" w14:textId="6B6670D4"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651FB39C" w14:textId="177CEBD7" w:rsidR="000B1DD2" w:rsidRPr="00404437" w:rsidRDefault="000B1DD2" w:rsidP="007F09E7">
            <w:pPr>
              <w:pStyle w:val="TableParagraph"/>
              <w:ind w:left="54"/>
            </w:pPr>
            <w:r w:rsidRPr="00404437">
              <w:t>ALO</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540356F2" w14:textId="7E9A0BEF" w:rsidR="000B1DD2" w:rsidRPr="00404437" w:rsidRDefault="000B1DD2" w:rsidP="007F09E7">
            <w:pPr>
              <w:pStyle w:val="TableParagraph"/>
              <w:ind w:left="54"/>
            </w:pPr>
            <w:r w:rsidRPr="00404437">
              <w:t>Aboriginal Liaison Officer</w:t>
            </w:r>
          </w:p>
        </w:tc>
      </w:tr>
      <w:tr w:rsidR="000B1DD2" w:rsidRPr="00C23C85" w14:paraId="371EA019" w14:textId="24D21DAB"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518003CD" w14:textId="174B7ED0" w:rsidR="000B1DD2" w:rsidRPr="00404437" w:rsidRDefault="000B1DD2" w:rsidP="007F09E7">
            <w:pPr>
              <w:pStyle w:val="TableParagraph"/>
              <w:ind w:left="54"/>
            </w:pPr>
            <w:r w:rsidRPr="00404437">
              <w:t>ANU</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2BC8F88C" w14:textId="496E36F9" w:rsidR="000B1DD2" w:rsidRPr="00404437" w:rsidRDefault="000B1DD2" w:rsidP="007F09E7">
            <w:pPr>
              <w:pStyle w:val="TableParagraph"/>
              <w:ind w:left="54"/>
            </w:pPr>
            <w:r w:rsidRPr="00404437">
              <w:t>Australian National University</w:t>
            </w:r>
          </w:p>
        </w:tc>
      </w:tr>
      <w:tr w:rsidR="000B1DD2" w:rsidRPr="00C23C85" w14:paraId="1552813A" w14:textId="69BCEE38"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26C2AC23" w14:textId="596E14C8" w:rsidR="000B1DD2" w:rsidRPr="00404437" w:rsidRDefault="000B1DD2" w:rsidP="007F09E7">
            <w:pPr>
              <w:pStyle w:val="TableParagraph"/>
              <w:ind w:left="54"/>
            </w:pPr>
            <w:r w:rsidRPr="00404437">
              <w:t>CDP</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100BC33F" w14:textId="76EEFD54" w:rsidR="000B1DD2" w:rsidRPr="00404437" w:rsidRDefault="000B1DD2" w:rsidP="007F09E7">
            <w:pPr>
              <w:pStyle w:val="TableParagraph"/>
              <w:ind w:left="54"/>
            </w:pPr>
            <w:r w:rsidRPr="00404437">
              <w:t>Community Development Program</w:t>
            </w:r>
          </w:p>
        </w:tc>
      </w:tr>
      <w:tr w:rsidR="000B1DD2" w:rsidRPr="00C23C85" w14:paraId="0AFA3E10" w14:textId="18D47147"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04534E94" w14:textId="4616F5F0" w:rsidR="000B1DD2" w:rsidRPr="00404437" w:rsidRDefault="000B1DD2" w:rsidP="007F09E7">
            <w:pPr>
              <w:pStyle w:val="TableParagraph"/>
              <w:ind w:left="54"/>
            </w:pPr>
            <w:r w:rsidRPr="00404437">
              <w:t>COAG</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290A6B3E" w14:textId="297F2CCC" w:rsidR="000B1DD2" w:rsidRPr="00404437" w:rsidRDefault="000B1DD2" w:rsidP="007F09E7">
            <w:pPr>
              <w:pStyle w:val="TableParagraph"/>
              <w:ind w:left="54"/>
            </w:pPr>
            <w:r w:rsidRPr="00404437">
              <w:t>Council of Australian Governments</w:t>
            </w:r>
          </w:p>
        </w:tc>
      </w:tr>
      <w:tr w:rsidR="000B1DD2" w:rsidRPr="00C23C85" w14:paraId="24734244" w14:textId="13C0383E"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4F5C569A" w14:textId="4856809F" w:rsidR="000B1DD2" w:rsidRPr="00404437" w:rsidRDefault="000B1DD2" w:rsidP="007F09E7">
            <w:pPr>
              <w:pStyle w:val="TableParagraph"/>
              <w:ind w:left="54"/>
            </w:pPr>
            <w:r w:rsidRPr="00404437">
              <w:t>DES</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503A5998" w14:textId="413837AA" w:rsidR="000B1DD2" w:rsidRPr="00404437" w:rsidRDefault="000B1DD2" w:rsidP="007F09E7">
            <w:pPr>
              <w:pStyle w:val="TableParagraph"/>
              <w:ind w:left="54"/>
            </w:pPr>
            <w:r w:rsidRPr="00404437">
              <w:t>Disability Employment Services</w:t>
            </w:r>
          </w:p>
        </w:tc>
      </w:tr>
      <w:tr w:rsidR="000B1DD2" w:rsidRPr="00C23C85" w14:paraId="66BB1B6E" w14:textId="7ACFF354"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4E1069E3" w14:textId="457B1B49" w:rsidR="000B1DD2" w:rsidRPr="00404437" w:rsidRDefault="000B1DD2" w:rsidP="007F09E7">
            <w:pPr>
              <w:pStyle w:val="TableParagraph"/>
              <w:ind w:left="54"/>
            </w:pPr>
            <w:r w:rsidRPr="00404437">
              <w:t>DESE</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16B6E66A" w14:textId="1F632743" w:rsidR="000B1DD2" w:rsidRPr="00404437" w:rsidRDefault="000B1DD2" w:rsidP="007F09E7">
            <w:pPr>
              <w:pStyle w:val="TableParagraph"/>
              <w:ind w:left="54"/>
            </w:pPr>
            <w:r w:rsidRPr="00404437">
              <w:t>Department of Education, Skills and Employment</w:t>
            </w:r>
          </w:p>
        </w:tc>
      </w:tr>
      <w:tr w:rsidR="000B1DD2" w:rsidRPr="00C23C85" w14:paraId="6C8F7429" w14:textId="707A119B"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74654831" w14:textId="6BE5F548" w:rsidR="000B1DD2" w:rsidRPr="00404437" w:rsidRDefault="000B1DD2" w:rsidP="007F09E7">
            <w:pPr>
              <w:pStyle w:val="TableParagraph"/>
              <w:ind w:left="54"/>
            </w:pPr>
            <w:r w:rsidRPr="00404437">
              <w:t>ESAt</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160257EE" w14:textId="0C5F7E32" w:rsidR="000B1DD2" w:rsidRPr="00404437" w:rsidRDefault="000B1DD2" w:rsidP="007F09E7">
            <w:pPr>
              <w:pStyle w:val="TableParagraph"/>
              <w:ind w:left="54"/>
            </w:pPr>
            <w:r w:rsidRPr="00404437">
              <w:t>Employment Services Assessment</w:t>
            </w:r>
          </w:p>
        </w:tc>
      </w:tr>
      <w:tr w:rsidR="000B1DD2" w:rsidRPr="00C23C85" w14:paraId="02FE4D59" w14:textId="5A55D906"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7A4D4FE0" w14:textId="30C41B7B" w:rsidR="000B1DD2" w:rsidRPr="00404437" w:rsidRDefault="000B1DD2" w:rsidP="007F09E7">
            <w:pPr>
              <w:pStyle w:val="TableParagraph"/>
              <w:ind w:left="54"/>
            </w:pPr>
            <w:r w:rsidRPr="00404437">
              <w:t>ESS</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2A7398D7" w14:textId="4705DAA7" w:rsidR="000B1DD2" w:rsidRPr="00404437" w:rsidRDefault="000B1DD2" w:rsidP="007F09E7">
            <w:pPr>
              <w:pStyle w:val="TableParagraph"/>
              <w:ind w:left="54"/>
            </w:pPr>
            <w:r w:rsidRPr="00404437">
              <w:t>Employment Services System database</w:t>
            </w:r>
          </w:p>
        </w:tc>
      </w:tr>
      <w:tr w:rsidR="000B1DD2" w:rsidRPr="00C23C85" w14:paraId="0294F14C" w14:textId="2E2E070A"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5CB40E49" w14:textId="7130BD8D" w:rsidR="000B1DD2" w:rsidRPr="00404437" w:rsidRDefault="000B1DD2" w:rsidP="007F09E7">
            <w:pPr>
              <w:pStyle w:val="TableParagraph"/>
              <w:ind w:left="54"/>
            </w:pPr>
            <w:r w:rsidRPr="00404437">
              <w:t>HREC</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36D0E299" w14:textId="667239FB" w:rsidR="000B1DD2" w:rsidRPr="00404437" w:rsidRDefault="000B1DD2" w:rsidP="007F09E7">
            <w:pPr>
              <w:pStyle w:val="TableParagraph"/>
              <w:ind w:left="54"/>
            </w:pPr>
            <w:r w:rsidRPr="00404437">
              <w:t>Human Research Ethics Committee</w:t>
            </w:r>
          </w:p>
        </w:tc>
      </w:tr>
      <w:tr w:rsidR="000B1DD2" w:rsidRPr="00C23C85" w14:paraId="57906239" w14:textId="440764E5"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512A1C66" w14:textId="45D258A0" w:rsidR="000B1DD2" w:rsidRPr="00404437" w:rsidRDefault="000B1DD2" w:rsidP="007F09E7">
            <w:pPr>
              <w:pStyle w:val="TableParagraph"/>
              <w:ind w:left="54"/>
            </w:pPr>
            <w:r w:rsidRPr="00404437">
              <w:t>IAS</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6AB67C41" w14:textId="1B0F21A0" w:rsidR="000B1DD2" w:rsidRPr="00404437" w:rsidRDefault="000B1DD2" w:rsidP="007F09E7">
            <w:pPr>
              <w:pStyle w:val="TableParagraph"/>
              <w:ind w:left="54"/>
            </w:pPr>
            <w:r w:rsidRPr="00404437">
              <w:t>Indigenous Advancement Strategy</w:t>
            </w:r>
          </w:p>
        </w:tc>
      </w:tr>
      <w:tr w:rsidR="000B1DD2" w:rsidRPr="00C23C85" w14:paraId="5F498263" w14:textId="188C5F42"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19334778" w14:textId="221CC619" w:rsidR="000B1DD2" w:rsidRPr="00404437" w:rsidRDefault="000B1DD2" w:rsidP="007F09E7">
            <w:pPr>
              <w:pStyle w:val="TableParagraph"/>
              <w:ind w:left="54"/>
            </w:pPr>
            <w:r w:rsidRPr="00404437">
              <w:t>JSCI</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5C2F1B93" w14:textId="58348243" w:rsidR="000B1DD2" w:rsidRPr="00404437" w:rsidRDefault="000B1DD2" w:rsidP="007F09E7">
            <w:pPr>
              <w:pStyle w:val="TableParagraph"/>
              <w:ind w:left="54"/>
            </w:pPr>
            <w:r w:rsidRPr="00404437">
              <w:t>Job Seeker Classification Instrument</w:t>
            </w:r>
          </w:p>
        </w:tc>
      </w:tr>
      <w:tr w:rsidR="000B1DD2" w:rsidRPr="00C23C85" w14:paraId="7CE77475" w14:textId="5ED812E8"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239A98DF" w14:textId="680BC3BF" w:rsidR="000B1DD2" w:rsidRPr="00404437" w:rsidRDefault="000B1DD2" w:rsidP="007F09E7">
            <w:pPr>
              <w:pStyle w:val="TableParagraph"/>
              <w:ind w:left="54"/>
            </w:pPr>
            <w:r w:rsidRPr="00404437">
              <w:t>NIAA</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225A3203" w14:textId="0DFA34B3" w:rsidR="000B1DD2" w:rsidRPr="00404437" w:rsidRDefault="000B1DD2" w:rsidP="007F09E7">
            <w:pPr>
              <w:pStyle w:val="TableParagraph"/>
              <w:ind w:left="54"/>
            </w:pPr>
            <w:r w:rsidRPr="00404437">
              <w:t>National Indigenous Australians Agency</w:t>
            </w:r>
          </w:p>
        </w:tc>
      </w:tr>
      <w:tr w:rsidR="000B1DD2" w:rsidRPr="00C23C85" w14:paraId="4E8DA4E4" w14:textId="2A2E970C"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789A326E" w14:textId="2FFAB604" w:rsidR="000B1DD2" w:rsidRPr="00404437" w:rsidRDefault="000B1DD2" w:rsidP="007F09E7">
            <w:pPr>
              <w:pStyle w:val="TableParagraph"/>
              <w:ind w:left="54"/>
            </w:pPr>
            <w:r w:rsidRPr="00404437">
              <w:t>NEIS</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58657595" w14:textId="65492973" w:rsidR="000B1DD2" w:rsidRPr="00404437" w:rsidRDefault="000B1DD2" w:rsidP="007F09E7">
            <w:pPr>
              <w:pStyle w:val="TableParagraph"/>
              <w:ind w:left="54"/>
            </w:pPr>
            <w:r w:rsidRPr="00404437">
              <w:t>New Enterprise Incentive Scheme</w:t>
            </w:r>
          </w:p>
        </w:tc>
      </w:tr>
      <w:tr w:rsidR="000B1DD2" w:rsidRPr="00C23C85" w14:paraId="2EC0C65E" w14:textId="3EED0A2B" w:rsidTr="000753F2">
        <w:trPr>
          <w:trHeight w:hRule="exact" w:val="696"/>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70B36F46" w14:textId="0453052C" w:rsidR="000B1DD2" w:rsidRPr="00404437" w:rsidRDefault="000B1DD2" w:rsidP="007F09E7">
            <w:pPr>
              <w:pStyle w:val="TableParagraph"/>
              <w:ind w:left="54"/>
            </w:pPr>
            <w:r w:rsidRPr="00404437">
              <w:t>NP</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26ABE824" w14:textId="7E41E51C" w:rsidR="000B1DD2" w:rsidRPr="00404437" w:rsidRDefault="000B1DD2" w:rsidP="007F09E7">
            <w:pPr>
              <w:pStyle w:val="TableParagraph"/>
              <w:ind w:left="54"/>
            </w:pPr>
            <w:r w:rsidRPr="00404437">
              <w:t>Not provided – used when reporting small values (for particular regions or cohorts) to mitigate any data privacy risks</w:t>
            </w:r>
          </w:p>
        </w:tc>
      </w:tr>
      <w:tr w:rsidR="000B1DD2" w:rsidRPr="00C23C85" w14:paraId="19DBCAC2" w14:textId="3F24D082"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0F67BD74" w14:textId="1D266AC4" w:rsidR="000B1DD2" w:rsidRPr="00404437" w:rsidRDefault="000B1DD2" w:rsidP="007F09E7">
            <w:pPr>
              <w:pStyle w:val="TableParagraph"/>
              <w:ind w:left="54"/>
            </w:pPr>
            <w:r w:rsidRPr="00404437">
              <w:t>PM&amp;C</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025FEAD7" w14:textId="6886EFF6" w:rsidR="000B1DD2" w:rsidRPr="00404437" w:rsidRDefault="000B1DD2" w:rsidP="007F09E7">
            <w:pPr>
              <w:pStyle w:val="TableParagraph"/>
              <w:ind w:left="54"/>
            </w:pPr>
            <w:r w:rsidRPr="00404437">
              <w:t>Department of the Prime Minister and Cabinet</w:t>
            </w:r>
          </w:p>
        </w:tc>
      </w:tr>
      <w:tr w:rsidR="000B1DD2" w:rsidRPr="00C23C85" w14:paraId="1EE82589" w14:textId="63F9338C"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7588DF37" w14:textId="0D56AA54" w:rsidR="000B1DD2" w:rsidRPr="00404437" w:rsidRDefault="000B1DD2" w:rsidP="007F09E7">
            <w:pPr>
              <w:pStyle w:val="TableParagraph"/>
              <w:ind w:left="54"/>
            </w:pPr>
            <w:r w:rsidRPr="00404437">
              <w:t>PtW</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6A3B6849" w14:textId="0BA74CC9" w:rsidR="000B1DD2" w:rsidRPr="00404437" w:rsidRDefault="000B1DD2" w:rsidP="007F09E7">
            <w:pPr>
              <w:pStyle w:val="TableParagraph"/>
              <w:ind w:left="54"/>
            </w:pPr>
            <w:r w:rsidRPr="00404437">
              <w:t>Prison to Work report</w:t>
            </w:r>
          </w:p>
        </w:tc>
      </w:tr>
      <w:tr w:rsidR="000B1DD2" w:rsidRPr="00C23C85" w14:paraId="6CED727A" w14:textId="6B978029"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2BE78BDD" w14:textId="5E3919BA" w:rsidR="000B1DD2" w:rsidRPr="00404437" w:rsidRDefault="000B1DD2" w:rsidP="007F09E7">
            <w:pPr>
              <w:pStyle w:val="TableParagraph"/>
              <w:ind w:left="54"/>
            </w:pPr>
            <w:r w:rsidRPr="00404437">
              <w:t>SVA</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2E1C86D4" w14:textId="56ADFB81" w:rsidR="000B1DD2" w:rsidRPr="00404437" w:rsidRDefault="000B1DD2" w:rsidP="007F09E7">
            <w:pPr>
              <w:pStyle w:val="TableParagraph"/>
              <w:ind w:left="54"/>
            </w:pPr>
            <w:r w:rsidRPr="00404437">
              <w:t>Social Ventures Australia</w:t>
            </w:r>
          </w:p>
        </w:tc>
      </w:tr>
      <w:tr w:rsidR="000B1DD2" w:rsidRPr="00C23C85" w14:paraId="5EC622BA" w14:textId="172AD510"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790C0FC6" w14:textId="5EE78B8F" w:rsidR="000B1DD2" w:rsidRPr="00404437" w:rsidRDefault="000B1DD2" w:rsidP="007F09E7">
            <w:pPr>
              <w:pStyle w:val="TableParagraph"/>
              <w:ind w:left="54"/>
            </w:pPr>
            <w:r w:rsidRPr="00404437">
              <w:t>TtW</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613C963C" w14:textId="7C6D3EC3" w:rsidR="000B1DD2" w:rsidRPr="00404437" w:rsidRDefault="000B1DD2" w:rsidP="007F09E7">
            <w:pPr>
              <w:pStyle w:val="TableParagraph"/>
              <w:ind w:left="54"/>
            </w:pPr>
            <w:r w:rsidRPr="00404437">
              <w:t>Transition to Work</w:t>
            </w:r>
          </w:p>
        </w:tc>
      </w:tr>
      <w:tr w:rsidR="000B1DD2" w:rsidRPr="00C23C85" w14:paraId="45F9DB0A" w14:textId="0D144AD5" w:rsidTr="000753F2">
        <w:trPr>
          <w:trHeight w:hRule="exact" w:val="397"/>
        </w:trPr>
        <w:tc>
          <w:tcPr>
            <w:tcW w:w="1257"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15F3D332" w14:textId="14C0A79B" w:rsidR="000B1DD2" w:rsidRPr="00404437" w:rsidRDefault="000B1DD2" w:rsidP="007F09E7">
            <w:pPr>
              <w:pStyle w:val="TableParagraph"/>
              <w:ind w:left="54"/>
            </w:pPr>
            <w:r w:rsidRPr="00404437">
              <w:t>TWES</w:t>
            </w:r>
          </w:p>
        </w:tc>
        <w:tc>
          <w:tcPr>
            <w:tcW w:w="8361" w:type="dxa"/>
            <w:tcBorders>
              <w:top w:val="single" w:sz="4" w:space="0" w:color="002D62"/>
              <w:left w:val="nil"/>
              <w:bottom w:val="single" w:sz="4" w:space="0" w:color="002D62"/>
              <w:right w:val="nil"/>
            </w:tcBorders>
            <w:shd w:val="clear" w:color="auto" w:fill="FFFFFF" w:themeFill="background1"/>
            <w:noWrap/>
            <w:tcMar>
              <w:top w:w="85" w:type="dxa"/>
              <w:left w:w="85" w:type="dxa"/>
              <w:bottom w:w="85" w:type="dxa"/>
              <w:right w:w="85" w:type="dxa"/>
            </w:tcMar>
          </w:tcPr>
          <w:p w14:paraId="5E87777D" w14:textId="344033DC" w:rsidR="000B1DD2" w:rsidRPr="00404437" w:rsidRDefault="000B1DD2" w:rsidP="007F09E7">
            <w:pPr>
              <w:pStyle w:val="TableParagraph"/>
              <w:ind w:left="54"/>
            </w:pPr>
            <w:r w:rsidRPr="00404437">
              <w:t>Time to Work Employment Service</w:t>
            </w:r>
          </w:p>
        </w:tc>
      </w:tr>
    </w:tbl>
    <w:p w14:paraId="5A4D8D1F" w14:textId="77777777" w:rsidR="00AF502C" w:rsidRDefault="00AF502C" w:rsidP="00305B4B">
      <w:pPr>
        <w:widowControl/>
        <w:autoSpaceDE/>
        <w:autoSpaceDN/>
        <w:adjustRightInd/>
        <w:ind w:right="3"/>
        <w:rPr>
          <w:rFonts w:ascii="Arial" w:hAnsi="Arial" w:cs="Arial"/>
          <w:sz w:val="32"/>
          <w:szCs w:val="32"/>
        </w:rPr>
      </w:pPr>
      <w:r>
        <w:br w:type="page"/>
      </w:r>
    </w:p>
    <w:p w14:paraId="4BCFA082" w14:textId="391FDC7D" w:rsidR="000927ED" w:rsidRPr="00D610D6" w:rsidRDefault="000927ED" w:rsidP="006D5E8F">
      <w:pPr>
        <w:pStyle w:val="Heading1"/>
      </w:pPr>
      <w:bookmarkStart w:id="25" w:name="_Toc74911579"/>
      <w:bookmarkStart w:id="26" w:name="_Toc74911604"/>
      <w:bookmarkStart w:id="27" w:name="_Toc75959316"/>
      <w:r w:rsidRPr="00D610D6">
        <w:lastRenderedPageBreak/>
        <w:t xml:space="preserve">Executive </w:t>
      </w:r>
      <w:r w:rsidR="00EE4C18" w:rsidRPr="006D5E8F">
        <w:t>S</w:t>
      </w:r>
      <w:r w:rsidRPr="006D5E8F">
        <w:t>ummary</w:t>
      </w:r>
      <w:bookmarkEnd w:id="25"/>
      <w:bookmarkEnd w:id="26"/>
      <w:bookmarkEnd w:id="27"/>
    </w:p>
    <w:p w14:paraId="080D53EC" w14:textId="27571A5B" w:rsidR="00B0191A" w:rsidRPr="00404437" w:rsidRDefault="000927ED" w:rsidP="00305B4B">
      <w:pPr>
        <w:pStyle w:val="BodyText"/>
        <w:ind w:right="3"/>
      </w:pPr>
      <w:r w:rsidRPr="00404437">
        <w:t>The Time to Work Employment Service (TWES) is a voluntary in-prison program that support</w:t>
      </w:r>
      <w:r w:rsidR="00BF18D1" w:rsidRPr="00404437">
        <w:t>s</w:t>
      </w:r>
      <w:r w:rsidRPr="00404437">
        <w:t xml:space="preserve"> </w:t>
      </w:r>
      <w:r w:rsidR="00A84180" w:rsidRPr="00404437">
        <w:t xml:space="preserve">incarcerated </w:t>
      </w:r>
      <w:r w:rsidR="00144ED0" w:rsidRPr="00404437">
        <w:t>A</w:t>
      </w:r>
      <w:r w:rsidRPr="00404437">
        <w:t>boriginal and Torres Strait Island</w:t>
      </w:r>
      <w:r w:rsidR="00A84180" w:rsidRPr="00404437">
        <w:t>er</w:t>
      </w:r>
      <w:r w:rsidR="00181A69" w:rsidRPr="00404437">
        <w:t xml:space="preserve"> people</w:t>
      </w:r>
      <w:r w:rsidR="00FC61E2" w:rsidRPr="00404437">
        <w:t xml:space="preserve"> </w:t>
      </w:r>
      <w:r w:rsidRPr="00404437">
        <w:t xml:space="preserve">to transition from prison to work. </w:t>
      </w:r>
      <w:r w:rsidR="00B0191A" w:rsidRPr="00404437">
        <w:t xml:space="preserve">TWES targets adult, sentenced Aboriginal and Torres Strait Islander prisoners who are between </w:t>
      </w:r>
      <w:r w:rsidR="00CF305C" w:rsidRPr="00404437">
        <w:t xml:space="preserve">one </w:t>
      </w:r>
      <w:r w:rsidR="003D11AF" w:rsidRPr="00404437">
        <w:t>and</w:t>
      </w:r>
      <w:r w:rsidR="00CF305C" w:rsidRPr="00404437">
        <w:t xml:space="preserve"> </w:t>
      </w:r>
      <w:r w:rsidR="001548AE" w:rsidRPr="00404437">
        <w:t xml:space="preserve">four </w:t>
      </w:r>
      <w:r w:rsidR="00B0191A" w:rsidRPr="00404437">
        <w:t>month</w:t>
      </w:r>
      <w:r w:rsidR="006030E5" w:rsidRPr="00404437">
        <w:t>s</w:t>
      </w:r>
      <w:r w:rsidR="00B0191A" w:rsidRPr="00404437">
        <w:t xml:space="preserve"> from their earliest possible release date. TWES </w:t>
      </w:r>
      <w:r w:rsidR="001B0165" w:rsidRPr="00404437">
        <w:t xml:space="preserve">aims to </w:t>
      </w:r>
      <w:r w:rsidR="00B0191A" w:rsidRPr="00404437">
        <w:t>assist participants through appropriate assessment</w:t>
      </w:r>
      <w:r w:rsidR="00D14932" w:rsidRPr="00404437">
        <w:t>s</w:t>
      </w:r>
      <w:r w:rsidR="00B0191A" w:rsidRPr="00404437">
        <w:t xml:space="preserve"> and link them</w:t>
      </w:r>
      <w:r w:rsidR="00A84180" w:rsidRPr="00404437">
        <w:t xml:space="preserve"> </w:t>
      </w:r>
      <w:r w:rsidR="00B0191A" w:rsidRPr="00404437">
        <w:t xml:space="preserve">to post-release employment services. </w:t>
      </w:r>
    </w:p>
    <w:p w14:paraId="6CED390B" w14:textId="48DBD586" w:rsidR="00C800FF" w:rsidRPr="00404437" w:rsidRDefault="00C800FF" w:rsidP="00305B4B">
      <w:pPr>
        <w:pStyle w:val="BodyText"/>
        <w:ind w:right="3"/>
      </w:pPr>
      <w:r w:rsidRPr="00404437">
        <w:t>TWES is designed to address some of the challenges identified in the C</w:t>
      </w:r>
      <w:r w:rsidR="001A324B" w:rsidRPr="00404437">
        <w:t>ouncil of Australian Government</w:t>
      </w:r>
      <w:r w:rsidR="00D2426F" w:rsidRPr="00404437">
        <w:t>s</w:t>
      </w:r>
      <w:r w:rsidR="001A324B" w:rsidRPr="00404437">
        <w:t xml:space="preserve"> </w:t>
      </w:r>
      <w:r w:rsidR="00D2426F" w:rsidRPr="00404437">
        <w:t>(</w:t>
      </w:r>
      <w:r w:rsidRPr="00404437">
        <w:t>COAG</w:t>
      </w:r>
      <w:r w:rsidR="00D2426F" w:rsidRPr="00404437">
        <w:t>)</w:t>
      </w:r>
      <w:r w:rsidRPr="00404437">
        <w:t xml:space="preserve"> </w:t>
      </w:r>
      <w:r w:rsidR="00F64DA2" w:rsidRPr="00404437">
        <w:t>2016</w:t>
      </w:r>
      <w:r w:rsidR="00813E55" w:rsidRPr="00404437">
        <w:t xml:space="preserve"> </w:t>
      </w:r>
      <w:r w:rsidRPr="00404437">
        <w:t>Prison to Work report, including Finding 5:</w:t>
      </w:r>
      <w:r w:rsidR="00307D52" w:rsidRPr="00305B4B">
        <w:rPr>
          <w:vertAlign w:val="superscript"/>
        </w:rPr>
        <w:footnoteReference w:id="2"/>
      </w:r>
      <w:r w:rsidRPr="00305B4B">
        <w:rPr>
          <w:vertAlign w:val="superscript"/>
        </w:rPr>
        <w:t xml:space="preserve"> </w:t>
      </w:r>
    </w:p>
    <w:p w14:paraId="24562D64" w14:textId="0EF77775" w:rsidR="00C800FF" w:rsidRPr="00404437" w:rsidRDefault="00C800FF" w:rsidP="00305B4B">
      <w:pPr>
        <w:pStyle w:val="Quote"/>
        <w:ind w:right="3"/>
      </w:pPr>
      <w:r w:rsidRPr="00404437">
        <w:t>“there is a lack of timely, co-ordinated and quality engagement with Aboriginal and Torres Strait Islander prisoners from employment and welfare services.”</w:t>
      </w:r>
    </w:p>
    <w:p w14:paraId="2CFF9895" w14:textId="16D3F5BB" w:rsidR="00C800FF" w:rsidRPr="00404437" w:rsidRDefault="00C800FF" w:rsidP="00305B4B">
      <w:pPr>
        <w:pStyle w:val="BodyText"/>
        <w:ind w:right="3"/>
      </w:pPr>
      <w:r w:rsidRPr="00404437">
        <w:t xml:space="preserve">This includes addressing issues such as the fragmentation of the service system and the difficulties associated with navigating welfare and employment systems in the transition from incarceration to community life and employment. </w:t>
      </w:r>
    </w:p>
    <w:p w14:paraId="2215A415" w14:textId="0D7FCF61" w:rsidR="00707D5A" w:rsidRPr="00404437" w:rsidRDefault="00C800FF" w:rsidP="00305B4B">
      <w:pPr>
        <w:pStyle w:val="BodyText"/>
        <w:ind w:right="3"/>
      </w:pPr>
      <w:r w:rsidRPr="00404437">
        <w:t>The report describe</w:t>
      </w:r>
      <w:r w:rsidR="00152008" w:rsidRPr="00404437">
        <w:t>d</w:t>
      </w:r>
      <w:r w:rsidRPr="00404437">
        <w:t xml:space="preserve"> how Indigenous prisoners often “fall through the cracks” as they navigate employment, welfare and other human service systems and how all levels of </w:t>
      </w:r>
      <w:r w:rsidR="00870CE8" w:rsidRPr="00404437">
        <w:t>g</w:t>
      </w:r>
      <w:r w:rsidRPr="00404437">
        <w:t xml:space="preserve">overnment can improve service delivery to these highly vulnerable and disadvantaged client groups. TWES </w:t>
      </w:r>
      <w:r w:rsidR="00F72C16" w:rsidRPr="00404437">
        <w:t xml:space="preserve">seeks to </w:t>
      </w:r>
      <w:r w:rsidRPr="00404437">
        <w:t xml:space="preserve">address this by focusing on </w:t>
      </w:r>
      <w:r w:rsidR="009E1E06" w:rsidRPr="00404437">
        <w:t xml:space="preserve">strengthening </w:t>
      </w:r>
      <w:r w:rsidRPr="00404437">
        <w:t>prisoners</w:t>
      </w:r>
      <w:r w:rsidR="00813E55" w:rsidRPr="00404437">
        <w:t>’</w:t>
      </w:r>
      <w:r w:rsidRPr="00404437">
        <w:t xml:space="preserve"> engagement with employment services. </w:t>
      </w:r>
      <w:r w:rsidR="00152008" w:rsidRPr="00404437">
        <w:t>In order to achieve this</w:t>
      </w:r>
      <w:r w:rsidR="00F72C16" w:rsidRPr="00404437">
        <w:t>,</w:t>
      </w:r>
      <w:r w:rsidR="00813E55" w:rsidRPr="00404437">
        <w:t xml:space="preserve"> TWES requires collaboration and coordination across multiple stakeholders</w:t>
      </w:r>
      <w:r w:rsidR="004627CE" w:rsidRPr="00404437">
        <w:t>. This includes</w:t>
      </w:r>
      <w:r w:rsidR="00813E55" w:rsidRPr="00404437">
        <w:t xml:space="preserve"> Commonwealth and state and territory agencies and contracted providers who are funded to promote, deliver and manage TWES in prisons (TWES </w:t>
      </w:r>
      <w:r w:rsidR="00BC1946" w:rsidRPr="00404437">
        <w:t>providers</w:t>
      </w:r>
      <w:r w:rsidR="00813E55" w:rsidRPr="00404437">
        <w:t xml:space="preserve">). </w:t>
      </w:r>
      <w:r w:rsidR="00707D5A" w:rsidRPr="00404437">
        <w:t xml:space="preserve">TWES is delivered through four key steps: </w:t>
      </w:r>
    </w:p>
    <w:p w14:paraId="33448D2D" w14:textId="7B438537" w:rsidR="00707D5A" w:rsidRPr="00404437" w:rsidRDefault="00707D5A" w:rsidP="00305B4B">
      <w:pPr>
        <w:pStyle w:val="Bulletedlist"/>
        <w:ind w:right="3"/>
      </w:pPr>
      <w:r w:rsidRPr="00404437">
        <w:t xml:space="preserve">Conducting the </w:t>
      </w:r>
      <w:r w:rsidRPr="00404437">
        <w:rPr>
          <w:b/>
          <w:bCs/>
        </w:rPr>
        <w:t>Job Seeker Classification Instrument (JSCI)</w:t>
      </w:r>
      <w:r w:rsidRPr="00404437">
        <w:t xml:space="preserve"> with participants to assess their level of disadvantage in the labour market</w:t>
      </w:r>
      <w:r w:rsidR="005779FB" w:rsidRPr="00404437">
        <w:t>.</w:t>
      </w:r>
      <w:r w:rsidRPr="00404437">
        <w:t xml:space="preserve"> </w:t>
      </w:r>
    </w:p>
    <w:p w14:paraId="67E8BF20" w14:textId="61F962C4" w:rsidR="00707D5A" w:rsidRPr="00404437" w:rsidRDefault="00707D5A" w:rsidP="00305B4B">
      <w:pPr>
        <w:pStyle w:val="Bulletedlist"/>
        <w:ind w:right="3"/>
      </w:pPr>
      <w:r w:rsidRPr="00404437">
        <w:t xml:space="preserve">Arranging the </w:t>
      </w:r>
      <w:r w:rsidRPr="00404437">
        <w:rPr>
          <w:b/>
          <w:bCs/>
        </w:rPr>
        <w:t>Employment Services Assessment (ESAt)</w:t>
      </w:r>
      <w:r w:rsidRPr="00404437">
        <w:t xml:space="preserve"> by Services Australia, which provides a biopsychosocial assessment of participants’ barriers to employment</w:t>
      </w:r>
      <w:r w:rsidR="00766084" w:rsidRPr="00404437">
        <w:t>.</w:t>
      </w:r>
      <w:r w:rsidRPr="00404437">
        <w:t xml:space="preserve"> </w:t>
      </w:r>
    </w:p>
    <w:p w14:paraId="66F92F46" w14:textId="374EE194" w:rsidR="00707D5A" w:rsidRPr="00404437" w:rsidRDefault="00707D5A" w:rsidP="00305B4B">
      <w:pPr>
        <w:pStyle w:val="Bulletedlist"/>
        <w:ind w:right="3"/>
      </w:pPr>
      <w:r w:rsidRPr="00404437">
        <w:t xml:space="preserve">Developing an </w:t>
      </w:r>
      <w:r w:rsidRPr="00404437">
        <w:rPr>
          <w:b/>
          <w:bCs/>
        </w:rPr>
        <w:t>Employment Transition Plan</w:t>
      </w:r>
      <w:r w:rsidRPr="00404437">
        <w:t xml:space="preserve"> that includes the participant’s education and work experience, aspirations, support needs, medical information, and any parole requirements</w:t>
      </w:r>
      <w:r w:rsidR="00766084" w:rsidRPr="00404437">
        <w:t>.</w:t>
      </w:r>
    </w:p>
    <w:p w14:paraId="00978BEA" w14:textId="77777777" w:rsidR="00707D5A" w:rsidRPr="00404437" w:rsidRDefault="00707D5A" w:rsidP="00305B4B">
      <w:pPr>
        <w:pStyle w:val="Bulletedlist"/>
        <w:ind w:right="3"/>
      </w:pPr>
      <w:r w:rsidRPr="00404437">
        <w:t xml:space="preserve">Arranging a </w:t>
      </w:r>
      <w:r w:rsidRPr="00404437">
        <w:rPr>
          <w:b/>
          <w:bCs/>
        </w:rPr>
        <w:t>Facilitated Transfer</w:t>
      </w:r>
      <w:r w:rsidRPr="00404437">
        <w:t xml:space="preserve"> with the participant and their post-release employment services provider, where possible.</w:t>
      </w:r>
    </w:p>
    <w:p w14:paraId="1D70FF26" w14:textId="38AC7615" w:rsidR="00FC61E2" w:rsidRPr="00404437" w:rsidRDefault="00FC61E2" w:rsidP="00305B4B">
      <w:pPr>
        <w:pStyle w:val="BodyText"/>
        <w:ind w:right="3"/>
      </w:pPr>
      <w:r w:rsidRPr="00404437">
        <w:t>The evaluation examine</w:t>
      </w:r>
      <w:r w:rsidR="001B0165" w:rsidRPr="00404437">
        <w:t>d</w:t>
      </w:r>
      <w:r w:rsidRPr="00404437">
        <w:t xml:space="preserve"> the capacity to deliver these</w:t>
      </w:r>
      <w:r w:rsidR="001B0165" w:rsidRPr="00404437">
        <w:t xml:space="preserve"> steps</w:t>
      </w:r>
      <w:r w:rsidRPr="00404437">
        <w:t xml:space="preserve"> to facilitate improved prisoner engagement with employment </w:t>
      </w:r>
      <w:r w:rsidR="0064184D" w:rsidRPr="00404437">
        <w:t>services and</w:t>
      </w:r>
      <w:r w:rsidRPr="00404437">
        <w:t xml:space="preserve"> deliver the service across all Australian states and territories.</w:t>
      </w:r>
    </w:p>
    <w:p w14:paraId="5F30E012" w14:textId="4E2B821F" w:rsidR="00707D5A" w:rsidRDefault="000B1DD2" w:rsidP="00305B4B">
      <w:pPr>
        <w:pStyle w:val="BodyText"/>
        <w:ind w:right="3"/>
      </w:pPr>
      <w:r w:rsidRPr="0064184D">
        <w:t>TWES is currently delivered across Australia through 21 TWES providers operating in 73 prisons. Between May 2018 and February 2021, over 4,500 prisoners have participated in TWES, at a cost of $5.95m in payments to TWES providers for delivering the service. The National Indigenous Australians Agency (NIAA) administers the program in remote prisons through Community Development Program providers and the Department of Education, Skills and Employment (DESE) administers the program in non-remote prisons through contracted service providers.</w:t>
      </w:r>
      <w:r w:rsidRPr="00404437">
        <w:t xml:space="preserve"> </w:t>
      </w:r>
    </w:p>
    <w:p w14:paraId="11F41F63" w14:textId="77777777" w:rsidR="000927ED" w:rsidRDefault="000927ED" w:rsidP="00305B4B">
      <w:pPr>
        <w:pStyle w:val="Heading2"/>
        <w:ind w:right="3"/>
      </w:pPr>
      <w:bookmarkStart w:id="28" w:name="_Toc74911605"/>
      <w:r>
        <w:lastRenderedPageBreak/>
        <w:t>About this evaluation</w:t>
      </w:r>
      <w:bookmarkEnd w:id="28"/>
    </w:p>
    <w:p w14:paraId="1AEE2B94" w14:textId="1B02E366" w:rsidR="00F93F6A" w:rsidRPr="0064184D" w:rsidRDefault="000927ED" w:rsidP="00305B4B">
      <w:pPr>
        <w:pStyle w:val="BodyText"/>
        <w:ind w:right="3"/>
      </w:pPr>
      <w:r w:rsidRPr="0064184D">
        <w:t xml:space="preserve">NIAA commissioned the Evaluation </w:t>
      </w:r>
      <w:r w:rsidR="00490A3A" w:rsidRPr="0064184D">
        <w:t>Team</w:t>
      </w:r>
      <w:r w:rsidRPr="0064184D">
        <w:t xml:space="preserve">, led by Social Ventures Australia, on behalf of NIAA and DESE, to conduct an evaluation of TWES. The purpose is to </w:t>
      </w:r>
      <w:r w:rsidR="00813E55" w:rsidRPr="0064184D">
        <w:t xml:space="preserve">evaluate </w:t>
      </w:r>
      <w:r w:rsidRPr="0064184D">
        <w:t>the effectiveness of the program and to highlight possible future program improvements</w:t>
      </w:r>
      <w:r w:rsidR="00F72C16" w:rsidRPr="0064184D">
        <w:t>. The evaluation of TWES aimed to achieve three objectives:</w:t>
      </w:r>
      <w:r w:rsidRPr="0064184D">
        <w:t xml:space="preserve"> </w:t>
      </w:r>
    </w:p>
    <w:p w14:paraId="0DC8264A" w14:textId="0D8658B9" w:rsidR="00F93F6A" w:rsidRPr="0064184D" w:rsidRDefault="00F93F6A" w:rsidP="007F09E7">
      <w:pPr>
        <w:pStyle w:val="Numberedlist"/>
      </w:pPr>
      <w:r w:rsidRPr="0064184D">
        <w:rPr>
          <w:b/>
        </w:rPr>
        <w:t>Understand the design and implementation of TWES:</w:t>
      </w:r>
      <w:r w:rsidRPr="0064184D">
        <w:t xml:space="preserve"> Understand what is working, what is notworking and why</w:t>
      </w:r>
      <w:r w:rsidR="00766084" w:rsidRPr="0064184D">
        <w:t>.</w:t>
      </w:r>
    </w:p>
    <w:p w14:paraId="34ED3AE0" w14:textId="15DCB7B7" w:rsidR="00BD0607" w:rsidRPr="0064184D" w:rsidRDefault="00F93F6A" w:rsidP="007F09E7">
      <w:pPr>
        <w:pStyle w:val="Numberedlist"/>
      </w:pPr>
      <w:r w:rsidRPr="0064184D">
        <w:rPr>
          <w:b/>
        </w:rPr>
        <w:t>Understand the impact of TWES:</w:t>
      </w:r>
      <w:r w:rsidRPr="0064184D">
        <w:t xml:space="preserve"> Understand the outcomes (both intended and unintended) that</w:t>
      </w:r>
      <w:r w:rsidR="00057147" w:rsidRPr="0064184D">
        <w:t xml:space="preserve"> </w:t>
      </w:r>
      <w:r w:rsidRPr="0064184D">
        <w:t>TWES has created and the extent to which the underlying causal assumptions in the program logic are correct</w:t>
      </w:r>
      <w:r w:rsidR="00766084" w:rsidRPr="0064184D">
        <w:t>.</w:t>
      </w:r>
    </w:p>
    <w:p w14:paraId="7815A463" w14:textId="29DD1A9E" w:rsidR="00F93F6A" w:rsidRPr="0064184D" w:rsidRDefault="008845B6" w:rsidP="007F09E7">
      <w:pPr>
        <w:pStyle w:val="Numberedlist"/>
      </w:pPr>
      <w:r w:rsidRPr="0064184D">
        <w:rPr>
          <w:b/>
        </w:rPr>
        <w:t>Understand how to improve TWES</w:t>
      </w:r>
      <w:r w:rsidR="00F93F6A" w:rsidRPr="0064184D">
        <w:rPr>
          <w:b/>
        </w:rPr>
        <w:t xml:space="preserve">: </w:t>
      </w:r>
      <w:r w:rsidR="00F93F6A" w:rsidRPr="0064184D">
        <w:t>Understand how TWES could be improved to</w:t>
      </w:r>
      <w:r w:rsidR="00057147" w:rsidRPr="0064184D">
        <w:t xml:space="preserve"> increase</w:t>
      </w:r>
      <w:r w:rsidR="00F93F6A" w:rsidRPr="0064184D">
        <w:t xml:space="preserve"> impact and what the implications are for future program design and implementation.</w:t>
      </w:r>
    </w:p>
    <w:p w14:paraId="4CEEB5FE" w14:textId="5C202D2B" w:rsidR="000927ED" w:rsidRPr="0064184D" w:rsidRDefault="000927ED" w:rsidP="00305B4B">
      <w:pPr>
        <w:pStyle w:val="Heading2"/>
        <w:ind w:right="3"/>
      </w:pPr>
      <w:r w:rsidRPr="0064184D">
        <w:t>Methodology</w:t>
      </w:r>
    </w:p>
    <w:p w14:paraId="3E5E0BEE" w14:textId="608C766B" w:rsidR="009E1E06" w:rsidRPr="0064184D" w:rsidRDefault="000927ED" w:rsidP="00305B4B">
      <w:pPr>
        <w:pStyle w:val="BodyText"/>
        <w:ind w:right="3"/>
      </w:pPr>
      <w:r w:rsidRPr="0064184D">
        <w:t xml:space="preserve">The </w:t>
      </w:r>
      <w:r w:rsidR="00F93F6A" w:rsidRPr="0064184D">
        <w:t xml:space="preserve">evaluation </w:t>
      </w:r>
      <w:r w:rsidR="007448CD" w:rsidRPr="0064184D">
        <w:t xml:space="preserve">involved </w:t>
      </w:r>
      <w:r w:rsidR="00A84180" w:rsidRPr="0064184D">
        <w:t>a</w:t>
      </w:r>
      <w:r w:rsidRPr="0064184D">
        <w:t xml:space="preserve"> theory-based, mixed-methods</w:t>
      </w:r>
      <w:r w:rsidR="00144ED0" w:rsidRPr="0064184D">
        <w:t xml:space="preserve"> </w:t>
      </w:r>
      <w:r w:rsidR="00A84180" w:rsidRPr="0064184D">
        <w:t>approach</w:t>
      </w:r>
      <w:r w:rsidRPr="0064184D">
        <w:t>.</w:t>
      </w:r>
      <w:r w:rsidR="00F93F6A" w:rsidRPr="0064184D">
        <w:t xml:space="preserve"> A program logic </w:t>
      </w:r>
      <w:r w:rsidR="007448CD" w:rsidRPr="0064184D">
        <w:t xml:space="preserve">guided </w:t>
      </w:r>
      <w:r w:rsidR="009E1E06" w:rsidRPr="0064184D">
        <w:t xml:space="preserve">the evaluation design, including </w:t>
      </w:r>
      <w:r w:rsidR="00152008" w:rsidRPr="0064184D">
        <w:t xml:space="preserve">enabling the </w:t>
      </w:r>
      <w:r w:rsidR="009E1E06" w:rsidRPr="0064184D">
        <w:t xml:space="preserve">testing </w:t>
      </w:r>
      <w:r w:rsidR="00152008" w:rsidRPr="0064184D">
        <w:t xml:space="preserve">of </w:t>
      </w:r>
      <w:r w:rsidR="009E1E06" w:rsidRPr="0064184D">
        <w:t xml:space="preserve">key assumptions and the extent </w:t>
      </w:r>
      <w:r w:rsidR="00813E55" w:rsidRPr="0064184D">
        <w:t xml:space="preserve">to which outcomes </w:t>
      </w:r>
      <w:r w:rsidR="00ED76B5" w:rsidRPr="0064184D">
        <w:t>were</w:t>
      </w:r>
      <w:r w:rsidR="00813E55" w:rsidRPr="0064184D">
        <w:t xml:space="preserve"> </w:t>
      </w:r>
      <w:r w:rsidR="009E1E06" w:rsidRPr="0064184D">
        <w:t xml:space="preserve">achieved. </w:t>
      </w:r>
      <w:r w:rsidR="00813E55" w:rsidRPr="0064184D">
        <w:t xml:space="preserve">Evidence </w:t>
      </w:r>
      <w:r w:rsidR="007448CD" w:rsidRPr="0064184D">
        <w:t xml:space="preserve">was </w:t>
      </w:r>
      <w:r w:rsidR="009E1E06" w:rsidRPr="0064184D">
        <w:t xml:space="preserve">collected at a number of levels of the program logic to help understand success. However, the </w:t>
      </w:r>
      <w:r w:rsidR="00813E55" w:rsidRPr="0064184D">
        <w:t xml:space="preserve">primary focus </w:t>
      </w:r>
      <w:r w:rsidR="007448CD" w:rsidRPr="0064184D">
        <w:t xml:space="preserve">was </w:t>
      </w:r>
      <w:r w:rsidR="009E1E06" w:rsidRPr="0064184D">
        <w:t xml:space="preserve">on measuring </w:t>
      </w:r>
      <w:r w:rsidR="00152008" w:rsidRPr="0064184D">
        <w:t>short</w:t>
      </w:r>
      <w:r w:rsidR="002F4808" w:rsidRPr="0064184D">
        <w:t>-</w:t>
      </w:r>
      <w:r w:rsidR="00152008" w:rsidRPr="0064184D">
        <w:t>term</w:t>
      </w:r>
      <w:r w:rsidR="009E1E06" w:rsidRPr="0064184D">
        <w:t xml:space="preserve"> outcomes, </w:t>
      </w:r>
      <w:r w:rsidR="00152008" w:rsidRPr="0064184D">
        <w:t>with longer</w:t>
      </w:r>
      <w:r w:rsidR="006D2BF3" w:rsidRPr="0064184D">
        <w:t>-</w:t>
      </w:r>
      <w:r w:rsidR="00152008" w:rsidRPr="0064184D">
        <w:t xml:space="preserve">term outcomes being difficult to measure due to </w:t>
      </w:r>
      <w:r w:rsidR="001548AE" w:rsidRPr="0064184D">
        <w:t xml:space="preserve">low </w:t>
      </w:r>
      <w:r w:rsidR="00152008" w:rsidRPr="0064184D">
        <w:t>data availability.</w:t>
      </w:r>
    </w:p>
    <w:p w14:paraId="3D01E23E" w14:textId="2A57F16A" w:rsidR="000927ED" w:rsidRPr="0064184D" w:rsidRDefault="000927ED" w:rsidP="00305B4B">
      <w:pPr>
        <w:pStyle w:val="BodyText"/>
        <w:ind w:right="3"/>
      </w:pPr>
      <w:r w:rsidRPr="0064184D">
        <w:t xml:space="preserve">The scope of the evaluation </w:t>
      </w:r>
      <w:r w:rsidR="007448CD" w:rsidRPr="0064184D">
        <w:t xml:space="preserve">covered </w:t>
      </w:r>
      <w:r w:rsidRPr="0064184D">
        <w:t>the delivery of TWES</w:t>
      </w:r>
      <w:r w:rsidR="008918F0" w:rsidRPr="0064184D">
        <w:t xml:space="preserve"> </w:t>
      </w:r>
      <w:r w:rsidR="001548AE" w:rsidRPr="0064184D">
        <w:t xml:space="preserve">in remote and non-remote prisons nationally </w:t>
      </w:r>
      <w:r w:rsidR="008918F0" w:rsidRPr="0064184D">
        <w:t>over th</w:t>
      </w:r>
      <w:r w:rsidR="00AD45E5" w:rsidRPr="0064184D">
        <w:t>r</w:t>
      </w:r>
      <w:r w:rsidR="008918F0" w:rsidRPr="0064184D">
        <w:t>ee years (2018-2021) since</w:t>
      </w:r>
      <w:r w:rsidR="001548AE" w:rsidRPr="0064184D">
        <w:t xml:space="preserve"> commencement</w:t>
      </w:r>
      <w:r w:rsidRPr="0064184D">
        <w:t xml:space="preserve">. This timeframe </w:t>
      </w:r>
      <w:r w:rsidR="007448CD" w:rsidRPr="0064184D">
        <w:t xml:space="preserve">included </w:t>
      </w:r>
      <w:r w:rsidRPr="0064184D">
        <w:t xml:space="preserve">a significant period of disruption to TWES servicing due to COVID-19 (March 2020 to October 2020). </w:t>
      </w:r>
    </w:p>
    <w:p w14:paraId="062A0B1F" w14:textId="07A7C1B0" w:rsidR="006D7C4C" w:rsidRPr="0064184D" w:rsidRDefault="006D7C4C" w:rsidP="00305B4B">
      <w:pPr>
        <w:pStyle w:val="BodyText"/>
        <w:ind w:right="3"/>
      </w:pPr>
      <w:r w:rsidRPr="0064184D">
        <w:t>Following the principle of mixed methods</w:t>
      </w:r>
      <w:r w:rsidR="006D5CE6" w:rsidRPr="0064184D">
        <w:t>,</w:t>
      </w:r>
      <w:r w:rsidRPr="0064184D">
        <w:t xml:space="preserve"> both qualitative and quantitative data w</w:t>
      </w:r>
      <w:r w:rsidR="00DA40D3" w:rsidRPr="0064184D">
        <w:t>ere</w:t>
      </w:r>
      <w:r w:rsidRPr="0064184D">
        <w:t xml:space="preserve"> collected including:</w:t>
      </w:r>
    </w:p>
    <w:p w14:paraId="467BE4DC" w14:textId="757DBA26" w:rsidR="00144ED0" w:rsidRPr="00DF1E7C" w:rsidRDefault="00144ED0" w:rsidP="00305B4B">
      <w:pPr>
        <w:pStyle w:val="Bulletedlist"/>
        <w:ind w:right="3"/>
      </w:pPr>
      <w:r w:rsidRPr="00DF1E7C">
        <w:t>S</w:t>
      </w:r>
      <w:r w:rsidR="000927ED" w:rsidRPr="00DF1E7C">
        <w:t xml:space="preserve">emi-structured interviews with </w:t>
      </w:r>
      <w:r w:rsidR="00520FB1" w:rsidRPr="00DF1E7C">
        <w:t>program stakeholders</w:t>
      </w:r>
      <w:r w:rsidR="000927ED" w:rsidRPr="00DF1E7C">
        <w:t xml:space="preserve">, </w:t>
      </w:r>
      <w:r w:rsidR="00FC61E2" w:rsidRPr="00DF1E7C">
        <w:t>p</w:t>
      </w:r>
      <w:r w:rsidR="000927ED" w:rsidRPr="00DF1E7C">
        <w:t>roviders</w:t>
      </w:r>
      <w:r w:rsidR="00FC61E2" w:rsidRPr="00DF1E7C">
        <w:t xml:space="preserve"> and</w:t>
      </w:r>
      <w:r w:rsidRPr="00DF1E7C">
        <w:t xml:space="preserve"> </w:t>
      </w:r>
      <w:r w:rsidR="000927ED" w:rsidRPr="00DF1E7C">
        <w:t>current and past participants</w:t>
      </w:r>
      <w:r w:rsidR="00FC61E2" w:rsidRPr="00DF1E7C">
        <w:t xml:space="preserve"> of TWES</w:t>
      </w:r>
      <w:r w:rsidR="00766084" w:rsidRPr="00DF1E7C">
        <w:t>.</w:t>
      </w:r>
    </w:p>
    <w:p w14:paraId="2129061C" w14:textId="735B3D43" w:rsidR="000927ED" w:rsidRPr="0064184D" w:rsidRDefault="00144ED0" w:rsidP="00305B4B">
      <w:pPr>
        <w:pStyle w:val="Bulletedlist"/>
        <w:ind w:right="3"/>
      </w:pPr>
      <w:r w:rsidRPr="0064184D">
        <w:t>Data analysis of</w:t>
      </w:r>
      <w:r w:rsidR="00152008" w:rsidRPr="0064184D">
        <w:t xml:space="preserve"> program level data as derived from the </w:t>
      </w:r>
      <w:r w:rsidR="000927ED" w:rsidRPr="0064184D">
        <w:t>Employment Services System (ESS) database and program document</w:t>
      </w:r>
      <w:r w:rsidRPr="0064184D">
        <w:t>ation</w:t>
      </w:r>
      <w:r w:rsidR="00766084" w:rsidRPr="0064184D">
        <w:t>.</w:t>
      </w:r>
    </w:p>
    <w:p w14:paraId="0AB8D2CE" w14:textId="51C3E326" w:rsidR="000927ED" w:rsidRPr="0064184D" w:rsidRDefault="000927ED" w:rsidP="00305B4B">
      <w:pPr>
        <w:pStyle w:val="BodyText"/>
        <w:ind w:right="3"/>
      </w:pPr>
      <w:r w:rsidRPr="0064184D">
        <w:t xml:space="preserve">The evaluation </w:t>
      </w:r>
      <w:r w:rsidR="00A84180" w:rsidRPr="0064184D">
        <w:t xml:space="preserve">was limited by </w:t>
      </w:r>
      <w:r w:rsidR="000D3EF9" w:rsidRPr="0064184D">
        <w:t xml:space="preserve">several factors including </w:t>
      </w:r>
      <w:r w:rsidR="00FA1CB6" w:rsidRPr="0064184D">
        <w:t>challenges in understanding and measuring long-term outcomes</w:t>
      </w:r>
      <w:r w:rsidR="00E75493" w:rsidRPr="0064184D">
        <w:t xml:space="preserve"> of the program. Only three past TWES participants could be interviewed (out of a target sample of sixteen – eight in prison and eight post-release) due to practical challenges in identifying and recruiting willing interviewees.</w:t>
      </w:r>
      <w:r w:rsidR="00520FB1" w:rsidRPr="0064184D">
        <w:t xml:space="preserve"> </w:t>
      </w:r>
      <w:r w:rsidR="00BC4108" w:rsidRPr="0064184D">
        <w:t>The evaluation also a</w:t>
      </w:r>
      <w:r w:rsidR="0061503A" w:rsidRPr="0064184D">
        <w:t>ttempted</w:t>
      </w:r>
      <w:r w:rsidR="001362C8" w:rsidRPr="0064184D">
        <w:t xml:space="preserve"> </w:t>
      </w:r>
      <w:r w:rsidR="00BC4108" w:rsidRPr="0064184D">
        <w:t>to compare employment outcomes data recorded on the ESS database between samples of TWES participants and non-participants</w:t>
      </w:r>
      <w:r w:rsidR="008769CF" w:rsidRPr="0064184D">
        <w:t xml:space="preserve"> (counterfactual)</w:t>
      </w:r>
      <w:r w:rsidR="00BC4108" w:rsidRPr="0064184D">
        <w:t>, however the results were inconclusive</w:t>
      </w:r>
      <w:r w:rsidR="008769CF" w:rsidRPr="0064184D">
        <w:t xml:space="preserve"> </w:t>
      </w:r>
      <w:r w:rsidRPr="0064184D">
        <w:t xml:space="preserve">due to </w:t>
      </w:r>
      <w:r w:rsidR="008769CF" w:rsidRPr="0064184D">
        <w:t xml:space="preserve">limitations in the data available and </w:t>
      </w:r>
      <w:r w:rsidRPr="0064184D">
        <w:t>invalidity</w:t>
      </w:r>
      <w:r w:rsidR="008769CF" w:rsidRPr="0064184D">
        <w:t xml:space="preserve"> </w:t>
      </w:r>
      <w:r w:rsidRPr="0064184D">
        <w:t>of the</w:t>
      </w:r>
      <w:r w:rsidR="0061503A" w:rsidRPr="0064184D">
        <w:t xml:space="preserve"> anticipated</w:t>
      </w:r>
      <w:r w:rsidRPr="0064184D">
        <w:t xml:space="preserve"> counterfactual. </w:t>
      </w:r>
      <w:r w:rsidRPr="0064184D">
        <w:br w:type="page"/>
      </w:r>
    </w:p>
    <w:p w14:paraId="6DF8412B" w14:textId="001F0109" w:rsidR="000927ED" w:rsidRDefault="000927ED" w:rsidP="00305B4B">
      <w:pPr>
        <w:pStyle w:val="Heading2"/>
        <w:ind w:right="3"/>
      </w:pPr>
      <w:r>
        <w:lastRenderedPageBreak/>
        <w:t xml:space="preserve">Evaluation </w:t>
      </w:r>
      <w:r w:rsidR="00A0294C">
        <w:t>F</w:t>
      </w:r>
      <w:r>
        <w:t xml:space="preserve">indings </w:t>
      </w:r>
    </w:p>
    <w:p w14:paraId="032CF587" w14:textId="77777777" w:rsidR="0064184D" w:rsidRDefault="002229C6" w:rsidP="00305B4B">
      <w:pPr>
        <w:pStyle w:val="Heading3"/>
        <w:ind w:right="3"/>
      </w:pPr>
      <w:r w:rsidRPr="0064184D">
        <w:t xml:space="preserve">Objective 1: Understand the </w:t>
      </w:r>
      <w:r w:rsidRPr="00E40956">
        <w:t>design</w:t>
      </w:r>
      <w:r w:rsidRPr="0064184D">
        <w:t xml:space="preserve"> and implementation of TWES </w:t>
      </w:r>
    </w:p>
    <w:p w14:paraId="40776FBD" w14:textId="2A1BAF9D" w:rsidR="002229C6" w:rsidRPr="0064184D" w:rsidRDefault="002229C6" w:rsidP="00305B4B">
      <w:pPr>
        <w:pStyle w:val="BodyText"/>
        <w:ind w:right="3"/>
      </w:pPr>
      <w:r w:rsidRPr="0064184D">
        <w:t>Understand what is working, what is not working and why</w:t>
      </w:r>
    </w:p>
    <w:p w14:paraId="2DF193AE" w14:textId="77777777" w:rsidR="002229C6" w:rsidRPr="0064184D" w:rsidRDefault="002229C6" w:rsidP="00305B4B">
      <w:pPr>
        <w:pStyle w:val="Heading3"/>
        <w:ind w:right="3"/>
      </w:pPr>
      <w:r w:rsidRPr="0064184D">
        <w:t>Overall finding for Objective 1:</w:t>
      </w:r>
    </w:p>
    <w:p w14:paraId="27BB3615" w14:textId="77777777" w:rsidR="002229C6" w:rsidRPr="0064184D" w:rsidRDefault="002229C6" w:rsidP="00305B4B">
      <w:pPr>
        <w:pStyle w:val="BodyText"/>
        <w:ind w:right="3"/>
      </w:pPr>
      <w:r w:rsidRPr="0064184D">
        <w:t xml:space="preserve">TWES was designed to address Finding 5 of the Prison to Work report: “there is a lack of timely, co-ordinated and quality engagement with Aboriginal and Torres Strait Islander prisoners from employment and welfare services.” Broadly this report identified a need to better engage prisoners nearing release, with post-release employment services providers. The basic design is relatively consistent with the core values of the Indigenous Advancement Strategy (IAS). </w:t>
      </w:r>
    </w:p>
    <w:p w14:paraId="54167C20" w14:textId="77777777" w:rsidR="002229C6" w:rsidRPr="0064184D" w:rsidRDefault="002229C6" w:rsidP="00305B4B">
      <w:pPr>
        <w:pStyle w:val="BodyText"/>
        <w:ind w:right="3"/>
      </w:pPr>
      <w:r w:rsidRPr="0064184D">
        <w:t>TWES is a voluntary program, with complex implementation and delivery requirements involving a number of government agencies, and which delivers to a highly disadvantaged cohort. This has resulted in lower than expected overall program completion rates.</w:t>
      </w:r>
    </w:p>
    <w:p w14:paraId="7DA4AFD0" w14:textId="77777777" w:rsidR="002229C6" w:rsidRPr="0064184D" w:rsidRDefault="002229C6" w:rsidP="00305B4B">
      <w:pPr>
        <w:pStyle w:val="BodyText"/>
        <w:ind w:right="3"/>
      </w:pPr>
      <w:r w:rsidRPr="0064184D">
        <w:t>The evaluation found that a number of design aspects could be improved to help increase completion rates. This includes building in higher rates of prisoner engagement, improving provider understanding of the program and improving levels of Indigenous input and involvement.</w:t>
      </w:r>
    </w:p>
    <w:p w14:paraId="56211E3E" w14:textId="77777777" w:rsidR="00BE08FD" w:rsidRPr="00E40956" w:rsidRDefault="00BE08FD" w:rsidP="00305B4B">
      <w:pPr>
        <w:pStyle w:val="Heading4"/>
        <w:ind w:right="3"/>
      </w:pPr>
      <w:r w:rsidRPr="00E40956">
        <w:t>Key Finding #1: TWES was developed following extensive consultation with Aboriginal and Torres Strait Islander stakeholders through the Prison to Work report, but the evaluation found limited evidence that Aboriginal and Torres Strait Islander stakeholders were consulted during its design and implementation. The overall design of TWES did align service provision to the core IAS values of respect, collaboration and being strengths-based.</w:t>
      </w:r>
    </w:p>
    <w:p w14:paraId="4F921022" w14:textId="77777777" w:rsidR="00BE08FD" w:rsidRPr="0064184D" w:rsidRDefault="00BE08FD" w:rsidP="00305B4B">
      <w:pPr>
        <w:pStyle w:val="BodyText"/>
        <w:ind w:right="3"/>
      </w:pPr>
      <w:r w:rsidRPr="0064184D">
        <w:t xml:space="preserve">TWES was designed directly in response to the national findings and actions identified by the Prison to Work report, and specifically Finding 5. These findings and actions were developed after extensive national consultation with Aboriginal and Torres Strait Islander stakeholders and experts including service providers, peak bodies, academics and prisoners. However, the evaluation found limited evidence about how Aboriginal and Torres Strait Islander stakeholders were consulted to take the findings of Prison to Work and design the specifics of the TWES model, or to implement the TWES model to the unique operating context of each correctional facility. </w:t>
      </w:r>
    </w:p>
    <w:p w14:paraId="3181B980" w14:textId="77777777" w:rsidR="00BE08FD" w:rsidRPr="0064184D" w:rsidRDefault="00BE08FD" w:rsidP="00305B4B">
      <w:pPr>
        <w:pStyle w:val="BodyText"/>
        <w:ind w:right="3"/>
      </w:pPr>
      <w:r w:rsidRPr="0064184D">
        <w:t>Options for consideration:</w:t>
      </w:r>
    </w:p>
    <w:p w14:paraId="58B63279" w14:textId="4F6B82FD" w:rsidR="00BE08FD" w:rsidRPr="007F09E7" w:rsidRDefault="00BE08FD" w:rsidP="000C3506">
      <w:pPr>
        <w:pStyle w:val="Numberedlist"/>
        <w:numPr>
          <w:ilvl w:val="0"/>
          <w:numId w:val="49"/>
        </w:numPr>
        <w:ind w:left="709" w:hanging="425"/>
      </w:pPr>
      <w:r w:rsidRPr="007F09E7">
        <w:t>NIAA and DESE to establish a national reference group of Aboriginal and Torres Strait Islander stakeholders who can advise both agencies on ensuring that the ongoing delivery of, and any modifications to TWES, are culturally competent and appropriate, and reflect a holistic understanding of Aboriginal and Torres Strait Islander prisoners’ experiences and needs.</w:t>
      </w:r>
    </w:p>
    <w:p w14:paraId="5D617510" w14:textId="2E932021" w:rsidR="00BE08FD" w:rsidRPr="0064184D" w:rsidRDefault="00BE08FD" w:rsidP="007F09E7">
      <w:pPr>
        <w:pStyle w:val="Numberedlist"/>
        <w:ind w:hanging="425"/>
      </w:pPr>
      <w:r w:rsidRPr="0064184D">
        <w:t xml:space="preserve">NIAA and </w:t>
      </w:r>
      <w:r w:rsidRPr="000753F2">
        <w:t>DESE to ensure that Aboriginal and Torres Strait Islander stakeholders with local knowledge and expertise are engaged in a co-design process through the design and implementat</w:t>
      </w:r>
      <w:r w:rsidRPr="0064184D">
        <w:t>ion phases of future programs that are similar to TWES, to ensure that implementation is effective, locally relevant and strengths-based.</w:t>
      </w:r>
    </w:p>
    <w:p w14:paraId="308DE025" w14:textId="77777777" w:rsidR="00BE08FD" w:rsidRPr="0064184D" w:rsidRDefault="00BE08FD" w:rsidP="00305B4B">
      <w:pPr>
        <w:pStyle w:val="Heading4"/>
        <w:ind w:right="3"/>
      </w:pPr>
      <w:r w:rsidRPr="0064184D">
        <w:t xml:space="preserve">Key Finding #2: Just over half of participants who join TWES do not connect with a post-release employment service provider within 13 weeks of their release. Increasing the number of participants </w:t>
      </w:r>
      <w:r w:rsidRPr="0064184D">
        <w:lastRenderedPageBreak/>
        <w:t xml:space="preserve">who do connect with post-release employment service providers is challenging under the current model. </w:t>
      </w:r>
    </w:p>
    <w:p w14:paraId="4DDCBAA4" w14:textId="77777777" w:rsidR="00BE08FD" w:rsidRPr="0064184D" w:rsidRDefault="00BE08FD" w:rsidP="00305B4B">
      <w:pPr>
        <w:pStyle w:val="BodyText"/>
        <w:ind w:right="3"/>
      </w:pPr>
      <w:r w:rsidRPr="0064184D">
        <w:t xml:space="preserve">TWES aims to improve the quality of Aboriginal and Torres Strait Islander prisoners’ engagement with employment services. However, just over 50% of participants do not commence with employment services in the 13-week period after their release. Analysis of data on exits finds that there are two major exit points. Firstly, 18% of participants exit TWES early while still in the service in prison. About 12% of participants exit TWES early because they stop engaging with TWES providers, and another 6% exit because they are transferred to another prison, or the terms of their sentence change meaning that they are no longer eligible (including early release, early parole or rejected parole). </w:t>
      </w:r>
    </w:p>
    <w:p w14:paraId="27F0FF32" w14:textId="77777777" w:rsidR="00BE08FD" w:rsidRPr="0064184D" w:rsidRDefault="00BE08FD" w:rsidP="00305B4B">
      <w:pPr>
        <w:pStyle w:val="BodyText"/>
        <w:ind w:right="3"/>
      </w:pPr>
      <w:r w:rsidRPr="0064184D">
        <w:t xml:space="preserve">Secondly, 22% of participants exit TWES after they have left prison, without commencing with a post-release employment service provider within 13 weeks of their release. </w:t>
      </w:r>
    </w:p>
    <w:p w14:paraId="637ADDEE" w14:textId="77777777" w:rsidR="00BE08FD" w:rsidRPr="0064184D" w:rsidRDefault="00BE08FD" w:rsidP="00305B4B">
      <w:pPr>
        <w:pStyle w:val="BodyText"/>
        <w:ind w:right="3"/>
      </w:pPr>
      <w:r w:rsidRPr="0064184D">
        <w:t>TWES providers would find it difficult to address these exits under the current model because it is a voluntary service, and prisoners may be transferred or released early without warning. Participants may also not engage with employment services after their release for a wide range of reasons.</w:t>
      </w:r>
    </w:p>
    <w:p w14:paraId="7BA0D936" w14:textId="77777777" w:rsidR="00BE08FD" w:rsidRPr="0064184D" w:rsidRDefault="00BE08FD" w:rsidP="00305B4B">
      <w:pPr>
        <w:pStyle w:val="BodyText"/>
        <w:ind w:right="3"/>
      </w:pPr>
      <w:r w:rsidRPr="0064184D">
        <w:t>Options for consideration:</w:t>
      </w:r>
    </w:p>
    <w:p w14:paraId="0A3E76BA" w14:textId="1E5F9D2C" w:rsidR="00BE08FD" w:rsidRPr="0064184D" w:rsidRDefault="00BE08FD" w:rsidP="007F09E7">
      <w:pPr>
        <w:pStyle w:val="Numberedlist"/>
      </w:pPr>
      <w:r w:rsidRPr="0064184D">
        <w:t>NIAA and DESE to reconsider the current service design in light of high exit rates, including initiatives that potentially improve completion rates to ensure the program is value for money. (Refer to options for consideration under other Key Findings).</w:t>
      </w:r>
    </w:p>
    <w:p w14:paraId="74BEEAE2" w14:textId="77777777" w:rsidR="00297237" w:rsidRPr="0064184D" w:rsidRDefault="00297237" w:rsidP="00305B4B">
      <w:pPr>
        <w:pStyle w:val="Heading4"/>
        <w:ind w:right="3"/>
      </w:pPr>
      <w:r w:rsidRPr="0064184D">
        <w:t>Key Finding #3: TWES providers would benefit from having more time with participants before they are released, to build a relationship with them and deliver all of the core service activities.</w:t>
      </w:r>
    </w:p>
    <w:p w14:paraId="5B45DE94" w14:textId="77777777" w:rsidR="00297237" w:rsidRPr="0064184D" w:rsidRDefault="00297237" w:rsidP="00305B4B">
      <w:pPr>
        <w:pStyle w:val="BodyText"/>
        <w:ind w:right="3"/>
      </w:pPr>
      <w:r w:rsidRPr="0064184D">
        <w:t xml:space="preserve">An individual becomes eligible to participate in TWES when they are between four months and one month from their earliest possible release date. The TWES provider then has up to four months to recruit them into the service, complete the JSCI and ESAt, complete the transition plan, and organise and hold the Facilitated Transfer Meeting, where possible. </w:t>
      </w:r>
    </w:p>
    <w:p w14:paraId="2278C4FC" w14:textId="77777777" w:rsidR="00297237" w:rsidRPr="0064184D" w:rsidRDefault="00297237" w:rsidP="00305B4B">
      <w:pPr>
        <w:pStyle w:val="BodyText"/>
        <w:ind w:right="3"/>
      </w:pPr>
      <w:r w:rsidRPr="0064184D">
        <w:t xml:space="preserve">Many TWES providers and state and territory corrections stakeholders noted challenges to delivering the service effectively in four months. These challenges included finding available meeting rooms and telephones to meet with participants, security lockdowns, competition for meeting rooms with other legal or welfare services, and delays in receiving participants’ health records from state and territory health departments to complete ESAts. Some TWES providers also expressed that four months is not long enough to build relationships with participants.  </w:t>
      </w:r>
    </w:p>
    <w:p w14:paraId="0E29BCA2" w14:textId="77777777" w:rsidR="00297237" w:rsidRPr="0064184D" w:rsidRDefault="00297237" w:rsidP="00305B4B">
      <w:pPr>
        <w:pStyle w:val="BodyText"/>
        <w:ind w:right="3"/>
      </w:pPr>
      <w:r w:rsidRPr="0064184D">
        <w:t>Options for consideration:</w:t>
      </w:r>
    </w:p>
    <w:p w14:paraId="551D53C9" w14:textId="76439094" w:rsidR="00297237" w:rsidRPr="0064184D" w:rsidRDefault="00297237" w:rsidP="00305B4B">
      <w:pPr>
        <w:pStyle w:val="BodyText"/>
        <w:ind w:right="3"/>
      </w:pPr>
      <w:r w:rsidRPr="0064184D">
        <w:t>NIAA and DESE to extend the timeframe for which TWES can be delivered to participants from four to six months prior to release, and increase the minimum number of contacts, so TWES providers can accommodate for the delays and complications involved in coordinating with multiple stakeholders to successfully deliver all of the core servicing activities within prison settings, and further build rapport with participants</w:t>
      </w:r>
      <w:r w:rsidRPr="00E40956">
        <w:rPr>
          <w:i/>
          <w:iCs/>
        </w:rPr>
        <w:t>. (See also the options for consideration under Finding #7 in relation to cultural competency and building rapport.)</w:t>
      </w:r>
    </w:p>
    <w:p w14:paraId="0A025329" w14:textId="77777777" w:rsidR="00297237" w:rsidRPr="0064184D" w:rsidRDefault="00297237" w:rsidP="00305B4B">
      <w:pPr>
        <w:pStyle w:val="Heading4"/>
        <w:ind w:right="3"/>
      </w:pPr>
      <w:r w:rsidRPr="0064184D">
        <w:t xml:space="preserve">Key Finding #4: TWES providers inconsistently understood how some aspects of TWES work. </w:t>
      </w:r>
    </w:p>
    <w:p w14:paraId="163CF974" w14:textId="77777777" w:rsidR="00297237" w:rsidRPr="00E40956" w:rsidRDefault="00297237" w:rsidP="00305B4B">
      <w:pPr>
        <w:pStyle w:val="BodyText"/>
        <w:ind w:right="3"/>
      </w:pPr>
      <w:r w:rsidRPr="00E40956">
        <w:t>There were inconsistent understandings of the ESAt process, and the incorrect belief that if a facilitated transfer does not happen then the ESAt gets ‘lost in the system’ and cannot be seen and used by post-</w:t>
      </w:r>
      <w:r w:rsidRPr="00E40956">
        <w:lastRenderedPageBreak/>
        <w:t xml:space="preserve">release employment services. These misunderstandings are likely due to the complexity of TWES, staff turnover, and poor awareness of some of the changes and improvements that have been made to TWES over time. Workshops and webinars were held in each state and territory with providers and corrections agencies at the commencement of the service to inform and train stakeholders on service requirements. All TWES providers are given program guidelines that describe the servicing activities in detail. The evaluation did not include a review of what NIAA and DESE have done to help TWES providers understand how to deliver the service, but there may be opportunities to clarify misunderstandings and help new TWES provider staff understand the service. </w:t>
      </w:r>
    </w:p>
    <w:p w14:paraId="3C3A9B67" w14:textId="77777777" w:rsidR="00297237" w:rsidRPr="00E40956" w:rsidRDefault="00297237" w:rsidP="00305B4B">
      <w:pPr>
        <w:pStyle w:val="BodyText"/>
        <w:ind w:right="3"/>
      </w:pPr>
      <w:r w:rsidRPr="00E40956">
        <w:t>Options for consideration:</w:t>
      </w:r>
    </w:p>
    <w:p w14:paraId="2F68841A" w14:textId="77777777" w:rsidR="00297237" w:rsidRPr="00E40956" w:rsidRDefault="00297237" w:rsidP="007F09E7">
      <w:pPr>
        <w:pStyle w:val="Numberedlist"/>
      </w:pPr>
      <w:r w:rsidRPr="00E40956">
        <w:t xml:space="preserve">NIAA, DESE and Services Australia to share improved, plain language guidance to clarify for TWES providers how to deliver the TWES servicing activities correctly, particularly arranging the ESAt process. </w:t>
      </w:r>
    </w:p>
    <w:p w14:paraId="190E676B" w14:textId="4066C2DB" w:rsidR="00297237" w:rsidRPr="00E40956" w:rsidRDefault="00297237" w:rsidP="007F09E7">
      <w:pPr>
        <w:pStyle w:val="Numberedlist"/>
      </w:pPr>
      <w:r w:rsidRPr="00E40956">
        <w:t>NIAA, DESE and Services Australia to provide further Q&amp;A sessions or other opportunities for TWES providers to ask questions, raise concerns, or clarify aspects of the service to help improve understanding of the service activities.</w:t>
      </w:r>
    </w:p>
    <w:p w14:paraId="082A78A4" w14:textId="77777777" w:rsidR="00297237" w:rsidRPr="00E40956" w:rsidRDefault="00297237" w:rsidP="00305B4B">
      <w:pPr>
        <w:pStyle w:val="Heading4"/>
        <w:ind w:right="3"/>
      </w:pPr>
      <w:r w:rsidRPr="00E40956">
        <w:t xml:space="preserve">Key Finding #5: Most TWES participants are not receiving an Approved Transition Plan or a Facilitated Transfer Meeting with their referred post-release employment service provider before they leave prison. </w:t>
      </w:r>
    </w:p>
    <w:p w14:paraId="6062E69F" w14:textId="77777777" w:rsidR="00297237" w:rsidRPr="00E40956" w:rsidRDefault="00297237" w:rsidP="00305B4B">
      <w:pPr>
        <w:pStyle w:val="BodyText"/>
        <w:ind w:right="3"/>
      </w:pPr>
      <w:r w:rsidRPr="00E40956">
        <w:t xml:space="preserve">Prior to a participant’s release, TWES providers are meant to organise a Facilitated Transfer Meeting where possible between the participant and the post-release employment service provider who they have been referred to by Services Australia. However, analysis suggests that 13% of all TWES participants attended a Facilitated Transfer Meeting with their TWES provider and a post-release employment service provider before their exit. The evaluation found that Facilitated Transfer Meetings are largely not occurring due to reasons outside of the TWES providers’ control. These reasons include participants not having a known address after release, TWES providers not receiving sufficient notice from Services Australia about a participant’s referred employment service provider, and challenges with scheduling meetings with employment service providers. </w:t>
      </w:r>
    </w:p>
    <w:p w14:paraId="4D3640B2" w14:textId="77777777" w:rsidR="00297237" w:rsidRPr="00E40956" w:rsidRDefault="00297237" w:rsidP="00305B4B">
      <w:pPr>
        <w:pStyle w:val="BodyText"/>
        <w:ind w:right="3"/>
      </w:pPr>
      <w:r w:rsidRPr="00E40956">
        <w:t>Options for consideration:</w:t>
      </w:r>
    </w:p>
    <w:p w14:paraId="355CCBD3" w14:textId="77777777" w:rsidR="00297237" w:rsidRPr="00E40956" w:rsidRDefault="00297237" w:rsidP="007F09E7">
      <w:pPr>
        <w:pStyle w:val="Numberedlist"/>
      </w:pPr>
      <w:r w:rsidRPr="00E40956">
        <w:t>NIAA and DESE to increase employment service providers’ knowledge of TWES, to help increase willingness and interest to attend Facilitated Transfer Meetings.</w:t>
      </w:r>
    </w:p>
    <w:p w14:paraId="414E14B0" w14:textId="54E60064" w:rsidR="00297237" w:rsidRPr="00E40956" w:rsidRDefault="00297237" w:rsidP="007F09E7">
      <w:pPr>
        <w:pStyle w:val="Numberedlist"/>
      </w:pPr>
      <w:r w:rsidRPr="00E40956">
        <w:t>NIAA, DESE and Services Australia to explore other options for TWES providers to connect participants with post-release employment service providers. This could include changing the conditions so TWES providers keep participants on their caseload longer than the current 13 weeks to allow additional time for a referral.</w:t>
      </w:r>
    </w:p>
    <w:p w14:paraId="16A9D366" w14:textId="43F95E10" w:rsidR="00297237" w:rsidRPr="00E40956" w:rsidRDefault="00297237" w:rsidP="007F09E7">
      <w:pPr>
        <w:pStyle w:val="Numberedlist"/>
      </w:pPr>
      <w:r w:rsidRPr="00E40956">
        <w:t>NIAA, DESE, Services Australia and state/territory governments to explore options to provide better, more coordinated support services to prisoners who do not have, or do not provide, a known address before they leave prison.</w:t>
      </w:r>
    </w:p>
    <w:p w14:paraId="44FA5C12" w14:textId="77777777" w:rsidR="00297237" w:rsidRPr="00E40956" w:rsidRDefault="00297237" w:rsidP="00305B4B">
      <w:pPr>
        <w:pStyle w:val="Heading4"/>
        <w:ind w:right="3"/>
      </w:pPr>
      <w:r w:rsidRPr="00E40956">
        <w:t>Key Finding #6: TWES has evolved to complement state-based prison programs, and has been shown in some jurisdictions to target highly disadvantaged prisoners who cannot access other training and employment opportunities.</w:t>
      </w:r>
    </w:p>
    <w:p w14:paraId="53AAFFDF" w14:textId="77777777" w:rsidR="00297237" w:rsidRPr="00E40956" w:rsidRDefault="00297237" w:rsidP="00305B4B">
      <w:pPr>
        <w:pStyle w:val="BodyText"/>
        <w:ind w:right="3"/>
      </w:pPr>
      <w:r w:rsidRPr="00E40956">
        <w:lastRenderedPageBreak/>
        <w:t>TWES operates alongside many other state and territory-funded in-prison services which focus on employment and skills development.</w:t>
      </w:r>
      <w:r w:rsidRPr="00E40956" w:rsidDel="00A11FE4">
        <w:t xml:space="preserve"> </w:t>
      </w:r>
      <w:r w:rsidRPr="00E40956">
        <w:t>State/territory government stakeholders noted that TWES complements and adds value to these other in-prison services by providing a pathway for prisoners who may not be able to participate in other programs, due to literacy, numeracy or other challenges, and who would need increased support from employment services after release from prison. TWES was found to complement other services but evidence showed that service delivery could be better coordinated to assist particularly high risk prisoners.</w:t>
      </w:r>
    </w:p>
    <w:p w14:paraId="6226E5FA" w14:textId="77777777" w:rsidR="00297237" w:rsidRPr="00E40956" w:rsidRDefault="00297237" w:rsidP="00305B4B">
      <w:pPr>
        <w:pStyle w:val="BodyText"/>
        <w:ind w:right="3"/>
      </w:pPr>
      <w:r w:rsidRPr="00E40956">
        <w:t>Options for consideration:</w:t>
      </w:r>
    </w:p>
    <w:p w14:paraId="09518B1B" w14:textId="77777777" w:rsidR="00297237" w:rsidRPr="00E40956" w:rsidRDefault="00297237" w:rsidP="007F09E7">
      <w:pPr>
        <w:pStyle w:val="Numberedlist"/>
      </w:pPr>
      <w:r w:rsidRPr="00E40956">
        <w:t xml:space="preserve">NIAA, DESE and state/territory governments to undertake jurisdictional level (and potentially prison level) planning to ensure that TWES and future similar programs complement and integrate with other in-prison services. </w:t>
      </w:r>
    </w:p>
    <w:p w14:paraId="22445C07" w14:textId="4748348F" w:rsidR="00017899" w:rsidRPr="00E40956" w:rsidRDefault="00297237" w:rsidP="007F09E7">
      <w:pPr>
        <w:pStyle w:val="Numberedlist"/>
      </w:pPr>
      <w:r w:rsidRPr="00E40956">
        <w:t>NIAA and DESE to create opportunities for TWES providers, such as virtual workshops, to share good practices and success stories with each other about building relationships with prisons to deliver and promote TWES successfully, coordinating with other in-prison services, and building relationships with prisoners to encourage participation and deliver an effective service.</w:t>
      </w:r>
    </w:p>
    <w:p w14:paraId="243464B2" w14:textId="77777777" w:rsidR="00E40956" w:rsidRDefault="002229C6" w:rsidP="00305B4B">
      <w:pPr>
        <w:pStyle w:val="Heading3"/>
        <w:ind w:right="3"/>
      </w:pPr>
      <w:r w:rsidRPr="00E40956">
        <w:t xml:space="preserve">Objective 2: Understand the impact of TWES: </w:t>
      </w:r>
    </w:p>
    <w:p w14:paraId="60A6DF0B" w14:textId="6659F5B7" w:rsidR="002229C6" w:rsidRPr="00E40956" w:rsidRDefault="002229C6" w:rsidP="00305B4B">
      <w:pPr>
        <w:pStyle w:val="BodyText"/>
        <w:ind w:right="3"/>
      </w:pPr>
      <w:r w:rsidRPr="00E40956">
        <w:t xml:space="preserve">Understand the outcomes (both intended and unintended) that TWES has created and the extent to which the underlying causal assumptions in the program logic are correct </w:t>
      </w:r>
    </w:p>
    <w:p w14:paraId="5310862E" w14:textId="41C75FA4" w:rsidR="00297237" w:rsidRPr="00E40956" w:rsidRDefault="00297237" w:rsidP="00305B4B">
      <w:pPr>
        <w:pStyle w:val="Heading3"/>
        <w:ind w:right="3"/>
      </w:pPr>
      <w:r w:rsidRPr="00E40956">
        <w:t>Overall finding for Objective 2:</w:t>
      </w:r>
    </w:p>
    <w:p w14:paraId="3BF874CB" w14:textId="3A8D1DDE" w:rsidR="00297237" w:rsidRPr="00E40956" w:rsidRDefault="00297237" w:rsidP="00305B4B">
      <w:pPr>
        <w:pStyle w:val="BodyText"/>
        <w:ind w:right="3"/>
      </w:pPr>
      <w:r w:rsidRPr="00E40956">
        <w:t>The evaluation found that some of the assumptions underlying the TWES program logic have not been met, reducing the impact of the service. In particular, it was found that TWES providers struggle to complete all four stages of the program, with lower rates of completion of the final two stages. TWES was found however to complement other in-prison services by enabling job assessments to occur within a prison environment (JSCI and ESAt assessments).</w:t>
      </w:r>
    </w:p>
    <w:p w14:paraId="345589CA" w14:textId="77777777" w:rsidR="00A210FC" w:rsidRPr="00E40956" w:rsidRDefault="00297237" w:rsidP="00305B4B">
      <w:pPr>
        <w:pStyle w:val="BodyText"/>
        <w:ind w:right="3"/>
      </w:pPr>
      <w:r w:rsidRPr="00E40956">
        <w:t>Adjusting the TWES model and exploring more efficient methods of coordinating the program could increase impact. A key approach would be to improve program communication with participants and increase the role of Aboriginal and Torres Strait Islander staff.</w:t>
      </w:r>
    </w:p>
    <w:p w14:paraId="4F0CBAB3" w14:textId="77777777" w:rsidR="00A210FC" w:rsidRPr="00E40956" w:rsidRDefault="00A210FC" w:rsidP="00305B4B">
      <w:pPr>
        <w:pStyle w:val="Heading4"/>
        <w:ind w:right="3"/>
      </w:pPr>
      <w:r w:rsidRPr="00E40956">
        <w:t xml:space="preserve">Key Finding #7: TWES providers could strengthen cultural appropriateness by improving how the program is communicated and delivered to participants including through an increased role of Aboriginal and Torres Strait Islander prison staff. </w:t>
      </w:r>
    </w:p>
    <w:p w14:paraId="36634FCD" w14:textId="77777777" w:rsidR="00A210FC" w:rsidRPr="00E40956" w:rsidRDefault="00A210FC" w:rsidP="00305B4B">
      <w:pPr>
        <w:pStyle w:val="BodyText"/>
        <w:ind w:right="3"/>
      </w:pPr>
      <w:r w:rsidRPr="00E40956">
        <w:t>Interviews with TWES participants found evidence that higher levels of cultural competency would help participants better understand the purpose of the service, and increase participants’ trust in the process and capacity to engage. Increasing the involvement of Aboriginal or Torres Strait Islander staff in delivering TWES could help. Several participants said they would have liked an Aboriginal Liaison Officer (ALO) present in the meetings, and others said that they were glad that their TWES provider was Aboriginal or Torres Strait Islander. ALOs are informally involved in supporting the delivery of TWES in some prisons, and this is identified as valuable. However, they are not funded to provide this support.</w:t>
      </w:r>
    </w:p>
    <w:p w14:paraId="1AF93F18" w14:textId="77777777" w:rsidR="00A210FC" w:rsidRPr="00E40956" w:rsidRDefault="00A210FC" w:rsidP="00305B4B">
      <w:pPr>
        <w:pStyle w:val="BodyText"/>
        <w:ind w:right="3"/>
      </w:pPr>
      <w:r w:rsidRPr="00E40956">
        <w:t xml:space="preserve">Options for consideration: </w:t>
      </w:r>
    </w:p>
    <w:p w14:paraId="66F64A77" w14:textId="77777777" w:rsidR="00A210FC" w:rsidRPr="00E40956" w:rsidRDefault="00A210FC" w:rsidP="007F09E7">
      <w:pPr>
        <w:pStyle w:val="Numberedlist"/>
      </w:pPr>
      <w:r w:rsidRPr="00E40956">
        <w:t xml:space="preserve">NIAA and DESE to review requirements in funding agreements with TWES providers to prioritise the recruitment of Aboriginal and Torres Strait Islander staff to deliver TWES where possible, </w:t>
      </w:r>
      <w:r w:rsidRPr="00E40956">
        <w:lastRenderedPageBreak/>
        <w:t>demonstrate how they will invest in the cultural competence and awareness of their staff, and build the skills of their staff to build positive working relationships with prisons, and rapport with prisoners.</w:t>
      </w:r>
    </w:p>
    <w:p w14:paraId="1193B3C4" w14:textId="77777777" w:rsidR="00A210FC" w:rsidRPr="00E40956" w:rsidRDefault="00A210FC" w:rsidP="007F09E7">
      <w:pPr>
        <w:pStyle w:val="Numberedlist"/>
      </w:pPr>
      <w:r w:rsidRPr="00E40956">
        <w:t>NIAA, DESE and state/territory governments to explore opportunities to formalise the involvement of ALOs in TWES (in jurisdictions where ALOs operate) to help support promotion of the service and to build rapport with participants. This should include consideration of whether NIAA and DESE should fund ALOs to support delivery of the program.</w:t>
      </w:r>
    </w:p>
    <w:p w14:paraId="6A641555" w14:textId="77777777" w:rsidR="00A210FC" w:rsidRPr="00E40956" w:rsidRDefault="00A210FC" w:rsidP="00305B4B">
      <w:pPr>
        <w:pStyle w:val="Heading4"/>
        <w:ind w:right="3"/>
      </w:pPr>
      <w:r w:rsidRPr="00E40956">
        <w:t xml:space="preserve">Key Finding #8: Some of the key assumptions underlying the TWES program logic do not hold in practice, which limits the potential for TWES to improve how employment service providers engage with ex-offenders. </w:t>
      </w:r>
    </w:p>
    <w:p w14:paraId="1C934163" w14:textId="77777777" w:rsidR="00A210FC" w:rsidRPr="00E40956" w:rsidRDefault="00A210FC" w:rsidP="00305B4B">
      <w:pPr>
        <w:pStyle w:val="BodyText"/>
        <w:ind w:right="3"/>
      </w:pPr>
      <w:r w:rsidRPr="00E40956">
        <w:t xml:space="preserve">The logic of TWES assumes that Approved Transition Plans and Facilitated Transfer Meetings are a critical step to help participants understand their next steps after they leave prison, and help service providers to build a connection with participants and understand their needs. Finding #5 noted some of the reasons why it has not been possible for TWES providers to organise Facilitated Transfer Meetings. Increasing the proportion of participants receiving Facilitated Transfer Meetings, from the current figure of 13%, will be important to increase the impact on TWES participants’ connection with employment service providers, where this is possible. </w:t>
      </w:r>
    </w:p>
    <w:p w14:paraId="58402ED5" w14:textId="77777777" w:rsidR="00A210FC" w:rsidRPr="00E40956" w:rsidRDefault="00A210FC" w:rsidP="00305B4B">
      <w:pPr>
        <w:pStyle w:val="BodyText"/>
        <w:ind w:right="3"/>
      </w:pPr>
      <w:r w:rsidRPr="00E40956">
        <w:t>Options for consideration:</w:t>
      </w:r>
    </w:p>
    <w:p w14:paraId="624BB213" w14:textId="7815C6F3" w:rsidR="00A210FC" w:rsidRPr="00E40956" w:rsidRDefault="00A210FC" w:rsidP="00305B4B">
      <w:pPr>
        <w:pStyle w:val="BodyText"/>
        <w:ind w:right="3"/>
      </w:pPr>
      <w:r w:rsidRPr="00E40956">
        <w:t>See the options for consideration under Objectives 1 and 2 regarding how to improve the program and address these issues.</w:t>
      </w:r>
    </w:p>
    <w:p w14:paraId="17B07889" w14:textId="77777777" w:rsidR="00E40956" w:rsidRDefault="00A210FC" w:rsidP="00305B4B">
      <w:pPr>
        <w:pStyle w:val="Heading3"/>
        <w:ind w:right="3"/>
      </w:pPr>
      <w:r w:rsidRPr="00E40956">
        <w:t xml:space="preserve">Objective 3: Understand how to improve TWES </w:t>
      </w:r>
    </w:p>
    <w:p w14:paraId="13A2E5E2" w14:textId="1750F415" w:rsidR="00A210FC" w:rsidRPr="00E40956" w:rsidRDefault="00A210FC" w:rsidP="00305B4B">
      <w:pPr>
        <w:pStyle w:val="BodyText"/>
        <w:ind w:right="3"/>
      </w:pPr>
      <w:r w:rsidRPr="00E40956">
        <w:t xml:space="preserve">Understand how TWES could be improved to increase impact and what the implications are for future program design and implementation </w:t>
      </w:r>
    </w:p>
    <w:p w14:paraId="5DF00640" w14:textId="77777777" w:rsidR="00A210FC" w:rsidRPr="00E40956" w:rsidRDefault="00A210FC" w:rsidP="00305B4B">
      <w:pPr>
        <w:pStyle w:val="Heading3"/>
        <w:ind w:right="3"/>
      </w:pPr>
      <w:r w:rsidRPr="00E40956">
        <w:t>Overall finding for Objective 3:</w:t>
      </w:r>
    </w:p>
    <w:p w14:paraId="34183D12" w14:textId="648D9DB0" w:rsidR="00737963" w:rsidRPr="00E40956" w:rsidRDefault="00A210FC" w:rsidP="00305B4B">
      <w:pPr>
        <w:pStyle w:val="BodyText"/>
        <w:ind w:right="3"/>
      </w:pPr>
      <w:r w:rsidRPr="00E40956">
        <w:t>TWES has involved the coordination of multiple government agencies within the complex operating environment of prisons. However, TWES has been impacted by challenges which are outside providers’ control, including at the point that prisoners leave prison. The Commonwealth could consider a number of options for rethinking the TWES model to approach this coordination challenge. This includes also considering TWES within a wider context of how to address the issue of people ‘falling through the cracks’ in the transition from prison to life outside.</w:t>
      </w:r>
    </w:p>
    <w:p w14:paraId="7C4BC87B" w14:textId="77777777" w:rsidR="00A210FC" w:rsidRPr="00E40956" w:rsidRDefault="00A210FC" w:rsidP="00305B4B">
      <w:pPr>
        <w:pStyle w:val="Heading4"/>
        <w:ind w:right="3"/>
      </w:pPr>
      <w:r w:rsidRPr="00E40956">
        <w:t>Key Finding #9: TWES is only partially successful in addressing the service coordination challenges identified by Prison to Work. The respective roles of Commonwealth and state/territory governments in supporting ex-offenders through the post-release transition period should be reconsidered.</w:t>
      </w:r>
    </w:p>
    <w:p w14:paraId="02570069" w14:textId="77777777" w:rsidR="00A210FC" w:rsidRPr="00E40956" w:rsidRDefault="00A210FC" w:rsidP="00305B4B">
      <w:pPr>
        <w:pStyle w:val="BodyText"/>
        <w:ind w:right="3"/>
      </w:pPr>
      <w:r w:rsidRPr="00E40956">
        <w:rPr>
          <w:i/>
        </w:rPr>
        <w:t>Prison to Work</w:t>
      </w:r>
      <w:r w:rsidRPr="00E40956">
        <w:t xml:space="preserve"> identified that Aboriginal and Torres Strait Islander ex-offenders are let down by a lack of coordination between support services. “</w:t>
      </w:r>
      <w:r w:rsidRPr="00E40956">
        <w:rPr>
          <w:i/>
        </w:rPr>
        <w:t xml:space="preserve">No one agency or organisation has oversight of prisoner transition into post-release life,” </w:t>
      </w:r>
      <w:r w:rsidRPr="00E40956">
        <w:t xml:space="preserve">which makes it harder for ex-offenders to get back on their feet and (re)enter the labour market. </w:t>
      </w:r>
    </w:p>
    <w:p w14:paraId="5EB77B02" w14:textId="1CCA8783" w:rsidR="00A210FC" w:rsidRPr="00E40956" w:rsidRDefault="00A210FC" w:rsidP="00305B4B">
      <w:pPr>
        <w:pStyle w:val="BodyText"/>
        <w:ind w:right="3"/>
      </w:pPr>
      <w:r w:rsidRPr="00E40956">
        <w:t xml:space="preserve">This is a large and complex problem. The specific problem of service coordination is much larger than a single service like TWES could resolve. TWES does involve significant coordination between multiple government agencies and contracted providers each playing a role in delivering different elements of the service within prisons. This is a positive outcome. However, TWES appears to face challenges in </w:t>
      </w:r>
      <w:r w:rsidRPr="00E40956">
        <w:lastRenderedPageBreak/>
        <w:t xml:space="preserve">coordinating services at the point that prisoners transition to life outside prison. Only 13% of TWES participants receive a Facilitated Transfer Meeting, which means results in </w:t>
      </w:r>
      <w:r w:rsidR="006D5E8F" w:rsidRPr="00E40956">
        <w:t>insufficient continuity</w:t>
      </w:r>
      <w:r w:rsidRPr="00E40956">
        <w:t xml:space="preserve"> of employment supports at this critical transition point for many TWES participants.</w:t>
      </w:r>
    </w:p>
    <w:p w14:paraId="3FF6E4C7" w14:textId="77777777" w:rsidR="00A210FC" w:rsidRPr="00E40956" w:rsidRDefault="00A210FC" w:rsidP="00305B4B">
      <w:pPr>
        <w:pStyle w:val="BodyText"/>
        <w:ind w:right="3"/>
      </w:pPr>
      <w:r w:rsidRPr="00E40956">
        <w:t xml:space="preserve">Furthermore, as </w:t>
      </w:r>
      <w:r w:rsidRPr="00E40956">
        <w:rPr>
          <w:i/>
        </w:rPr>
        <w:t>Prison to Work</w:t>
      </w:r>
      <w:r w:rsidRPr="00E40956">
        <w:t xml:space="preserve"> identified, many Aboriginal and Torres Strait Islander ex-offenders experience multiple and complex factors of disadvantage that can present barriers to employment and reintegrating with community life – such as housing, mental health, and alcohol and other drugs. TWES includes mechanisms to identify these needs and document them in a transition plan, and TWES providers are encouraged to coordinate with complementary services in prisons to provide required supports. However, the extent to which TWES providers take a holistic view of TWES participants’ needs, and how they coordinate with other support services to meet participants’ needs, depends in part on providers’ mindsets and knowledge. </w:t>
      </w:r>
    </w:p>
    <w:p w14:paraId="7DB38A18" w14:textId="77777777" w:rsidR="00A210FC" w:rsidRPr="00E40956" w:rsidRDefault="00A210FC" w:rsidP="00305B4B">
      <w:pPr>
        <w:pStyle w:val="BodyText"/>
        <w:ind w:right="3"/>
      </w:pPr>
      <w:r w:rsidRPr="00E40956">
        <w:t xml:space="preserve">These findings point to opportunities for governments to enhance TWES and future policy making to respond to the findings of </w:t>
      </w:r>
      <w:r w:rsidRPr="00E40956">
        <w:rPr>
          <w:i/>
          <w:iCs/>
        </w:rPr>
        <w:t>Prison to Work</w:t>
      </w:r>
      <w:r w:rsidRPr="00E40956">
        <w:t xml:space="preserve">. </w:t>
      </w:r>
    </w:p>
    <w:p w14:paraId="6BC5B8D2" w14:textId="77777777" w:rsidR="00A210FC" w:rsidRPr="00E40956" w:rsidRDefault="00A210FC" w:rsidP="00305B4B">
      <w:pPr>
        <w:pStyle w:val="BodyText"/>
        <w:ind w:right="3"/>
      </w:pPr>
      <w:r w:rsidRPr="00E40956">
        <w:t xml:space="preserve">Options for consideration: </w:t>
      </w:r>
    </w:p>
    <w:p w14:paraId="1B50451B" w14:textId="77777777" w:rsidR="00A210FC" w:rsidRPr="00E40956" w:rsidRDefault="00A210FC" w:rsidP="007F09E7">
      <w:pPr>
        <w:pStyle w:val="Numberedlist"/>
      </w:pPr>
      <w:r w:rsidRPr="00E40956">
        <w:t>NIAA, DESE, Services Australia and state/territory governments to explore opportunities to a) redefine the scope of Commonwealth-funded services to focus specifically on bringing the JSCI and ESAt assessments within prisons, and b) fund state/territory governments to deliver the transition planning and facilitated transfer components of TWES through existing and new throughcare services within a case management model.</w:t>
      </w:r>
    </w:p>
    <w:p w14:paraId="687B0F38" w14:textId="77777777" w:rsidR="00A210FC" w:rsidRPr="00E40956" w:rsidRDefault="00A210FC" w:rsidP="007F09E7">
      <w:pPr>
        <w:pStyle w:val="Numberedlist"/>
      </w:pPr>
      <w:r w:rsidRPr="00E40956">
        <w:t>NIAA, DESE, Services Australia and state/territory governments to explore opportunities to expand the scope of TWES to a throughcare model that extends contact with participants until after their release from prison, and includes supporting them to connect with and navigate the employment and welfare systems. This should involve revisiting relevant findings and actions of Prison to Work, in particular Finding 7, “there is insufficient transitional support and through care”, and Finding 8, “there is insufficient stable accommodation, including transitional housing”.</w:t>
      </w:r>
    </w:p>
    <w:p w14:paraId="589DBFDD" w14:textId="77777777" w:rsidR="00A210FC" w:rsidRPr="00E40956" w:rsidRDefault="00A210FC" w:rsidP="00305B4B">
      <w:pPr>
        <w:pStyle w:val="Heading4"/>
        <w:ind w:right="3"/>
      </w:pPr>
      <w:r w:rsidRPr="00E40956">
        <w:t xml:space="preserve">Key Finding #10: Commonwealth and state/territory governments need to address data limitations and data linkages to enable better monitoring and evaluation of employment, recidivism and long-term outcomes. </w:t>
      </w:r>
    </w:p>
    <w:p w14:paraId="36D66949" w14:textId="77777777" w:rsidR="00A210FC" w:rsidRPr="00E40956" w:rsidRDefault="00A210FC" w:rsidP="00305B4B">
      <w:pPr>
        <w:pStyle w:val="BodyText"/>
        <w:ind w:right="3"/>
      </w:pPr>
      <w:r w:rsidRPr="00E40956">
        <w:t>Measuring the impact of programs like TWES on long-term outcomes requires data from state and territory corrections departments, which was not available for this evaluation. This will require significant investment in linking data between Commonwealth and state/territory government agencies.</w:t>
      </w:r>
    </w:p>
    <w:p w14:paraId="5A91F3DA" w14:textId="77777777" w:rsidR="00A210FC" w:rsidRPr="00E40956" w:rsidRDefault="00A210FC" w:rsidP="00305B4B">
      <w:pPr>
        <w:pStyle w:val="BodyText"/>
        <w:ind w:right="3"/>
      </w:pPr>
      <w:r w:rsidRPr="00E40956">
        <w:t xml:space="preserve">Options for consideration: </w:t>
      </w:r>
    </w:p>
    <w:p w14:paraId="39081A80" w14:textId="7CEC954E" w:rsidR="00017899" w:rsidRPr="002229C6" w:rsidRDefault="00A210FC" w:rsidP="00305B4B">
      <w:pPr>
        <w:pStyle w:val="BodyText"/>
        <w:ind w:right="3"/>
        <w:rPr>
          <w:rFonts w:asciiTheme="minorHAnsi" w:hAnsiTheme="minorHAnsi" w:cstheme="minorHAnsi"/>
        </w:rPr>
      </w:pPr>
      <w:r w:rsidRPr="00E40956">
        <w:t>This finding reinforces the actions identified in Prison to Work for the NIAA, DESE, Services Australia and state/territory governments to establish a data linkage project to link data from the prison, employment and welfare systems.</w:t>
      </w:r>
    </w:p>
    <w:p w14:paraId="33389313" w14:textId="3A1AEB76" w:rsidR="00363488" w:rsidRPr="00EF5009" w:rsidRDefault="00267296" w:rsidP="00305B4B">
      <w:pPr>
        <w:pStyle w:val="Heading3"/>
        <w:ind w:right="3"/>
      </w:pPr>
      <w:r>
        <w:t xml:space="preserve">Conclusion </w:t>
      </w:r>
    </w:p>
    <w:p w14:paraId="3EFFC320" w14:textId="13FA3F35" w:rsidR="0017746C" w:rsidRPr="00E40956" w:rsidRDefault="00E7100F" w:rsidP="00305B4B">
      <w:pPr>
        <w:pStyle w:val="BodyText"/>
        <w:ind w:right="3"/>
      </w:pPr>
      <w:r w:rsidRPr="00E40956">
        <w:t xml:space="preserve">The evaluation </w:t>
      </w:r>
      <w:r w:rsidR="004C0423" w:rsidRPr="00E40956">
        <w:t>identifie</w:t>
      </w:r>
      <w:r w:rsidR="004F402C" w:rsidRPr="00E40956">
        <w:t>d</w:t>
      </w:r>
      <w:r w:rsidR="004C0423" w:rsidRPr="00E40956">
        <w:t xml:space="preserve"> a number of options for</w:t>
      </w:r>
      <w:r w:rsidRPr="00E40956">
        <w:t xml:space="preserve"> </w:t>
      </w:r>
      <w:r w:rsidR="00223D65" w:rsidRPr="00E40956">
        <w:t>NIAA, DESE</w:t>
      </w:r>
      <w:r w:rsidR="004C0423" w:rsidRPr="00E40956">
        <w:t xml:space="preserve"> and</w:t>
      </w:r>
      <w:r w:rsidR="00223D65" w:rsidRPr="00E40956">
        <w:t xml:space="preserve"> Services Australia</w:t>
      </w:r>
      <w:r w:rsidR="008042EA" w:rsidRPr="00E40956">
        <w:t xml:space="preserve"> </w:t>
      </w:r>
      <w:r w:rsidR="004C0423" w:rsidRPr="00E40956">
        <w:t xml:space="preserve">to </w:t>
      </w:r>
      <w:r w:rsidR="00B90BC7" w:rsidRPr="00E40956">
        <w:t xml:space="preserve">consider </w:t>
      </w:r>
      <w:r w:rsidR="004C0423" w:rsidRPr="00E40956">
        <w:t>engag</w:t>
      </w:r>
      <w:r w:rsidR="00B90BC7" w:rsidRPr="00E40956">
        <w:t>ing</w:t>
      </w:r>
      <w:r w:rsidR="004C0423" w:rsidRPr="00E40956">
        <w:t xml:space="preserve"> with </w:t>
      </w:r>
      <w:r w:rsidR="00B63B84" w:rsidRPr="00E40956">
        <w:t>state</w:t>
      </w:r>
      <w:r w:rsidRPr="00E40956">
        <w:t>/</w:t>
      </w:r>
      <w:r w:rsidR="00B63B84" w:rsidRPr="00E40956">
        <w:t xml:space="preserve">territory </w:t>
      </w:r>
      <w:r w:rsidR="00EA551D" w:rsidRPr="00E40956">
        <w:t>g</w:t>
      </w:r>
      <w:r w:rsidRPr="00E40956">
        <w:t xml:space="preserve">overnments to improve the performance of TWES within the current model. However, it also identifies that some of the government coordination challenges encountered in TWES may require a reconsideration of the TWES model, and the respective roles and responsibilities of Commonwealth and </w:t>
      </w:r>
      <w:r w:rsidR="00B63B84" w:rsidRPr="00E40956">
        <w:lastRenderedPageBreak/>
        <w:t>state</w:t>
      </w:r>
      <w:r w:rsidRPr="00E40956">
        <w:t>/</w:t>
      </w:r>
      <w:r w:rsidR="00B63B84" w:rsidRPr="00E40956">
        <w:t xml:space="preserve">territory </w:t>
      </w:r>
      <w:r w:rsidR="00EA551D" w:rsidRPr="00E40956">
        <w:t>g</w:t>
      </w:r>
      <w:r w:rsidRPr="00E40956">
        <w:t xml:space="preserve">overnments in providing throughcare support to Aboriginal and Torres Strait Islander ex-offenders after they leave prison. </w:t>
      </w:r>
    </w:p>
    <w:p w14:paraId="4A0AABAE" w14:textId="025794B2" w:rsidR="000C06CB" w:rsidRPr="00E40956" w:rsidRDefault="00092C97" w:rsidP="00305B4B">
      <w:pPr>
        <w:pStyle w:val="BodyText"/>
        <w:ind w:right="3"/>
      </w:pPr>
      <w:r w:rsidRPr="00E40956">
        <w:t>Any i</w:t>
      </w:r>
      <w:r w:rsidR="0017746C" w:rsidRPr="00E40956">
        <w:t xml:space="preserve">mprovements to the </w:t>
      </w:r>
      <w:r w:rsidRPr="00E40956">
        <w:t xml:space="preserve">current </w:t>
      </w:r>
      <w:r w:rsidR="0017746C" w:rsidRPr="00E40956">
        <w:t>TWES model, or</w:t>
      </w:r>
      <w:r w:rsidRPr="00E40956">
        <w:t xml:space="preserve"> development of new</w:t>
      </w:r>
      <w:r w:rsidR="00893DCD" w:rsidRPr="00E40956">
        <w:t xml:space="preserve"> </w:t>
      </w:r>
      <w:r w:rsidR="00E47208" w:rsidRPr="00E40956">
        <w:t xml:space="preserve">similar </w:t>
      </w:r>
      <w:r w:rsidR="004A5F0F" w:rsidRPr="00E40956">
        <w:t>services</w:t>
      </w:r>
      <w:r w:rsidR="00E47208" w:rsidRPr="00E40956">
        <w:t xml:space="preserve"> or policy, should </w:t>
      </w:r>
      <w:r w:rsidR="00280DEE" w:rsidRPr="00E40956">
        <w:t xml:space="preserve">involve a co-design process with </w:t>
      </w:r>
      <w:r w:rsidR="00650E99" w:rsidRPr="00E40956">
        <w:t>Aboriginal and Torres Strait Islander</w:t>
      </w:r>
      <w:r w:rsidR="00280DEE" w:rsidRPr="00E40956">
        <w:t xml:space="preserve"> stakeholders and experts from the outset, and explore </w:t>
      </w:r>
      <w:r w:rsidR="00650E99" w:rsidRPr="00E40956">
        <w:t xml:space="preserve">opportunities </w:t>
      </w:r>
      <w:r w:rsidR="004A5F0F" w:rsidRPr="00E40956">
        <w:t xml:space="preserve">for </w:t>
      </w:r>
      <w:r w:rsidR="00650E99" w:rsidRPr="00E40956">
        <w:t>more Aboriginal and Torres Strait Islander</w:t>
      </w:r>
      <w:r w:rsidR="004A5F0F" w:rsidRPr="00E40956">
        <w:t xml:space="preserve"> stakeholders to lead the delivery of service where possible (whether through </w:t>
      </w:r>
      <w:r w:rsidR="00BE03F9" w:rsidRPr="00E40956">
        <w:t xml:space="preserve">contract providers or ALOs in the prison system). </w:t>
      </w:r>
      <w:r w:rsidR="00AB2C3D" w:rsidRPr="00E40956">
        <w:t xml:space="preserve">Furthermore, </w:t>
      </w:r>
      <w:r w:rsidR="008B454C" w:rsidRPr="00E40956">
        <w:t>the Commonwealth</w:t>
      </w:r>
      <w:r w:rsidR="00EE57BE" w:rsidRPr="00E40956">
        <w:t xml:space="preserve"> agencies</w:t>
      </w:r>
      <w:r w:rsidR="008B454C" w:rsidRPr="00E40956">
        <w:t xml:space="preserve"> and </w:t>
      </w:r>
      <w:r w:rsidR="00B63B84" w:rsidRPr="00E40956">
        <w:t>state</w:t>
      </w:r>
      <w:r w:rsidR="008B454C" w:rsidRPr="00E40956">
        <w:t>/</w:t>
      </w:r>
      <w:r w:rsidR="00B63B84" w:rsidRPr="00E40956">
        <w:t xml:space="preserve">territory </w:t>
      </w:r>
      <w:r w:rsidR="00AB048B" w:rsidRPr="00E40956">
        <w:t>g</w:t>
      </w:r>
      <w:r w:rsidR="00EE57BE" w:rsidRPr="00E40956">
        <w:t xml:space="preserve">overnments should </w:t>
      </w:r>
      <w:r w:rsidR="00E1759B" w:rsidRPr="00E40956">
        <w:t xml:space="preserve">continue to pursue </w:t>
      </w:r>
      <w:r w:rsidR="00650E99" w:rsidRPr="00E40956">
        <w:t xml:space="preserve">opportunities to </w:t>
      </w:r>
      <w:r w:rsidR="00C32FDE" w:rsidRPr="00E40956">
        <w:t xml:space="preserve">improve </w:t>
      </w:r>
      <w:r w:rsidR="00650E99" w:rsidRPr="00E40956">
        <w:t xml:space="preserve">data collection and linkages </w:t>
      </w:r>
      <w:r w:rsidR="00E1759B" w:rsidRPr="00E40956">
        <w:t xml:space="preserve">across service boundaries to help improve evaluation and measurement of long-term outcomes. </w:t>
      </w:r>
    </w:p>
    <w:p w14:paraId="71B0FD35" w14:textId="3226A26F" w:rsidR="005C0E2D" w:rsidRPr="00E40956" w:rsidRDefault="00420831" w:rsidP="00305B4B">
      <w:pPr>
        <w:pStyle w:val="BodyText"/>
        <w:ind w:right="3"/>
      </w:pPr>
      <w:r w:rsidRPr="00E40956">
        <w:t>Aboriginal and Torres Strait Islander</w:t>
      </w:r>
      <w:r w:rsidR="001A20B2" w:rsidRPr="00E40956">
        <w:t xml:space="preserve"> </w:t>
      </w:r>
      <w:r w:rsidRPr="00E40956">
        <w:t>people who are incarcerated and nearing the end of their</w:t>
      </w:r>
      <w:r w:rsidR="00131C87" w:rsidRPr="00E40956">
        <w:t xml:space="preserve"> prison</w:t>
      </w:r>
      <w:r w:rsidRPr="00E40956">
        <w:t xml:space="preserve"> sentence are a particularly vulnerable </w:t>
      </w:r>
      <w:r w:rsidR="001A20B2" w:rsidRPr="00E40956">
        <w:t>group in the community</w:t>
      </w:r>
      <w:r w:rsidR="00131C87" w:rsidRPr="00E40956">
        <w:t>. Services like TWES</w:t>
      </w:r>
      <w:r w:rsidR="000D69CF" w:rsidRPr="00E40956">
        <w:t xml:space="preserve"> that </w:t>
      </w:r>
      <w:r w:rsidR="008777FC" w:rsidRPr="00E40956">
        <w:t>aim to improve services</w:t>
      </w:r>
      <w:r w:rsidR="00131C87" w:rsidRPr="00E40956">
        <w:t xml:space="preserve"> </w:t>
      </w:r>
      <w:r w:rsidR="00C8502A" w:rsidRPr="00E40956">
        <w:t xml:space="preserve">at this transition point </w:t>
      </w:r>
      <w:r w:rsidR="00131C87" w:rsidRPr="00E40956">
        <w:t>are therefore crucial</w:t>
      </w:r>
      <w:r w:rsidR="00C8502A" w:rsidRPr="00E40956">
        <w:t xml:space="preserve">. TWES has faced a number of challenges in </w:t>
      </w:r>
      <w:r w:rsidR="000F111A" w:rsidRPr="00E40956">
        <w:t xml:space="preserve">improving coordination </w:t>
      </w:r>
      <w:r w:rsidR="002F57A8" w:rsidRPr="00E40956">
        <w:t xml:space="preserve">of services </w:t>
      </w:r>
      <w:r w:rsidR="003E3A47" w:rsidRPr="00E40956">
        <w:t xml:space="preserve">at the transition from prison to work, and the evaluation provides a number of options for consideration for how this could be improved. </w:t>
      </w:r>
      <w:bookmarkStart w:id="29" w:name="bookmark2"/>
      <w:bookmarkStart w:id="30" w:name="_Toc69718836"/>
      <w:bookmarkEnd w:id="29"/>
    </w:p>
    <w:p w14:paraId="33DB194F" w14:textId="4858273E" w:rsidR="00AC5AC6" w:rsidRPr="00E40956" w:rsidRDefault="00AC5AC6" w:rsidP="00305B4B">
      <w:pPr>
        <w:pStyle w:val="BodyText"/>
        <w:ind w:right="3"/>
      </w:pPr>
      <w:r w:rsidRPr="00E40956">
        <w:br w:type="page"/>
      </w:r>
    </w:p>
    <w:p w14:paraId="56631E54" w14:textId="636DCED8" w:rsidR="005C2FD1" w:rsidRPr="00E40956" w:rsidRDefault="00822A55" w:rsidP="000C3506">
      <w:pPr>
        <w:pStyle w:val="Heading1"/>
        <w:numPr>
          <w:ilvl w:val="0"/>
          <w:numId w:val="36"/>
        </w:numPr>
        <w:ind w:left="709" w:right="3" w:hanging="709"/>
      </w:pPr>
      <w:bookmarkStart w:id="31" w:name="_Toc74911580"/>
      <w:bookmarkStart w:id="32" w:name="_Toc74911607"/>
      <w:bookmarkStart w:id="33" w:name="_Toc75959317"/>
      <w:r w:rsidRPr="00E40956">
        <w:lastRenderedPageBreak/>
        <w:t>Introduction</w:t>
      </w:r>
      <w:r w:rsidR="00933EF8" w:rsidRPr="00E40956">
        <w:t xml:space="preserve"> and </w:t>
      </w:r>
      <w:r w:rsidR="002B1311" w:rsidRPr="00E40956">
        <w:t>C</w:t>
      </w:r>
      <w:r w:rsidR="00933EF8" w:rsidRPr="00E40956">
        <w:t>ontext</w:t>
      </w:r>
      <w:bookmarkEnd w:id="31"/>
      <w:bookmarkEnd w:id="32"/>
      <w:bookmarkEnd w:id="33"/>
    </w:p>
    <w:p w14:paraId="400C9F9D" w14:textId="7E9EC395" w:rsidR="00AD5D22" w:rsidRPr="00E40956" w:rsidRDefault="005C2FD1" w:rsidP="00305B4B">
      <w:pPr>
        <w:pStyle w:val="Heading2"/>
        <w:ind w:right="3"/>
      </w:pPr>
      <w:r w:rsidRPr="00E40956">
        <w:t>Context of TWES</w:t>
      </w:r>
      <w:bookmarkEnd w:id="30"/>
    </w:p>
    <w:p w14:paraId="27ACC947" w14:textId="2EF56649" w:rsidR="00821819" w:rsidRPr="00E40956" w:rsidRDefault="0039147F" w:rsidP="00305B4B">
      <w:pPr>
        <w:pStyle w:val="BodyText"/>
        <w:ind w:right="3"/>
      </w:pPr>
      <w:r w:rsidRPr="00E40956">
        <w:t>E</w:t>
      </w:r>
      <w:r w:rsidR="00396880" w:rsidRPr="00E40956">
        <w:t>x-</w:t>
      </w:r>
      <w:r w:rsidR="00580E88" w:rsidRPr="00E40956">
        <w:t xml:space="preserve">prison </w:t>
      </w:r>
      <w:r w:rsidR="00396880" w:rsidRPr="00E40956">
        <w:t xml:space="preserve">offenders </w:t>
      </w:r>
      <w:r w:rsidR="008D73B4" w:rsidRPr="00E40956">
        <w:t xml:space="preserve">face significant challenges </w:t>
      </w:r>
      <w:r w:rsidR="00396880" w:rsidRPr="00E40956">
        <w:t xml:space="preserve">in </w:t>
      </w:r>
      <w:r w:rsidR="00FA115E" w:rsidRPr="00E40956">
        <w:t xml:space="preserve">finding </w:t>
      </w:r>
      <w:r w:rsidR="00396880" w:rsidRPr="00E40956">
        <w:t xml:space="preserve">employment </w:t>
      </w:r>
      <w:r w:rsidR="00FA115E" w:rsidRPr="00E40956">
        <w:t>after their release from prison</w:t>
      </w:r>
      <w:r w:rsidR="00396880" w:rsidRPr="00E40956">
        <w:t>.</w:t>
      </w:r>
      <w:r w:rsidR="008B689F" w:rsidRPr="00E40956">
        <w:rPr>
          <w:vertAlign w:val="superscript"/>
        </w:rPr>
        <w:footnoteReference w:id="3"/>
      </w:r>
      <w:r w:rsidR="00396880" w:rsidRPr="00E40956">
        <w:rPr>
          <w:vertAlign w:val="superscript"/>
        </w:rPr>
        <w:t xml:space="preserve"> </w:t>
      </w:r>
      <w:r w:rsidR="00396880" w:rsidRPr="00E40956">
        <w:t xml:space="preserve">The stigma associated with incarceration often makes finding </w:t>
      </w:r>
      <w:r w:rsidR="00FA115E" w:rsidRPr="00E40956">
        <w:t>work difficult</w:t>
      </w:r>
      <w:r w:rsidR="00396880" w:rsidRPr="00E40956">
        <w:t>, and when ex-offenders do find jobs they often earn less than individuals with similar background</w:t>
      </w:r>
      <w:r w:rsidR="00BC5724" w:rsidRPr="00E40956">
        <w:t xml:space="preserve"> characteristics who have not been incarcerated.</w:t>
      </w:r>
      <w:r w:rsidR="008B689F" w:rsidRPr="00E40956">
        <w:rPr>
          <w:vertAlign w:val="superscript"/>
        </w:rPr>
        <w:footnoteReference w:id="4"/>
      </w:r>
      <w:r w:rsidR="00BC5724" w:rsidRPr="00E40956">
        <w:t xml:space="preserve"> The period when ex-offenders first engage with employment services is often post-release, at a time when they are forced to manage multiple, complex life issues.</w:t>
      </w:r>
      <w:r w:rsidR="008B689F" w:rsidRPr="00E40956">
        <w:rPr>
          <w:vertAlign w:val="superscript"/>
        </w:rPr>
        <w:footnoteReference w:id="5"/>
      </w:r>
      <w:r w:rsidR="00BC5724" w:rsidRPr="00E40956">
        <w:t xml:space="preserve"> This includes accessing support payments to afford food (involving navigation of Centrelink services) and finding appropriate accommodation.</w:t>
      </w:r>
      <w:r w:rsidR="008B689F" w:rsidRPr="00E40956">
        <w:rPr>
          <w:vertAlign w:val="superscript"/>
        </w:rPr>
        <w:footnoteReference w:id="6"/>
      </w:r>
      <w:r w:rsidR="00BC5724" w:rsidRPr="00E40956">
        <w:rPr>
          <w:vertAlign w:val="superscript"/>
        </w:rPr>
        <w:t xml:space="preserve"> </w:t>
      </w:r>
      <w:r w:rsidR="00BC5724" w:rsidRPr="00E40956">
        <w:t>Unrealistic demands are made of ex-offenders when they are at their most vulnerable, immediately following release.</w:t>
      </w:r>
      <w:r w:rsidR="008B689F" w:rsidRPr="00E40956">
        <w:rPr>
          <w:vertAlign w:val="superscript"/>
        </w:rPr>
        <w:footnoteReference w:id="7"/>
      </w:r>
    </w:p>
    <w:p w14:paraId="6A337383" w14:textId="37FF0F15" w:rsidR="00B278CF" w:rsidRPr="00E40956" w:rsidRDefault="00A00B48" w:rsidP="00305B4B">
      <w:pPr>
        <w:pStyle w:val="BodyText"/>
        <w:ind w:right="3"/>
      </w:pPr>
      <w:r w:rsidRPr="00E40956">
        <w:t>Literature suggests that Aboriginal and Torres Strait Islander ex-offenders face additional barriers to finding work after their release.</w:t>
      </w:r>
      <w:r w:rsidR="008B689F" w:rsidRPr="00E40956">
        <w:rPr>
          <w:vertAlign w:val="superscript"/>
        </w:rPr>
        <w:footnoteReference w:id="8"/>
      </w:r>
      <w:r w:rsidR="009131C7" w:rsidRPr="00E40956">
        <w:t xml:space="preserve"> </w:t>
      </w:r>
      <w:r w:rsidR="00B278CF" w:rsidRPr="00E40956">
        <w:t>Aboriginal and Torres Strait Islander people are over-represented in the prison system: despite constituting only 3% of the Australian population, Aboriginal and Torres Strait Islander people made up 27% of the total prison population in 2016.</w:t>
      </w:r>
      <w:r w:rsidR="008B689F" w:rsidRPr="00E40956">
        <w:rPr>
          <w:vertAlign w:val="superscript"/>
        </w:rPr>
        <w:footnoteReference w:id="9"/>
      </w:r>
      <w:r w:rsidR="00B278CF" w:rsidRPr="00E40956">
        <w:t xml:space="preserve"> Over-representation is greatest in the Northern Territory, Western Australia and Queensland. </w:t>
      </w:r>
    </w:p>
    <w:p w14:paraId="4998CC17" w14:textId="68EDCE03" w:rsidR="003E0866" w:rsidRPr="00E40956" w:rsidRDefault="00DC02F8" w:rsidP="00305B4B">
      <w:pPr>
        <w:pStyle w:val="BodyText"/>
        <w:ind w:right="3"/>
      </w:pPr>
      <w:r w:rsidRPr="00E40956">
        <w:t xml:space="preserve">International </w:t>
      </w:r>
      <w:r w:rsidR="00821819" w:rsidRPr="00E40956">
        <w:t>literature</w:t>
      </w:r>
      <w:r w:rsidR="008C661A" w:rsidRPr="00E40956">
        <w:t xml:space="preserve"> </w:t>
      </w:r>
      <w:r w:rsidR="00821819" w:rsidRPr="00E40956">
        <w:t>provides clear links between lack of employment or educational attainment and entry into the criminal justice system.</w:t>
      </w:r>
      <w:r w:rsidR="008B689F" w:rsidRPr="00E40956">
        <w:rPr>
          <w:vertAlign w:val="superscript"/>
        </w:rPr>
        <w:footnoteReference w:id="10"/>
      </w:r>
      <w:r w:rsidR="00821819" w:rsidRPr="00E40956">
        <w:t xml:space="preserve"> Researchers generally agree that recidivism is less likely for people in high-quality jobs, with higher wages, longer periods of time and experiencing job satisfaction.</w:t>
      </w:r>
      <w:r w:rsidR="008B689F" w:rsidRPr="00E40956">
        <w:rPr>
          <w:vertAlign w:val="superscript"/>
        </w:rPr>
        <w:footnoteReference w:id="11"/>
      </w:r>
      <w:r w:rsidR="00821819" w:rsidRPr="00E40956">
        <w:t xml:space="preserve"> </w:t>
      </w:r>
      <w:r w:rsidR="005C2FD1" w:rsidRPr="00E40956">
        <w:t>Such</w:t>
      </w:r>
      <w:r w:rsidR="00822A55" w:rsidRPr="00E40956">
        <w:t xml:space="preserve"> context provides insight into the complex nature of the problem</w:t>
      </w:r>
      <w:r w:rsidR="004D63C0" w:rsidRPr="00E40956">
        <w:t>.</w:t>
      </w:r>
      <w:r w:rsidR="00822A55" w:rsidRPr="00E40956">
        <w:t xml:space="preserve"> </w:t>
      </w:r>
    </w:p>
    <w:p w14:paraId="1C8E4834" w14:textId="16F54D47" w:rsidR="006224A3" w:rsidRDefault="00F64DA2" w:rsidP="00305B4B">
      <w:pPr>
        <w:pStyle w:val="Heading2"/>
        <w:ind w:right="3"/>
      </w:pPr>
      <w:r>
        <w:t>The TWES Program</w:t>
      </w:r>
    </w:p>
    <w:p w14:paraId="06C1808C" w14:textId="3CDDBCC9" w:rsidR="00502F1E" w:rsidRPr="00E40956" w:rsidRDefault="001978B7" w:rsidP="00305B4B">
      <w:pPr>
        <w:pStyle w:val="BodyText"/>
        <w:ind w:right="3"/>
      </w:pPr>
      <w:r w:rsidRPr="00E40956">
        <w:t>In 2016</w:t>
      </w:r>
      <w:r w:rsidR="007874B2" w:rsidRPr="00E40956">
        <w:t xml:space="preserve">, </w:t>
      </w:r>
      <w:r w:rsidRPr="00E40956">
        <w:t xml:space="preserve">the Council of Australian Governments (COAG) commissioned the Prison to Work report. This was a major national report which represented a </w:t>
      </w:r>
      <w:r w:rsidRPr="00E40956">
        <w:rPr>
          <w:i/>
          <w:iCs/>
        </w:rPr>
        <w:t>“collective commitment to creating positive pathways to employment from prison for all adult Aboriginal and Torres Strait Islander offenders</w:t>
      </w:r>
      <w:r w:rsidR="007874B2" w:rsidRPr="00E40956">
        <w:rPr>
          <w:i/>
          <w:iCs/>
        </w:rPr>
        <w:t>.</w:t>
      </w:r>
      <w:r w:rsidRPr="00E40956">
        <w:rPr>
          <w:i/>
          <w:iCs/>
        </w:rPr>
        <w:t>”</w:t>
      </w:r>
      <w:r w:rsidRPr="00E40956">
        <w:rPr>
          <w:vertAlign w:val="superscript"/>
        </w:rPr>
        <w:footnoteReference w:id="12"/>
      </w:r>
      <w:r w:rsidRPr="00E40956">
        <w:rPr>
          <w:vertAlign w:val="superscript"/>
        </w:rPr>
        <w:t xml:space="preserve"> </w:t>
      </w:r>
    </w:p>
    <w:p w14:paraId="151A66AD" w14:textId="21A04469" w:rsidR="00AA0D1F" w:rsidRPr="00E40956" w:rsidRDefault="001978B7" w:rsidP="00305B4B">
      <w:pPr>
        <w:pStyle w:val="BodyText"/>
        <w:ind w:right="3"/>
      </w:pPr>
      <w:r w:rsidRPr="00E40956">
        <w:t xml:space="preserve">Prison to Work </w:t>
      </w:r>
      <w:r w:rsidR="009C73E7" w:rsidRPr="00E40956">
        <w:t xml:space="preserve">found that </w:t>
      </w:r>
      <w:r w:rsidR="00D938F7" w:rsidRPr="00E40956">
        <w:t xml:space="preserve">Aboriginal and Torres Strait Islander ex-offenders </w:t>
      </w:r>
      <w:r w:rsidR="00502F1E" w:rsidRPr="00E40956">
        <w:t xml:space="preserve">who were adjusting to life after prison </w:t>
      </w:r>
      <w:r w:rsidR="00D938F7" w:rsidRPr="00E40956">
        <w:t xml:space="preserve">were let down by </w:t>
      </w:r>
      <w:r w:rsidR="007F4A2D" w:rsidRPr="00E40956">
        <w:t xml:space="preserve">poorly coordinated support services, which saw many people falling through the gaps. </w:t>
      </w:r>
      <w:r w:rsidR="004376CE" w:rsidRPr="00E40956">
        <w:t xml:space="preserve">The report </w:t>
      </w:r>
      <w:r w:rsidRPr="00E40956">
        <w:t xml:space="preserve">provided </w:t>
      </w:r>
      <w:r w:rsidR="009C73E7" w:rsidRPr="00E40956">
        <w:t xml:space="preserve">nine </w:t>
      </w:r>
      <w:r w:rsidRPr="00E40956">
        <w:t xml:space="preserve">national findings and </w:t>
      </w:r>
      <w:r w:rsidR="009C73E7" w:rsidRPr="00E40956">
        <w:t xml:space="preserve">a set of </w:t>
      </w:r>
      <w:r w:rsidRPr="00E40956">
        <w:t xml:space="preserve">actions for Commonwealth and </w:t>
      </w:r>
      <w:r w:rsidR="00B63B84" w:rsidRPr="00E40956">
        <w:t>state</w:t>
      </w:r>
      <w:r w:rsidR="009C73E7" w:rsidRPr="00E40956">
        <w:t>/</w:t>
      </w:r>
      <w:r w:rsidR="00B63B84" w:rsidRPr="00E40956">
        <w:t xml:space="preserve">territory </w:t>
      </w:r>
      <w:r w:rsidR="00B52B70" w:rsidRPr="00E40956">
        <w:t>g</w:t>
      </w:r>
      <w:r w:rsidRPr="00E40956">
        <w:t>overnments</w:t>
      </w:r>
      <w:r w:rsidR="009C73E7" w:rsidRPr="00E40956">
        <w:t xml:space="preserve"> to address </w:t>
      </w:r>
      <w:r w:rsidR="004376CE" w:rsidRPr="00E40956">
        <w:t xml:space="preserve">these challenges. </w:t>
      </w:r>
    </w:p>
    <w:p w14:paraId="31EE1B98" w14:textId="77777777" w:rsidR="00401EA9" w:rsidRPr="00E40956" w:rsidRDefault="00401EA9" w:rsidP="00305B4B">
      <w:pPr>
        <w:pStyle w:val="BodyText"/>
        <w:ind w:right="3"/>
      </w:pPr>
      <w:r w:rsidRPr="00E40956">
        <w:lastRenderedPageBreak/>
        <w:t>The Time to Work Employment Service (TWES) is a voluntary in-prison program that seeks to provide support to Aboriginal and Torres Strait Islanders to help facilitate their transition from prison to work. TWES is designed to address Finding 5 of the Prison to Work report:</w:t>
      </w:r>
    </w:p>
    <w:p w14:paraId="16A55589" w14:textId="349CBB5C" w:rsidR="00401EA9" w:rsidRPr="00E40956" w:rsidRDefault="00401EA9" w:rsidP="00305B4B">
      <w:pPr>
        <w:pStyle w:val="Quote"/>
        <w:ind w:right="3"/>
      </w:pPr>
      <w:r w:rsidRPr="00E40956">
        <w:t xml:space="preserve">“there is a lack of timely, co-ordinated and quality engagement with Aboriginal and Torres Strait Islander prisoners from employment and welfare services.” </w:t>
      </w:r>
    </w:p>
    <w:p w14:paraId="5FCF2EE7" w14:textId="3AAA3207" w:rsidR="00401EA9" w:rsidRPr="00E40956" w:rsidRDefault="00401EA9" w:rsidP="00305B4B">
      <w:pPr>
        <w:pStyle w:val="BodyText"/>
        <w:ind w:right="3"/>
      </w:pPr>
      <w:r w:rsidRPr="00E40956">
        <w:t xml:space="preserve">TWES targets adult, sentenced Aboriginal and Torres Strait Islander prisoners who are between </w:t>
      </w:r>
      <w:r w:rsidR="00E30CB6" w:rsidRPr="00E40956">
        <w:t>one and</w:t>
      </w:r>
      <w:r w:rsidRPr="00E40956">
        <w:t xml:space="preserve"> four month</w:t>
      </w:r>
      <w:r w:rsidR="00E30CB6" w:rsidRPr="00E40956">
        <w:t>s</w:t>
      </w:r>
      <w:r w:rsidRPr="00E40956">
        <w:t xml:space="preserve"> from their earliest possible release date. TWES assists participants through assessment and linking support to post-release employment services where possible. </w:t>
      </w:r>
    </w:p>
    <w:p w14:paraId="2A472E5C" w14:textId="32511963" w:rsidR="00401EA9" w:rsidRPr="00E40956" w:rsidRDefault="00401EA9" w:rsidP="00305B4B">
      <w:pPr>
        <w:pStyle w:val="BodyText"/>
        <w:ind w:right="3"/>
      </w:pPr>
      <w:r w:rsidRPr="00E40956">
        <w:t>TWES was designed to address some of the challenges identified in the Prison to Work report including issues with the fragmentation of the service system and difficulties associated with navigating welfare and employment systems as Aboriginal and Torres Strait Islander prisoners transitioned from incarceration to community life and employment. While TWES addressed the issue with engagement from employment services, the current scope of TWES does not entail case management, service coordination and assistance with the navigation of service systems.</w:t>
      </w:r>
    </w:p>
    <w:p w14:paraId="416CBB7D" w14:textId="4FFAE025" w:rsidR="0051272E" w:rsidRPr="00E40956" w:rsidRDefault="0051272E" w:rsidP="00305B4B">
      <w:pPr>
        <w:pStyle w:val="BodyText"/>
        <w:ind w:right="3"/>
      </w:pPr>
      <w:r w:rsidRPr="00E40956">
        <w:t xml:space="preserve">The TWES program requires collaboration and coordination across multiple stakeholders, including Commonwealth and </w:t>
      </w:r>
      <w:r w:rsidR="00467A51" w:rsidRPr="00E40956">
        <w:t>state</w:t>
      </w:r>
      <w:r w:rsidR="005C6309" w:rsidRPr="00E40956">
        <w:t xml:space="preserve"> </w:t>
      </w:r>
      <w:r w:rsidRPr="00E40956">
        <w:t xml:space="preserve">and </w:t>
      </w:r>
      <w:r w:rsidR="00467A51" w:rsidRPr="00E40956">
        <w:t>territory</w:t>
      </w:r>
      <w:r w:rsidR="005C6309" w:rsidRPr="00E40956">
        <w:t xml:space="preserve"> </w:t>
      </w:r>
      <w:r w:rsidRPr="00E40956">
        <w:t xml:space="preserve">agencies and contracted providers who are funded to promote, deliver and manage TWES in prisons (TWES </w:t>
      </w:r>
      <w:r w:rsidR="00467A51" w:rsidRPr="00E40956">
        <w:t>provider</w:t>
      </w:r>
      <w:r w:rsidRPr="00E40956">
        <w:t xml:space="preserve">s).TWES is currently delivered by 21 TWES </w:t>
      </w:r>
      <w:r w:rsidR="00467A51" w:rsidRPr="00E40956">
        <w:t>provider</w:t>
      </w:r>
      <w:r w:rsidRPr="00E40956">
        <w:t xml:space="preserve">s in 73 prisons across all </w:t>
      </w:r>
      <w:r w:rsidR="00BB4D44" w:rsidRPr="00E40956">
        <w:t xml:space="preserve">states </w:t>
      </w:r>
      <w:r w:rsidRPr="00E40956">
        <w:t xml:space="preserve">and </w:t>
      </w:r>
      <w:r w:rsidR="00BB4D44" w:rsidRPr="00E40956">
        <w:t>territories</w:t>
      </w:r>
      <w:r w:rsidRPr="00E40956">
        <w:t xml:space="preserve">. </w:t>
      </w:r>
    </w:p>
    <w:p w14:paraId="036179C3" w14:textId="21E11536" w:rsidR="0051272E" w:rsidRPr="00E40956" w:rsidRDefault="0051272E" w:rsidP="00305B4B">
      <w:pPr>
        <w:pStyle w:val="BodyText"/>
        <w:ind w:right="3"/>
      </w:pPr>
      <w:r w:rsidRPr="00E40956">
        <w:t xml:space="preserve">The National Indigenous Australians Agency (NIAA) administers the program in remote prisons through Community Development Program </w:t>
      </w:r>
      <w:r w:rsidR="00A65598" w:rsidRPr="00E40956">
        <w:t>(CDP)</w:t>
      </w:r>
      <w:r w:rsidRPr="00E40956">
        <w:t xml:space="preserve"> providers and the Department of Education, Skills and Employment (DESE) administers the program in non-remote prisons through providers contracted to deliver the service. </w:t>
      </w:r>
    </w:p>
    <w:p w14:paraId="4626EDEB" w14:textId="6C60013A" w:rsidR="00325794" w:rsidRPr="00E40956" w:rsidRDefault="00325794" w:rsidP="00305B4B">
      <w:pPr>
        <w:pStyle w:val="BodyText"/>
        <w:ind w:right="3"/>
      </w:pPr>
      <w:r w:rsidRPr="00E40956">
        <w:t>To date the Commonwealth Government has allocated a budget of $27.9m to fund the delivery of TWES. This included an original commitment of $24m in the 2017/18 budget – $17.6m in non-remote locations (managed by DESE), and $6.4m in remote locations (funded through the Indigenous Advancement Strategy, managed by NIAA) – and an additional $3.9m for a 12-month extension (non-remote areas, managed by DESE) in the 2020/21 budget.</w:t>
      </w:r>
    </w:p>
    <w:p w14:paraId="07CA3C1E" w14:textId="77777777" w:rsidR="00401EA9" w:rsidRPr="00072CFD" w:rsidRDefault="00401EA9" w:rsidP="00305B4B">
      <w:pPr>
        <w:pStyle w:val="BodyText"/>
        <w:ind w:right="3"/>
      </w:pPr>
      <w:r w:rsidRPr="00072CFD">
        <w:t xml:space="preserve">TWES is delivered through four key steps: </w:t>
      </w:r>
    </w:p>
    <w:p w14:paraId="74710351" w14:textId="700B669A" w:rsidR="00401EA9" w:rsidRPr="00072CFD" w:rsidRDefault="00401EA9" w:rsidP="00305B4B">
      <w:pPr>
        <w:pStyle w:val="Bulletedlist"/>
        <w:ind w:right="3"/>
      </w:pPr>
      <w:r w:rsidRPr="00072CFD">
        <w:t xml:space="preserve">Conducting the </w:t>
      </w:r>
      <w:r w:rsidRPr="006E47EA">
        <w:rPr>
          <w:b/>
        </w:rPr>
        <w:t xml:space="preserve">Job Seeker Classification Instrument </w:t>
      </w:r>
      <w:r w:rsidRPr="00072CFD">
        <w:t>(JSCI) with the participant, which assesses their level of disadvantage in the labour market and risk of becoming or remaining long-term unemployed</w:t>
      </w:r>
      <w:r w:rsidR="00180EF2">
        <w:t xml:space="preserve">. The JSCI is used to help determine what level of </w:t>
      </w:r>
      <w:r w:rsidR="00516545">
        <w:t>support</w:t>
      </w:r>
      <w:r w:rsidR="00180EF2">
        <w:t xml:space="preserve"> </w:t>
      </w:r>
      <w:r w:rsidR="00516545">
        <w:t xml:space="preserve">a participant should receive from employment services – specifically whether they will be allocated to jobactive </w:t>
      </w:r>
      <w:r w:rsidR="00184808">
        <w:t>Stream A or B</w:t>
      </w:r>
      <w:r w:rsidR="00D035C2">
        <w:t>.</w:t>
      </w:r>
    </w:p>
    <w:p w14:paraId="2E993203" w14:textId="018BECE3" w:rsidR="00401EA9" w:rsidRPr="00072CFD" w:rsidRDefault="00401EA9" w:rsidP="00305B4B">
      <w:pPr>
        <w:pStyle w:val="Bulletedlist"/>
        <w:ind w:right="3"/>
      </w:pPr>
      <w:r w:rsidRPr="00072CFD">
        <w:t xml:space="preserve">Arranging the </w:t>
      </w:r>
      <w:r w:rsidRPr="006E47EA">
        <w:rPr>
          <w:b/>
        </w:rPr>
        <w:t>Employment Services Assessment</w:t>
      </w:r>
      <w:r w:rsidRPr="00072CFD">
        <w:t xml:space="preserve"> (ESAt), a biopsychosocial assessment of participants’ barriers to employment which is conducted by Services Australia</w:t>
      </w:r>
      <w:r w:rsidR="00BE2329">
        <w:t xml:space="preserve">. The ESAt </w:t>
      </w:r>
      <w:r w:rsidR="001E5979">
        <w:t>is also used to determine what level of support a participant should receive from employment services, and is necessary for a participant to reach higher levels of support (jobactive Stream C or Disability Employment Services)</w:t>
      </w:r>
      <w:r w:rsidR="00D035C2">
        <w:t>.</w:t>
      </w:r>
    </w:p>
    <w:p w14:paraId="46207308" w14:textId="1E6AC81E" w:rsidR="00401EA9" w:rsidRPr="00072CFD" w:rsidRDefault="00401EA9" w:rsidP="00305B4B">
      <w:pPr>
        <w:pStyle w:val="Bulletedlist"/>
        <w:ind w:right="3"/>
      </w:pPr>
      <w:r w:rsidRPr="00072CFD">
        <w:t xml:space="preserve">Developing a </w:t>
      </w:r>
      <w:r w:rsidR="00BE1FED" w:rsidRPr="006E47EA">
        <w:rPr>
          <w:b/>
        </w:rPr>
        <w:t>T</w:t>
      </w:r>
      <w:r w:rsidRPr="006E47EA">
        <w:rPr>
          <w:b/>
        </w:rPr>
        <w:t xml:space="preserve">ransition </w:t>
      </w:r>
      <w:r w:rsidR="00BE1FED" w:rsidRPr="006E47EA">
        <w:rPr>
          <w:b/>
        </w:rPr>
        <w:t>P</w:t>
      </w:r>
      <w:r w:rsidRPr="006E47EA">
        <w:rPr>
          <w:b/>
        </w:rPr>
        <w:t>lan</w:t>
      </w:r>
      <w:r w:rsidRPr="00072CFD">
        <w:t xml:space="preserve"> that includes the participant’s education and work experience, aspirations, support needs, medical information and parole requirements</w:t>
      </w:r>
      <w:r>
        <w:t>,</w:t>
      </w:r>
      <w:r w:rsidRPr="00072CFD">
        <w:t xml:space="preserve"> where appropriate</w:t>
      </w:r>
      <w:r w:rsidR="00D035C2">
        <w:t>.</w:t>
      </w:r>
    </w:p>
    <w:p w14:paraId="4AFFB943" w14:textId="755C2545" w:rsidR="0051272E" w:rsidRDefault="00401EA9" w:rsidP="00305B4B">
      <w:pPr>
        <w:pStyle w:val="Bulletedlist"/>
        <w:ind w:right="3"/>
      </w:pPr>
      <w:r w:rsidRPr="00072CFD">
        <w:t xml:space="preserve">Arranging a </w:t>
      </w:r>
      <w:r w:rsidR="00BE1FED" w:rsidRPr="006E47EA">
        <w:rPr>
          <w:b/>
        </w:rPr>
        <w:t>F</w:t>
      </w:r>
      <w:r w:rsidRPr="006E47EA">
        <w:rPr>
          <w:b/>
        </w:rPr>
        <w:t xml:space="preserve">acilitated </w:t>
      </w:r>
      <w:r w:rsidR="00BE1FED" w:rsidRPr="006E47EA">
        <w:rPr>
          <w:b/>
        </w:rPr>
        <w:t>T</w:t>
      </w:r>
      <w:r w:rsidRPr="006E47EA">
        <w:rPr>
          <w:b/>
        </w:rPr>
        <w:t xml:space="preserve">ransfer </w:t>
      </w:r>
      <w:r w:rsidR="00BE1FED" w:rsidRPr="006E47EA">
        <w:rPr>
          <w:b/>
        </w:rPr>
        <w:t>Meeting</w:t>
      </w:r>
      <w:r w:rsidR="00BE1FED">
        <w:t xml:space="preserve"> </w:t>
      </w:r>
      <w:r w:rsidRPr="00072CFD">
        <w:t xml:space="preserve">with the participant and their </w:t>
      </w:r>
      <w:r w:rsidR="00BE1FED">
        <w:t xml:space="preserve">referred </w:t>
      </w:r>
      <w:r w:rsidRPr="00072CFD">
        <w:t>post-release employment services provider, where possible.</w:t>
      </w:r>
      <w:r w:rsidR="00BE1FED">
        <w:t xml:space="preserve"> The participant is referred to a</w:t>
      </w:r>
      <w:r w:rsidR="002E1788">
        <w:t xml:space="preserve"> specific</w:t>
      </w:r>
      <w:r w:rsidR="00BE1FED">
        <w:t xml:space="preserve"> employment </w:t>
      </w:r>
      <w:r w:rsidR="00BE1FED">
        <w:lastRenderedPageBreak/>
        <w:t>services provider by Services Australia</w:t>
      </w:r>
      <w:r w:rsidR="002E1788">
        <w:t xml:space="preserve"> – the TWES </w:t>
      </w:r>
      <w:r w:rsidR="00BC1946">
        <w:t xml:space="preserve">provider </w:t>
      </w:r>
      <w:r w:rsidR="002E1788">
        <w:t>is notified of the referral, and must then arrange the meeting</w:t>
      </w:r>
      <w:r w:rsidR="009D5BBE">
        <w:t xml:space="preserve"> in prison or over the phone. </w:t>
      </w:r>
    </w:p>
    <w:p w14:paraId="561FF56B" w14:textId="7E136297" w:rsidR="008C0C21" w:rsidRDefault="007F7A8B" w:rsidP="00305B4B">
      <w:pPr>
        <w:pStyle w:val="BodyText"/>
        <w:ind w:right="3"/>
      </w:pPr>
      <w:r w:rsidRPr="00830C48">
        <w:t>To be eligible</w:t>
      </w:r>
      <w:r w:rsidR="009D5BBE">
        <w:t xml:space="preserve"> to participate in TWES</w:t>
      </w:r>
      <w:r w:rsidRPr="00830C48">
        <w:t>, prisoners must be:</w:t>
      </w:r>
      <w:r w:rsidR="009D5BBE">
        <w:t xml:space="preserve"> </w:t>
      </w:r>
      <w:r w:rsidRPr="00830C48">
        <w:t>Aboriginal or Torres Strait Islander (self-identified)</w:t>
      </w:r>
      <w:r w:rsidR="009D5BBE">
        <w:t>, a</w:t>
      </w:r>
      <w:r w:rsidRPr="00830C48">
        <w:t>t least 18 years old</w:t>
      </w:r>
      <w:r w:rsidR="009D5BBE">
        <w:t>, s</w:t>
      </w:r>
      <w:r w:rsidRPr="00830C48">
        <w:t xml:space="preserve">entenced and within </w:t>
      </w:r>
      <w:r w:rsidR="00B4015D">
        <w:t>one</w:t>
      </w:r>
      <w:r w:rsidR="00B4015D" w:rsidRPr="00830C48">
        <w:t xml:space="preserve"> </w:t>
      </w:r>
      <w:r w:rsidRPr="00830C48">
        <w:t>to four months of their release from prison</w:t>
      </w:r>
      <w:r w:rsidR="009D5BBE">
        <w:t>, and i</w:t>
      </w:r>
      <w:r w:rsidRPr="00830C48">
        <w:t xml:space="preserve">n an adult prison (no remand centres). </w:t>
      </w:r>
      <w:r w:rsidR="008C0C21">
        <w:t xml:space="preserve">Participation in TWES is voluntary, and participants and can choose to quit the service at any time. </w:t>
      </w:r>
    </w:p>
    <w:p w14:paraId="49CE541E" w14:textId="6B0EAECA" w:rsidR="009B36F5" w:rsidRDefault="002449CE" w:rsidP="00305B4B">
      <w:pPr>
        <w:pStyle w:val="BodyText"/>
        <w:ind w:right="3"/>
      </w:pPr>
      <w:r>
        <w:t xml:space="preserve">TWES </w:t>
      </w:r>
      <w:r w:rsidR="00BC1946">
        <w:t xml:space="preserve">providers </w:t>
      </w:r>
      <w:r>
        <w:t>are also responsible for promoting the service within prisons to sign-up eligible participants</w:t>
      </w:r>
      <w:r w:rsidR="00E710B5">
        <w:t>, coordinating with prisons and other service providers to coordinate service delivery, delivering all service activities with cultural competence and awareness, and managing data entry and administrative systems</w:t>
      </w:r>
      <w:r w:rsidR="00307D52">
        <w:t>.</w:t>
      </w:r>
    </w:p>
    <w:p w14:paraId="7908350D" w14:textId="77777777" w:rsidR="009B36F5" w:rsidRDefault="009B36F5" w:rsidP="00305B4B">
      <w:pPr>
        <w:widowControl/>
        <w:autoSpaceDE/>
        <w:autoSpaceDN/>
        <w:adjustRightInd/>
        <w:ind w:right="3"/>
        <w:rPr>
          <w:rFonts w:ascii="Arial" w:hAnsi="Arial" w:cs="Arial"/>
          <w:sz w:val="20"/>
          <w:szCs w:val="20"/>
        </w:rPr>
      </w:pPr>
      <w:r>
        <w:br w:type="page"/>
      </w:r>
    </w:p>
    <w:p w14:paraId="5AF3645C" w14:textId="0C259AAC" w:rsidR="00D36697" w:rsidRPr="00FF3D15" w:rsidRDefault="00D36697" w:rsidP="000C3506">
      <w:pPr>
        <w:pStyle w:val="Heading1"/>
        <w:numPr>
          <w:ilvl w:val="0"/>
          <w:numId w:val="36"/>
        </w:numPr>
        <w:ind w:left="709" w:right="3" w:hanging="709"/>
      </w:pPr>
      <w:bookmarkStart w:id="34" w:name="_Toc72996577"/>
      <w:bookmarkStart w:id="35" w:name="_Ref75197907"/>
      <w:bookmarkStart w:id="36" w:name="_Toc75959318"/>
      <w:bookmarkStart w:id="37" w:name="_Ref72872074"/>
      <w:bookmarkStart w:id="38" w:name="_Toc74911582"/>
      <w:bookmarkStart w:id="39" w:name="_Toc74911614"/>
      <w:r w:rsidRPr="00FF3D15">
        <w:lastRenderedPageBreak/>
        <w:t>Evaluation</w:t>
      </w:r>
      <w:r w:rsidRPr="00FE682C">
        <w:t xml:space="preserve"> </w:t>
      </w:r>
      <w:r>
        <w:t>M</w:t>
      </w:r>
      <w:r w:rsidRPr="00FF3D15">
        <w:t>ethodology</w:t>
      </w:r>
      <w:bookmarkEnd w:id="34"/>
      <w:bookmarkEnd w:id="35"/>
      <w:bookmarkEnd w:id="36"/>
    </w:p>
    <w:p w14:paraId="465E057F" w14:textId="775C9B2C" w:rsidR="00D36697" w:rsidRDefault="00D36697" w:rsidP="00305B4B">
      <w:pPr>
        <w:pStyle w:val="BodyText"/>
        <w:ind w:right="3"/>
      </w:pPr>
      <w:r w:rsidRPr="00ED1A96">
        <w:t xml:space="preserve">The TWES Evaluation Strategy was </w:t>
      </w:r>
      <w:r>
        <w:t xml:space="preserve">originally </w:t>
      </w:r>
      <w:r w:rsidRPr="00ED1A96">
        <w:t xml:space="preserve">developed in 2019 and </w:t>
      </w:r>
      <w:r>
        <w:t>provided a guide for the evaluation including key evaluation questions and sub-questions (</w:t>
      </w:r>
      <w:r w:rsidR="00801998">
        <w:t>s</w:t>
      </w:r>
      <w:r w:rsidR="00E22E34">
        <w:t xml:space="preserve">ee </w:t>
      </w:r>
      <w:r w:rsidRPr="00CB7320">
        <w:rPr>
          <w:b/>
          <w:bCs/>
        </w:rPr>
        <w:t xml:space="preserve">Appendix </w:t>
      </w:r>
      <w:r w:rsidR="000A21D1">
        <w:rPr>
          <w:b/>
          <w:bCs/>
        </w:rPr>
        <w:t>1</w:t>
      </w:r>
      <w:r w:rsidR="00801998">
        <w:t xml:space="preserve"> for the full list of sub-questions</w:t>
      </w:r>
      <w:r w:rsidRPr="00801998">
        <w:t>)</w:t>
      </w:r>
      <w:r>
        <w:t>.</w:t>
      </w:r>
    </w:p>
    <w:p w14:paraId="2005BE71" w14:textId="4CFFB2B2" w:rsidR="00D36697" w:rsidRDefault="00D36697" w:rsidP="00305B4B">
      <w:pPr>
        <w:pStyle w:val="BodyText"/>
        <w:ind w:right="3"/>
      </w:pPr>
      <w:r w:rsidRPr="007D4C63">
        <w:t>The</w:t>
      </w:r>
      <w:r w:rsidRPr="00FF3D15">
        <w:rPr>
          <w:spacing w:val="-7"/>
        </w:rPr>
        <w:t xml:space="preserve"> </w:t>
      </w:r>
      <w:r>
        <w:rPr>
          <w:spacing w:val="-7"/>
        </w:rPr>
        <w:t xml:space="preserve">TWES </w:t>
      </w:r>
      <w:r w:rsidRPr="007D4C63">
        <w:t>evaluation</w:t>
      </w:r>
      <w:r w:rsidRPr="00FF3D15">
        <w:rPr>
          <w:spacing w:val="-7"/>
        </w:rPr>
        <w:t xml:space="preserve"> </w:t>
      </w:r>
      <w:r w:rsidRPr="007D4C63">
        <w:t>aim</w:t>
      </w:r>
      <w:r>
        <w:t>ed</w:t>
      </w:r>
      <w:r w:rsidRPr="00FF3D15">
        <w:rPr>
          <w:spacing w:val="-6"/>
        </w:rPr>
        <w:t xml:space="preserve"> </w:t>
      </w:r>
      <w:r w:rsidRPr="007D4C63">
        <w:t>to</w:t>
      </w:r>
      <w:r w:rsidRPr="00FF3D15">
        <w:rPr>
          <w:spacing w:val="-7"/>
        </w:rPr>
        <w:t xml:space="preserve"> </w:t>
      </w:r>
      <w:r w:rsidRPr="007D4C63">
        <w:t>achieve</w:t>
      </w:r>
      <w:r w:rsidRPr="00FF3D15">
        <w:rPr>
          <w:spacing w:val="-6"/>
        </w:rPr>
        <w:t xml:space="preserve"> </w:t>
      </w:r>
      <w:r w:rsidRPr="007D4C63">
        <w:t>three</w:t>
      </w:r>
      <w:r w:rsidRPr="00FF3D15">
        <w:rPr>
          <w:spacing w:val="-5"/>
        </w:rPr>
        <w:t xml:space="preserve"> </w:t>
      </w:r>
      <w:r w:rsidRPr="007D4C63">
        <w:t>objectives</w:t>
      </w:r>
      <w:r w:rsidR="00F1001C">
        <w:t>, by answering a set of evaluation questions under each objective</w:t>
      </w:r>
      <w:r w:rsidR="00640864">
        <w:t xml:space="preserve"> (</w:t>
      </w:r>
      <w:r w:rsidR="00640864" w:rsidRPr="00771137">
        <w:rPr>
          <w:b/>
          <w:bCs/>
        </w:rPr>
        <w:fldChar w:fldCharType="begin"/>
      </w:r>
      <w:r w:rsidR="00640864" w:rsidRPr="00771137">
        <w:rPr>
          <w:b/>
          <w:bCs/>
        </w:rPr>
        <w:instrText xml:space="preserve"> REF _Ref75010394 \h </w:instrText>
      </w:r>
      <w:r w:rsidR="00771137">
        <w:rPr>
          <w:b/>
          <w:bCs/>
        </w:rPr>
        <w:instrText xml:space="preserve"> \* MERGEFORMAT </w:instrText>
      </w:r>
      <w:r w:rsidR="00640864" w:rsidRPr="00771137">
        <w:rPr>
          <w:b/>
          <w:bCs/>
        </w:rPr>
      </w:r>
      <w:r w:rsidR="00640864" w:rsidRPr="00771137">
        <w:rPr>
          <w:b/>
          <w:bCs/>
        </w:rPr>
        <w:fldChar w:fldCharType="separate"/>
      </w:r>
      <w:r w:rsidR="00AE0EDD" w:rsidRPr="00AE0EDD">
        <w:rPr>
          <w:b/>
          <w:bCs/>
        </w:rPr>
        <w:t xml:space="preserve">Table </w:t>
      </w:r>
      <w:r w:rsidR="00AE0EDD" w:rsidRPr="00AE0EDD">
        <w:rPr>
          <w:b/>
          <w:bCs/>
          <w:noProof/>
        </w:rPr>
        <w:t>1</w:t>
      </w:r>
      <w:r w:rsidR="00640864" w:rsidRPr="00771137">
        <w:rPr>
          <w:b/>
          <w:bCs/>
        </w:rPr>
        <w:fldChar w:fldCharType="end"/>
      </w:r>
      <w:r w:rsidR="00640864">
        <w:t>)</w:t>
      </w:r>
      <w:r w:rsidR="00F1001C">
        <w:t>.</w:t>
      </w:r>
    </w:p>
    <w:p w14:paraId="1F97528C" w14:textId="28758281" w:rsidR="009B3B94" w:rsidRDefault="009B3B94" w:rsidP="00D94610">
      <w:pPr>
        <w:pStyle w:val="Caption"/>
      </w:pPr>
      <w:bookmarkStart w:id="40" w:name="_Ref75010394"/>
      <w:r>
        <w:t xml:space="preserve">Table </w:t>
      </w:r>
      <w:r>
        <w:fldChar w:fldCharType="begin"/>
      </w:r>
      <w:r>
        <w:instrText xml:space="preserve"> SEQ Table \* ARABIC </w:instrText>
      </w:r>
      <w:r>
        <w:fldChar w:fldCharType="separate"/>
      </w:r>
      <w:r w:rsidR="00AE0EDD">
        <w:rPr>
          <w:noProof/>
        </w:rPr>
        <w:t>1</w:t>
      </w:r>
      <w:r>
        <w:fldChar w:fldCharType="end"/>
      </w:r>
      <w:bookmarkEnd w:id="40"/>
      <w:r>
        <w:t>: Evaluation objectives and questions</w:t>
      </w:r>
    </w:p>
    <w:tbl>
      <w:tblPr>
        <w:tblW w:w="9881" w:type="dxa"/>
        <w:tblInd w:w="32" w:type="dxa"/>
        <w:tblLayout w:type="fixed"/>
        <w:tblCellMar>
          <w:left w:w="0" w:type="dxa"/>
          <w:right w:w="0" w:type="dxa"/>
        </w:tblCellMar>
        <w:tblLook w:val="0000" w:firstRow="0" w:lastRow="0" w:firstColumn="0" w:lastColumn="0" w:noHBand="0" w:noVBand="0"/>
        <w:tblCaption w:val="Evaluation objectives and questions"/>
        <w:tblDescription w:val="A table of three evaluation objectives and their related evaluation questions to show the purpose of the evaluation as understanding the design and implementation of TWES, its impact and how it can be improved. "/>
      </w:tblPr>
      <w:tblGrid>
        <w:gridCol w:w="3502"/>
        <w:gridCol w:w="6379"/>
      </w:tblGrid>
      <w:tr w:rsidR="00BF5F4C" w:rsidRPr="008B6EDA" w14:paraId="37E744A0" w14:textId="77777777" w:rsidTr="00C83671">
        <w:trPr>
          <w:cantSplit/>
          <w:trHeight w:val="113"/>
        </w:trPr>
        <w:tc>
          <w:tcPr>
            <w:tcW w:w="3502" w:type="dxa"/>
            <w:tcBorders>
              <w:top w:val="single" w:sz="14" w:space="0" w:color="D9D9D9"/>
              <w:left w:val="single" w:sz="8" w:space="0" w:color="D9D9D9"/>
              <w:bottom w:val="single" w:sz="8" w:space="0" w:color="D9D9D9"/>
              <w:right w:val="single" w:sz="8" w:space="0" w:color="D9D9D9"/>
            </w:tcBorders>
            <w:shd w:val="clear" w:color="auto" w:fill="002C61"/>
            <w:tcMar>
              <w:top w:w="85" w:type="dxa"/>
              <w:left w:w="85" w:type="dxa"/>
              <w:bottom w:w="85" w:type="dxa"/>
              <w:right w:w="85" w:type="dxa"/>
            </w:tcMar>
          </w:tcPr>
          <w:p w14:paraId="144BF3AC" w14:textId="2315DC06" w:rsidR="00BF5F4C" w:rsidRPr="008B6EDA" w:rsidRDefault="008B6EDA" w:rsidP="00C83671">
            <w:pPr>
              <w:pStyle w:val="TableHeading"/>
            </w:pPr>
            <w:r w:rsidRPr="008B6EDA">
              <w:t>Evaluation objectives</w:t>
            </w:r>
          </w:p>
        </w:tc>
        <w:tc>
          <w:tcPr>
            <w:tcW w:w="6379" w:type="dxa"/>
            <w:tcBorders>
              <w:top w:val="single" w:sz="14" w:space="0" w:color="D9D9D9"/>
              <w:left w:val="single" w:sz="8" w:space="0" w:color="D9D9D9"/>
              <w:bottom w:val="single" w:sz="8" w:space="0" w:color="D9D9D9"/>
              <w:right w:val="single" w:sz="8" w:space="0" w:color="D9D9D9"/>
            </w:tcBorders>
            <w:shd w:val="clear" w:color="auto" w:fill="002C61"/>
            <w:tcMar>
              <w:top w:w="85" w:type="dxa"/>
              <w:left w:w="85" w:type="dxa"/>
              <w:bottom w:w="85" w:type="dxa"/>
              <w:right w:w="85" w:type="dxa"/>
            </w:tcMar>
          </w:tcPr>
          <w:p w14:paraId="40CFB6B2" w14:textId="771EFF8F" w:rsidR="00BF5F4C" w:rsidRPr="0073639F" w:rsidRDefault="008B6EDA" w:rsidP="00C83671">
            <w:pPr>
              <w:pStyle w:val="TableHeading"/>
            </w:pPr>
            <w:r w:rsidRPr="0073639F">
              <w:t>Evaluation questions</w:t>
            </w:r>
          </w:p>
        </w:tc>
      </w:tr>
      <w:tr w:rsidR="00BF5F4C" w:rsidRPr="008B6EDA" w14:paraId="5151B4D5" w14:textId="77777777" w:rsidTr="00D94610">
        <w:trPr>
          <w:cantSplit/>
          <w:trHeight w:val="2831"/>
        </w:trPr>
        <w:tc>
          <w:tcPr>
            <w:tcW w:w="3502" w:type="dxa"/>
            <w:tcBorders>
              <w:top w:val="single" w:sz="8" w:space="0" w:color="D9D9D9"/>
              <w:left w:val="single" w:sz="8" w:space="0" w:color="D9D9D9"/>
              <w:bottom w:val="single" w:sz="8" w:space="0" w:color="D9D9D9"/>
              <w:right w:val="single" w:sz="8" w:space="0" w:color="D9D9D9"/>
            </w:tcBorders>
            <w:shd w:val="clear" w:color="auto" w:fill="F2F0E2"/>
            <w:tcMar>
              <w:top w:w="85" w:type="dxa"/>
              <w:left w:w="85" w:type="dxa"/>
              <w:bottom w:w="85" w:type="dxa"/>
              <w:right w:w="85" w:type="dxa"/>
            </w:tcMar>
          </w:tcPr>
          <w:p w14:paraId="3E408FFB" w14:textId="42399AD3" w:rsidR="00BF5F4C" w:rsidRPr="001F370C" w:rsidRDefault="00BF5F4C" w:rsidP="007F09E7">
            <w:pPr>
              <w:pStyle w:val="TableParagraph"/>
            </w:pPr>
            <w:r w:rsidRPr="006D5E8F">
              <w:t>Objective 1: Understand the design and implementation of TWES</w:t>
            </w:r>
            <w:r w:rsidRPr="001F370C">
              <w:br/>
              <w:t>Understand what is working, what is not working and why</w:t>
            </w:r>
          </w:p>
        </w:tc>
        <w:tc>
          <w:tcPr>
            <w:tcW w:w="6379" w:type="dxa"/>
            <w:tcBorders>
              <w:top w:val="single" w:sz="8" w:space="0" w:color="D9D9D9"/>
              <w:left w:val="single" w:sz="8" w:space="0" w:color="D9D9D9"/>
              <w:bottom w:val="single" w:sz="8" w:space="0" w:color="D9D9D9"/>
              <w:right w:val="single" w:sz="8" w:space="0" w:color="D9D9D9"/>
            </w:tcBorders>
            <w:shd w:val="clear" w:color="auto" w:fill="F2F0E2"/>
            <w:tcMar>
              <w:top w:w="85" w:type="dxa"/>
              <w:left w:w="85" w:type="dxa"/>
              <w:bottom w:w="85" w:type="dxa"/>
              <w:right w:w="85" w:type="dxa"/>
            </w:tcMar>
          </w:tcPr>
          <w:p w14:paraId="1692D658" w14:textId="77777777" w:rsidR="002B6A38" w:rsidRDefault="00BF5F4C" w:rsidP="000C3506">
            <w:pPr>
              <w:pStyle w:val="BodyText"/>
              <w:numPr>
                <w:ilvl w:val="1"/>
                <w:numId w:val="18"/>
              </w:numPr>
              <w:ind w:right="3"/>
            </w:pPr>
            <w:r w:rsidRPr="008B6EDA">
              <w:t xml:space="preserve">How does the design of TWES address relevant findings in the </w:t>
            </w:r>
            <w:r w:rsidRPr="000D31C9">
              <w:rPr>
                <w:i/>
              </w:rPr>
              <w:t>Prison to Work</w:t>
            </w:r>
            <w:r w:rsidRPr="008B6EDA">
              <w:t xml:space="preserve"> report?</w:t>
            </w:r>
          </w:p>
          <w:p w14:paraId="7547BE9B" w14:textId="77777777" w:rsidR="002B6A38" w:rsidRDefault="00BF5F4C" w:rsidP="000C3506">
            <w:pPr>
              <w:pStyle w:val="BodyText"/>
              <w:numPr>
                <w:ilvl w:val="1"/>
                <w:numId w:val="18"/>
              </w:numPr>
              <w:ind w:right="3"/>
            </w:pPr>
            <w:r w:rsidRPr="008B6EDA">
              <w:t>Does TWES address the IAS core values?</w:t>
            </w:r>
          </w:p>
          <w:p w14:paraId="08F88C5B" w14:textId="77777777" w:rsidR="002B6A38" w:rsidRDefault="00BF5F4C" w:rsidP="000C3506">
            <w:pPr>
              <w:pStyle w:val="BodyText"/>
              <w:numPr>
                <w:ilvl w:val="1"/>
                <w:numId w:val="18"/>
              </w:numPr>
              <w:ind w:right="3"/>
            </w:pPr>
            <w:r w:rsidRPr="008B6EDA">
              <w:t>To what extent has implementation of TWES been successful in achieving its intended program outcomes - "timely, coordinated and quality engagement with Aboriginal and Torres Strait Islander Prisoners from Employment and Welfare Services"?</w:t>
            </w:r>
          </w:p>
          <w:p w14:paraId="4DE07290" w14:textId="4916C10B" w:rsidR="00BF5F4C" w:rsidRPr="008B6EDA" w:rsidRDefault="00BF5F4C" w:rsidP="000C3506">
            <w:pPr>
              <w:pStyle w:val="BodyText"/>
              <w:numPr>
                <w:ilvl w:val="1"/>
                <w:numId w:val="18"/>
              </w:numPr>
              <w:ind w:right="3"/>
            </w:pPr>
            <w:r w:rsidRPr="008B6EDA">
              <w:t>What has been learned through implementation?</w:t>
            </w:r>
          </w:p>
        </w:tc>
      </w:tr>
      <w:tr w:rsidR="00BF5F4C" w:rsidRPr="008B6EDA" w14:paraId="3E5885E3" w14:textId="77777777" w:rsidTr="00D94610">
        <w:trPr>
          <w:cantSplit/>
          <w:trHeight w:val="1572"/>
        </w:trPr>
        <w:tc>
          <w:tcPr>
            <w:tcW w:w="3502" w:type="dxa"/>
            <w:tcBorders>
              <w:top w:val="single" w:sz="8" w:space="0" w:color="D9D9D9"/>
              <w:left w:val="single" w:sz="8" w:space="0" w:color="D9D9D9"/>
              <w:bottom w:val="single" w:sz="8" w:space="0" w:color="D9D9D9"/>
              <w:right w:val="single" w:sz="8" w:space="0" w:color="D9D9D9"/>
            </w:tcBorders>
            <w:shd w:val="clear" w:color="auto" w:fill="FFFFFF" w:themeFill="background1"/>
            <w:tcMar>
              <w:top w:w="85" w:type="dxa"/>
              <w:left w:w="85" w:type="dxa"/>
              <w:bottom w:w="85" w:type="dxa"/>
              <w:right w:w="85" w:type="dxa"/>
            </w:tcMar>
          </w:tcPr>
          <w:p w14:paraId="46932FD0" w14:textId="20BD7965" w:rsidR="00BF5F4C" w:rsidRPr="001F370C" w:rsidRDefault="00BF5F4C" w:rsidP="007F09E7">
            <w:pPr>
              <w:pStyle w:val="TableParagraph"/>
            </w:pPr>
            <w:r w:rsidRPr="006D5E8F">
              <w:rPr>
                <w:b/>
                <w:bCs/>
              </w:rPr>
              <w:t>Objective 2: Understand the impact of TWES</w:t>
            </w:r>
            <w:r w:rsidR="0073639F">
              <w:t xml:space="preserve"> </w:t>
            </w:r>
            <w:r w:rsidR="006D5E8F">
              <w:br/>
            </w:r>
            <w:r w:rsidRPr="001F370C">
              <w:t>Understand the outcomes (both intended and unintended) that TWES has created and the extent to which the underlying causal assumptions in the program logic are correct</w:t>
            </w:r>
          </w:p>
        </w:tc>
        <w:tc>
          <w:tcPr>
            <w:tcW w:w="6379" w:type="dxa"/>
            <w:tcBorders>
              <w:top w:val="single" w:sz="8" w:space="0" w:color="D9D9D9"/>
              <w:left w:val="single" w:sz="8" w:space="0" w:color="D9D9D9"/>
              <w:bottom w:val="single" w:sz="8" w:space="0" w:color="D9D9D9"/>
              <w:right w:val="single" w:sz="8" w:space="0" w:color="D9D9D9"/>
            </w:tcBorders>
            <w:shd w:val="clear" w:color="auto" w:fill="FFFFFF" w:themeFill="background1"/>
            <w:tcMar>
              <w:top w:w="85" w:type="dxa"/>
              <w:left w:w="85" w:type="dxa"/>
              <w:bottom w:w="85" w:type="dxa"/>
              <w:right w:w="85" w:type="dxa"/>
            </w:tcMar>
          </w:tcPr>
          <w:p w14:paraId="0057A6B1" w14:textId="77FA340B" w:rsidR="00BF5F4C" w:rsidRDefault="00BF5F4C" w:rsidP="000C3506">
            <w:pPr>
              <w:pStyle w:val="BodyText"/>
              <w:numPr>
                <w:ilvl w:val="1"/>
                <w:numId w:val="19"/>
              </w:numPr>
              <w:ind w:right="3"/>
            </w:pPr>
            <w:r w:rsidRPr="008B6EDA">
              <w:t xml:space="preserve">To what extent are the activities achieving their intended outcomes in the program logic, in the short, medium and </w:t>
            </w:r>
            <w:r w:rsidR="0073639F">
              <w:br/>
            </w:r>
            <w:r w:rsidRPr="008B6EDA">
              <w:t>long</w:t>
            </w:r>
            <w:r w:rsidR="003D4EF3">
              <w:t>-</w:t>
            </w:r>
            <w:r w:rsidRPr="008B6EDA">
              <w:t xml:space="preserve"> term?</w:t>
            </w:r>
          </w:p>
          <w:p w14:paraId="179E0FA3" w14:textId="4A5A7F82" w:rsidR="00BF5F4C" w:rsidRPr="008B6EDA" w:rsidRDefault="00BF5F4C" w:rsidP="000C3506">
            <w:pPr>
              <w:pStyle w:val="BodyText"/>
              <w:numPr>
                <w:ilvl w:val="1"/>
                <w:numId w:val="19"/>
              </w:numPr>
              <w:ind w:right="3"/>
            </w:pPr>
            <w:r w:rsidRPr="008B6EDA">
              <w:t>Why have the outcomes been achieved? Or why not?</w:t>
            </w:r>
          </w:p>
        </w:tc>
      </w:tr>
      <w:tr w:rsidR="00BF5F4C" w:rsidRPr="008B6EDA" w14:paraId="7F68FEED" w14:textId="77777777" w:rsidTr="00D94610">
        <w:trPr>
          <w:cantSplit/>
          <w:trHeight w:val="284"/>
        </w:trPr>
        <w:tc>
          <w:tcPr>
            <w:tcW w:w="3502" w:type="dxa"/>
            <w:tcBorders>
              <w:top w:val="single" w:sz="8" w:space="0" w:color="D9D9D9"/>
              <w:left w:val="single" w:sz="8" w:space="0" w:color="D9D9D9"/>
              <w:bottom w:val="single" w:sz="8" w:space="0" w:color="D9D9D9"/>
              <w:right w:val="single" w:sz="8" w:space="0" w:color="D9D9D9"/>
            </w:tcBorders>
            <w:shd w:val="clear" w:color="auto" w:fill="F2F0E2"/>
            <w:tcMar>
              <w:top w:w="85" w:type="dxa"/>
              <w:left w:w="85" w:type="dxa"/>
              <w:bottom w:w="85" w:type="dxa"/>
              <w:right w:w="85" w:type="dxa"/>
            </w:tcMar>
          </w:tcPr>
          <w:p w14:paraId="65153D9D" w14:textId="588CEDA7" w:rsidR="00BF5F4C" w:rsidRPr="001F370C" w:rsidRDefault="00BF5F4C" w:rsidP="007F09E7">
            <w:pPr>
              <w:pStyle w:val="TableParagraph"/>
            </w:pPr>
            <w:r w:rsidRPr="006D5E8F">
              <w:rPr>
                <w:b/>
                <w:bCs/>
              </w:rPr>
              <w:t>Objective 3: Understand how to improve TWES</w:t>
            </w:r>
            <w:r w:rsidRPr="001F370C">
              <w:t xml:space="preserve"> </w:t>
            </w:r>
            <w:r w:rsidR="008B6EDA" w:rsidRPr="001F370C">
              <w:br/>
            </w:r>
            <w:r w:rsidRPr="001F370C">
              <w:t>Understand how TWES could be improved to increase impact and what the implications are for future program design and implementation.</w:t>
            </w:r>
          </w:p>
        </w:tc>
        <w:tc>
          <w:tcPr>
            <w:tcW w:w="6379" w:type="dxa"/>
            <w:tcBorders>
              <w:top w:val="single" w:sz="8" w:space="0" w:color="D9D9D9"/>
              <w:left w:val="single" w:sz="8" w:space="0" w:color="D9D9D9"/>
              <w:bottom w:val="single" w:sz="8" w:space="0" w:color="D9D9D9"/>
              <w:right w:val="single" w:sz="8" w:space="0" w:color="D9D9D9"/>
            </w:tcBorders>
            <w:shd w:val="clear" w:color="auto" w:fill="F2F0E2"/>
            <w:tcMar>
              <w:top w:w="85" w:type="dxa"/>
              <w:left w:w="85" w:type="dxa"/>
              <w:bottom w:w="85" w:type="dxa"/>
              <w:right w:w="85" w:type="dxa"/>
            </w:tcMar>
          </w:tcPr>
          <w:p w14:paraId="1417C0E0" w14:textId="02214DD5" w:rsidR="00BF5F4C" w:rsidRDefault="00BF5F4C" w:rsidP="000C3506">
            <w:pPr>
              <w:pStyle w:val="BodyText"/>
              <w:numPr>
                <w:ilvl w:val="1"/>
                <w:numId w:val="20"/>
              </w:numPr>
              <w:ind w:right="3"/>
            </w:pPr>
            <w:r w:rsidRPr="008B6EDA">
              <w:t>What are the preconditions for TWES to be successful?</w:t>
            </w:r>
          </w:p>
          <w:p w14:paraId="7AE99C4E" w14:textId="0C701BDE" w:rsidR="00D6392C" w:rsidRPr="008B6EDA" w:rsidRDefault="00BF5F4C" w:rsidP="000C3506">
            <w:pPr>
              <w:pStyle w:val="BodyText"/>
              <w:numPr>
                <w:ilvl w:val="1"/>
                <w:numId w:val="20"/>
              </w:numPr>
              <w:ind w:right="3"/>
            </w:pPr>
            <w:r w:rsidRPr="008B6EDA">
              <w:t>What changes could be made to TWES to increase impact?</w:t>
            </w:r>
          </w:p>
        </w:tc>
      </w:tr>
    </w:tbl>
    <w:p w14:paraId="08B44567" w14:textId="77777777" w:rsidR="001F323B" w:rsidRDefault="001F323B" w:rsidP="00305B4B">
      <w:pPr>
        <w:pStyle w:val="BodyText"/>
        <w:ind w:right="3"/>
      </w:pPr>
    </w:p>
    <w:p w14:paraId="525EBA42" w14:textId="3A271743" w:rsidR="00D36697" w:rsidRDefault="00D36697" w:rsidP="00305B4B">
      <w:pPr>
        <w:pStyle w:val="BodyText"/>
        <w:ind w:right="3"/>
      </w:pPr>
      <w:r>
        <w:t xml:space="preserve">The TWES evaluation methodology was informed by the principles of the Indigenous Advancement Strategy (IAS) Evaluation Framework Principles. As such, the choice of methodology was informed by: </w:t>
      </w:r>
    </w:p>
    <w:p w14:paraId="171C5224" w14:textId="0BF321E8" w:rsidR="00D36697" w:rsidRPr="006D5E8F" w:rsidRDefault="00D36697" w:rsidP="000C3506">
      <w:pPr>
        <w:pStyle w:val="Numberedlist"/>
        <w:numPr>
          <w:ilvl w:val="0"/>
          <w:numId w:val="37"/>
        </w:numPr>
        <w:ind w:left="709"/>
      </w:pPr>
      <w:r w:rsidRPr="006D5E8F">
        <w:t xml:space="preserve">Capturing the perspectives of Aboriginal and Torres Strait Islander stakeholders. The evaluation </w:t>
      </w:r>
      <w:r w:rsidR="003D4EF3" w:rsidRPr="006D5E8F">
        <w:t>sought</w:t>
      </w:r>
      <w:r w:rsidRPr="006D5E8F">
        <w:t xml:space="preserve"> to include the perspectives of Aboriginal and Torres Strait Islander people. </w:t>
      </w:r>
    </w:p>
    <w:p w14:paraId="3487F297" w14:textId="06571388" w:rsidR="00D36697" w:rsidRPr="006D5E8F" w:rsidRDefault="00D36697" w:rsidP="007F09E7">
      <w:pPr>
        <w:pStyle w:val="Numberedlist"/>
      </w:pPr>
      <w:r w:rsidRPr="006D5E8F">
        <w:t xml:space="preserve">Adopting a pragmatic approach. The evaluation </w:t>
      </w:r>
      <w:r w:rsidR="00C8694D" w:rsidRPr="006D5E8F">
        <w:t>sought</w:t>
      </w:r>
      <w:r w:rsidRPr="006D5E8F">
        <w:t xml:space="preserve"> to balance rigour in the measurement and attribution of outcomes with the efficient use of time and resources.</w:t>
      </w:r>
    </w:p>
    <w:p w14:paraId="5E725795" w14:textId="738D3E59" w:rsidR="00D36697" w:rsidRPr="006D5E8F" w:rsidRDefault="00D36697" w:rsidP="007F09E7">
      <w:pPr>
        <w:pStyle w:val="Numberedlist"/>
      </w:pPr>
      <w:r w:rsidRPr="006D5E8F">
        <w:lastRenderedPageBreak/>
        <w:t xml:space="preserve">Supporting improvement and decision-making. The evaluation </w:t>
      </w:r>
      <w:r w:rsidR="00C8694D" w:rsidRPr="006D5E8F">
        <w:t xml:space="preserve">aimed </w:t>
      </w:r>
      <w:r w:rsidRPr="006D5E8F">
        <w:t>to generate insights and lessons</w:t>
      </w:r>
      <w:r w:rsidR="00C8694D" w:rsidRPr="006D5E8F">
        <w:t xml:space="preserve"> </w:t>
      </w:r>
      <w:r w:rsidRPr="006D5E8F">
        <w:t>learned to help inform how TWES could be improved. This include</w:t>
      </w:r>
      <w:r w:rsidR="00C8694D" w:rsidRPr="006D5E8F">
        <w:t>d</w:t>
      </w:r>
      <w:r w:rsidRPr="006D5E8F">
        <w:t xml:space="preserve"> understanding set up and implementation, the factors that have influenced success, and the potential for future improvements. </w:t>
      </w:r>
    </w:p>
    <w:p w14:paraId="41E6E74D" w14:textId="254E5016" w:rsidR="00AD0F73" w:rsidRDefault="00AD0F73" w:rsidP="00305B4B">
      <w:pPr>
        <w:pStyle w:val="Heading3"/>
        <w:ind w:right="3"/>
      </w:pPr>
      <w:r>
        <w:t>Methodology</w:t>
      </w:r>
    </w:p>
    <w:p w14:paraId="2F2119C3" w14:textId="744A9555" w:rsidR="00D81138" w:rsidRDefault="00D36697" w:rsidP="00305B4B">
      <w:pPr>
        <w:pStyle w:val="BodyText"/>
        <w:ind w:right="3"/>
      </w:pPr>
      <w:r>
        <w:t xml:space="preserve">The evaluation used </w:t>
      </w:r>
      <w:r w:rsidRPr="00F03BD2">
        <w:t>a theory-based, mixed-methods evaluation methodology</w:t>
      </w:r>
      <w:r>
        <w:t xml:space="preserve">. </w:t>
      </w:r>
      <w:r w:rsidR="00DB7A11">
        <w:t xml:space="preserve">A program logic was developed for TWES to describe the key components and activities of the service, the outcomes created for TWES participants and employment service providers, and the assumptions underpinning the service and outcomes. </w:t>
      </w:r>
      <w:r w:rsidR="004446B2">
        <w:t xml:space="preserve">The program logic </w:t>
      </w:r>
      <w:r w:rsidR="00D81138">
        <w:rPr>
          <w:spacing w:val="-1"/>
        </w:rPr>
        <w:t xml:space="preserve">was developed </w:t>
      </w:r>
      <w:r w:rsidR="004446B2">
        <w:rPr>
          <w:spacing w:val="-1"/>
        </w:rPr>
        <w:t xml:space="preserve">as part of the </w:t>
      </w:r>
      <w:r w:rsidR="00D81138">
        <w:rPr>
          <w:spacing w:val="-1"/>
        </w:rPr>
        <w:t xml:space="preserve">TWES Evaluation Strategy in consultation with NIAA, DESE and </w:t>
      </w:r>
      <w:r w:rsidR="00B63B84">
        <w:rPr>
          <w:spacing w:val="-1"/>
        </w:rPr>
        <w:t>state</w:t>
      </w:r>
      <w:r w:rsidR="00D81138">
        <w:rPr>
          <w:spacing w:val="-1"/>
        </w:rPr>
        <w:t>/</w:t>
      </w:r>
      <w:r w:rsidR="00B63B84">
        <w:rPr>
          <w:spacing w:val="-1"/>
        </w:rPr>
        <w:t xml:space="preserve">territory </w:t>
      </w:r>
      <w:r w:rsidR="00467A51">
        <w:rPr>
          <w:spacing w:val="-1"/>
        </w:rPr>
        <w:t>corrections</w:t>
      </w:r>
      <w:r w:rsidR="00D81138">
        <w:rPr>
          <w:spacing w:val="-1"/>
        </w:rPr>
        <w:t xml:space="preserve"> </w:t>
      </w:r>
      <w:r w:rsidR="00467A51">
        <w:rPr>
          <w:spacing w:val="-1"/>
        </w:rPr>
        <w:t>department</w:t>
      </w:r>
      <w:r w:rsidR="00D81138">
        <w:rPr>
          <w:spacing w:val="-1"/>
        </w:rPr>
        <w:t xml:space="preserve">s. </w:t>
      </w:r>
      <w:r w:rsidR="004446B2">
        <w:rPr>
          <w:spacing w:val="-1"/>
        </w:rPr>
        <w:t xml:space="preserve">See </w:t>
      </w:r>
      <w:r w:rsidR="004446B2" w:rsidRPr="004446B2">
        <w:rPr>
          <w:b/>
          <w:bCs/>
          <w:spacing w:val="-1"/>
        </w:rPr>
        <w:t xml:space="preserve">Section </w:t>
      </w:r>
      <w:r w:rsidR="004446B2" w:rsidRPr="004446B2">
        <w:rPr>
          <w:b/>
          <w:bCs/>
          <w:spacing w:val="-1"/>
        </w:rPr>
        <w:fldChar w:fldCharType="begin"/>
      </w:r>
      <w:r w:rsidR="004446B2" w:rsidRPr="004446B2">
        <w:rPr>
          <w:b/>
          <w:bCs/>
          <w:spacing w:val="-1"/>
        </w:rPr>
        <w:instrText xml:space="preserve"> REF _Ref75010590 \r \h </w:instrText>
      </w:r>
      <w:r w:rsidR="004446B2">
        <w:rPr>
          <w:b/>
          <w:bCs/>
          <w:spacing w:val="-1"/>
        </w:rPr>
        <w:instrText xml:space="preserve"> \* MERGEFORMAT </w:instrText>
      </w:r>
      <w:r w:rsidR="004446B2" w:rsidRPr="004446B2">
        <w:rPr>
          <w:b/>
          <w:bCs/>
          <w:spacing w:val="-1"/>
        </w:rPr>
      </w:r>
      <w:r w:rsidR="004446B2" w:rsidRPr="004446B2">
        <w:rPr>
          <w:b/>
          <w:bCs/>
          <w:spacing w:val="-1"/>
        </w:rPr>
        <w:fldChar w:fldCharType="separate"/>
      </w:r>
      <w:r w:rsidR="00AE0EDD">
        <w:rPr>
          <w:b/>
          <w:bCs/>
          <w:spacing w:val="-1"/>
        </w:rPr>
        <w:t>3</w:t>
      </w:r>
      <w:r w:rsidR="004446B2" w:rsidRPr="004446B2">
        <w:rPr>
          <w:b/>
          <w:bCs/>
          <w:spacing w:val="-1"/>
        </w:rPr>
        <w:fldChar w:fldCharType="end"/>
      </w:r>
      <w:r w:rsidR="004446B2">
        <w:rPr>
          <w:spacing w:val="-1"/>
        </w:rPr>
        <w:t xml:space="preserve"> for the program logic. </w:t>
      </w:r>
    </w:p>
    <w:p w14:paraId="1C20BDE1" w14:textId="678C0199" w:rsidR="00D81138" w:rsidRDefault="00DB283B" w:rsidP="00305B4B">
      <w:pPr>
        <w:pStyle w:val="BodyText"/>
        <w:ind w:right="3"/>
      </w:pPr>
      <w:r>
        <w:t>The TWES program logic identified nine priority outcomes, which provided a focus for evaluation. These reflect short</w:t>
      </w:r>
      <w:r w:rsidR="0047488D">
        <w:t>-</w:t>
      </w:r>
      <w:r>
        <w:t xml:space="preserve">term outcomes that are directly achievable by the program. Priority outcomes were selected in consultation with the above stakeholders. Criteria used for the prioritisation exercise included the importance of each outcome, feasibility of measurement, and </w:t>
      </w:r>
      <w:r w:rsidR="00854A55">
        <w:t xml:space="preserve">the </w:t>
      </w:r>
      <w:r>
        <w:t>ability to attribute outcomes to TWES. Each priority outcome is described below, including the justification for prioritisation.</w:t>
      </w:r>
    </w:p>
    <w:p w14:paraId="2676398E" w14:textId="0430F225" w:rsidR="00103648" w:rsidRDefault="003548D3" w:rsidP="00305B4B">
      <w:pPr>
        <w:pStyle w:val="BodyText"/>
        <w:ind w:right="3"/>
      </w:pPr>
      <w:r>
        <w:t xml:space="preserve">The program logic was used to structure data collection and analysis to answer the evaluation questions. </w:t>
      </w:r>
      <w:r w:rsidR="005B20AC">
        <w:t xml:space="preserve">Data collection methods (see below) were designed to collect data </w:t>
      </w:r>
      <w:r w:rsidR="00110AFA">
        <w:t xml:space="preserve">to </w:t>
      </w:r>
      <w:r w:rsidR="005B20AC">
        <w:t>validate whether TWES was being implemented as intended</w:t>
      </w:r>
      <w:r w:rsidR="00420E17">
        <w:t xml:space="preserve">, whether assumptions were correct, and whether expected outcomes </w:t>
      </w:r>
      <w:r w:rsidR="00110AFA">
        <w:t>were</w:t>
      </w:r>
      <w:r w:rsidR="00420E17">
        <w:t xml:space="preserve"> being achieved. </w:t>
      </w:r>
      <w:r w:rsidR="00103648">
        <w:t xml:space="preserve">The evaluation report refers to the TWES program logic throughout, to ground the evaluation findings in this model of what outcomes TWES aims to achieve for participants and employment service providers, and how it aims to contribute to these outcomes. </w:t>
      </w:r>
    </w:p>
    <w:p w14:paraId="2AA8A3C4" w14:textId="77777777" w:rsidR="00D36697" w:rsidRDefault="00D36697" w:rsidP="00305B4B">
      <w:pPr>
        <w:pStyle w:val="Heading3"/>
        <w:ind w:right="3"/>
      </w:pPr>
      <w:r>
        <w:t xml:space="preserve">Data Collection </w:t>
      </w:r>
    </w:p>
    <w:p w14:paraId="229F6F98" w14:textId="77777777" w:rsidR="00D36697" w:rsidRPr="007C7A4C" w:rsidRDefault="00D36697" w:rsidP="00305B4B">
      <w:pPr>
        <w:pStyle w:val="BodyText"/>
        <w:ind w:right="3"/>
      </w:pPr>
      <w:r>
        <w:t>The evaluation used the following quantitative and qualitative data sources:</w:t>
      </w:r>
    </w:p>
    <w:p w14:paraId="5988E871" w14:textId="01262E17" w:rsidR="00D36697" w:rsidRPr="00110AFA" w:rsidRDefault="00D36697" w:rsidP="00305B4B">
      <w:pPr>
        <w:pStyle w:val="Bulletedlist"/>
        <w:ind w:right="3"/>
        <w:rPr>
          <w:b/>
        </w:rPr>
      </w:pPr>
      <w:r w:rsidRPr="00AF4B46">
        <w:rPr>
          <w:b/>
        </w:rPr>
        <w:t>Literature review</w:t>
      </w:r>
      <w:r w:rsidRPr="00110AFA">
        <w:rPr>
          <w:b/>
        </w:rPr>
        <w:t xml:space="preserve">: </w:t>
      </w:r>
      <w:r w:rsidR="00974BCB">
        <w:t>B</w:t>
      </w:r>
      <w:r w:rsidRPr="00110AFA">
        <w:t>ased on a purposive search strategy to identify the existing knowledge both in Australia and overseas for similar programs.</w:t>
      </w:r>
      <w:r w:rsidRPr="00110AFA">
        <w:rPr>
          <w:b/>
        </w:rPr>
        <w:t xml:space="preserve"> </w:t>
      </w:r>
    </w:p>
    <w:p w14:paraId="744A292A" w14:textId="66D8C75E" w:rsidR="00D36697" w:rsidRPr="00110AFA" w:rsidRDefault="00D36697" w:rsidP="00305B4B">
      <w:pPr>
        <w:pStyle w:val="Bulletedlist"/>
        <w:ind w:right="3"/>
        <w:rPr>
          <w:b/>
        </w:rPr>
      </w:pPr>
      <w:r w:rsidRPr="00AF4B46">
        <w:rPr>
          <w:b/>
        </w:rPr>
        <w:t>Document review</w:t>
      </w:r>
      <w:r w:rsidRPr="00110AFA">
        <w:rPr>
          <w:b/>
        </w:rPr>
        <w:t xml:space="preserve">: </w:t>
      </w:r>
      <w:r w:rsidRPr="00110AFA">
        <w:t xml:space="preserve">Including the Performance Framework Guidelines for TWES </w:t>
      </w:r>
      <w:r w:rsidR="00BC1946">
        <w:t>p</w:t>
      </w:r>
      <w:r w:rsidR="00BC1946" w:rsidRPr="00110AFA">
        <w:t xml:space="preserve">roviders </w:t>
      </w:r>
      <w:r w:rsidRPr="00110AFA">
        <w:t xml:space="preserve">and a sample of TWES </w:t>
      </w:r>
      <w:r w:rsidR="00BC1946">
        <w:t>p</w:t>
      </w:r>
      <w:r w:rsidR="00BC1946" w:rsidRPr="00110AFA">
        <w:t xml:space="preserve">rovider </w:t>
      </w:r>
      <w:r w:rsidRPr="00110AFA">
        <w:t>Progress Reports</w:t>
      </w:r>
      <w:r w:rsidR="00866A5D">
        <w:t>.</w:t>
      </w:r>
    </w:p>
    <w:p w14:paraId="5C1A2299" w14:textId="30C2E439" w:rsidR="00D36697" w:rsidRPr="00BB60C8" w:rsidRDefault="00D36697" w:rsidP="00305B4B">
      <w:pPr>
        <w:pStyle w:val="Bulletedlist"/>
        <w:ind w:right="3"/>
      </w:pPr>
      <w:r w:rsidRPr="00AF4B46">
        <w:rPr>
          <w:b/>
        </w:rPr>
        <w:t>Analysis of administrative data</w:t>
      </w:r>
      <w:r w:rsidRPr="00BB60C8">
        <w:t xml:space="preserve">: These data sources include: TWES caseload data entered by TWES </w:t>
      </w:r>
      <w:r w:rsidR="00BC1946">
        <w:t>p</w:t>
      </w:r>
      <w:r w:rsidR="00BC1946" w:rsidRPr="00BB60C8">
        <w:t xml:space="preserve">roviders </w:t>
      </w:r>
      <w:r w:rsidRPr="00BB60C8">
        <w:t xml:space="preserve">into the ‘Employment Services System’ (ESS data) containing employment services data; TWES </w:t>
      </w:r>
      <w:r w:rsidR="00BC1946">
        <w:t>p</w:t>
      </w:r>
      <w:r w:rsidR="00BC1946" w:rsidRPr="00BB60C8">
        <w:t xml:space="preserve">rovider </w:t>
      </w:r>
      <w:r w:rsidRPr="00BB60C8">
        <w:t xml:space="preserve">data providing the 6-monthly numbers of eligible prisoners for each remote/non-remote location; </w:t>
      </w:r>
      <w:r w:rsidR="00EC7C6F">
        <w:t>f</w:t>
      </w:r>
      <w:r w:rsidRPr="00BB60C8">
        <w:t xml:space="preserve">inancial summaries of payments made to </w:t>
      </w:r>
      <w:r>
        <w:t xml:space="preserve">TWES </w:t>
      </w:r>
      <w:r w:rsidR="00BC1946">
        <w:t>providers</w:t>
      </w:r>
      <w:r>
        <w:t>; and analysis of employment outcomes data for TWES participants and non-participants to compare outcomes</w:t>
      </w:r>
      <w:r w:rsidR="00EC7C6F">
        <w:t>.</w:t>
      </w:r>
    </w:p>
    <w:p w14:paraId="71AE289D" w14:textId="256541A8" w:rsidR="00D36697" w:rsidRPr="00BB60C8" w:rsidRDefault="00D36697" w:rsidP="00305B4B">
      <w:pPr>
        <w:pStyle w:val="Bulletedlist"/>
        <w:ind w:right="3"/>
      </w:pPr>
      <w:r w:rsidRPr="00AF4B46">
        <w:rPr>
          <w:b/>
        </w:rPr>
        <w:t>Semi-structured interviews</w:t>
      </w:r>
      <w:r w:rsidRPr="00BB60C8">
        <w:t xml:space="preserve"> with key </w:t>
      </w:r>
      <w:r>
        <w:t xml:space="preserve">program </w:t>
      </w:r>
      <w:r w:rsidRPr="00BB60C8">
        <w:t xml:space="preserve">stakeholders: including Services Australia, NIAA, </w:t>
      </w:r>
      <w:r>
        <w:t>DESE</w:t>
      </w:r>
      <w:r w:rsidRPr="00BB60C8">
        <w:t xml:space="preserve">, </w:t>
      </w:r>
      <w:r w:rsidR="00B63B84">
        <w:t>state</w:t>
      </w:r>
      <w:r>
        <w:t>/</w:t>
      </w:r>
      <w:r w:rsidR="00B63B84">
        <w:t xml:space="preserve">territory </w:t>
      </w:r>
      <w:r w:rsidR="00467A51">
        <w:t>corrections</w:t>
      </w:r>
      <w:r>
        <w:t xml:space="preserve"> and </w:t>
      </w:r>
      <w:r w:rsidR="00467A51">
        <w:t>health</w:t>
      </w:r>
      <w:r>
        <w:t xml:space="preserve"> </w:t>
      </w:r>
      <w:r w:rsidR="00467A51">
        <w:t>department</w:t>
      </w:r>
      <w:r>
        <w:t xml:space="preserve">s, </w:t>
      </w:r>
      <w:r w:rsidRPr="00BB60C8">
        <w:t xml:space="preserve">TWES </w:t>
      </w:r>
      <w:r w:rsidR="00BC1946">
        <w:t>p</w:t>
      </w:r>
      <w:r w:rsidR="00BC1946" w:rsidRPr="00BB60C8">
        <w:t>roviders</w:t>
      </w:r>
      <w:r>
        <w:t>, past participants and small numbers post</w:t>
      </w:r>
      <w:r w:rsidR="00223F34">
        <w:t>-</w:t>
      </w:r>
      <w:r>
        <w:t>release.</w:t>
      </w:r>
    </w:p>
    <w:p w14:paraId="2C406B40" w14:textId="2A224CEB" w:rsidR="00354957" w:rsidRDefault="00771137" w:rsidP="00305B4B">
      <w:pPr>
        <w:pStyle w:val="BodyText"/>
        <w:ind w:right="3"/>
      </w:pPr>
      <w:r w:rsidRPr="00771137">
        <w:rPr>
          <w:b/>
          <w:bCs/>
        </w:rPr>
        <w:fldChar w:fldCharType="begin"/>
      </w:r>
      <w:r w:rsidRPr="00771137">
        <w:rPr>
          <w:b/>
          <w:bCs/>
        </w:rPr>
        <w:instrText xml:space="preserve"> REF _Ref75205296 \h </w:instrText>
      </w:r>
      <w:r>
        <w:rPr>
          <w:b/>
          <w:bCs/>
        </w:rPr>
        <w:instrText xml:space="preserve"> \* MERGEFORMAT </w:instrText>
      </w:r>
      <w:r w:rsidRPr="00771137">
        <w:rPr>
          <w:b/>
          <w:bCs/>
        </w:rPr>
      </w:r>
      <w:r w:rsidRPr="00771137">
        <w:rPr>
          <w:b/>
          <w:bCs/>
        </w:rPr>
        <w:fldChar w:fldCharType="separate"/>
      </w:r>
      <w:r w:rsidR="00AE0EDD" w:rsidRPr="00AE0EDD">
        <w:rPr>
          <w:b/>
          <w:bCs/>
        </w:rPr>
        <w:t xml:space="preserve">Table </w:t>
      </w:r>
      <w:r w:rsidR="00AE0EDD" w:rsidRPr="00AE0EDD">
        <w:rPr>
          <w:b/>
          <w:bCs/>
          <w:noProof/>
        </w:rPr>
        <w:t>2</w:t>
      </w:r>
      <w:r w:rsidRPr="00771137">
        <w:rPr>
          <w:b/>
          <w:bCs/>
        </w:rPr>
        <w:fldChar w:fldCharType="end"/>
      </w:r>
      <w:r w:rsidRPr="00771137">
        <w:rPr>
          <w:b/>
          <w:bCs/>
        </w:rPr>
        <w:t xml:space="preserve"> </w:t>
      </w:r>
      <w:r w:rsidR="00354957">
        <w:t xml:space="preserve">summarises the target </w:t>
      </w:r>
      <w:r w:rsidR="000A21D1">
        <w:t xml:space="preserve">and actual </w:t>
      </w:r>
      <w:r w:rsidR="00354957">
        <w:t>sample sizes</w:t>
      </w:r>
      <w:r w:rsidR="00C617D2">
        <w:t xml:space="preserve"> for all semi-structured interviews.</w:t>
      </w:r>
    </w:p>
    <w:p w14:paraId="6DE02D8B" w14:textId="00AE9D91" w:rsidR="00C617D2" w:rsidRDefault="00C617D2" w:rsidP="00305B4B">
      <w:pPr>
        <w:pStyle w:val="Caption"/>
        <w:ind w:right="3"/>
      </w:pPr>
      <w:bookmarkStart w:id="41" w:name="_Ref75205296"/>
      <w:r>
        <w:t xml:space="preserve">Table </w:t>
      </w:r>
      <w:r>
        <w:fldChar w:fldCharType="begin"/>
      </w:r>
      <w:r>
        <w:instrText xml:space="preserve"> SEQ Table \* ARABIC </w:instrText>
      </w:r>
      <w:r>
        <w:fldChar w:fldCharType="separate"/>
      </w:r>
      <w:r w:rsidR="00AE0EDD">
        <w:rPr>
          <w:noProof/>
        </w:rPr>
        <w:t>2</w:t>
      </w:r>
      <w:r>
        <w:fldChar w:fldCharType="end"/>
      </w:r>
      <w:bookmarkEnd w:id="41"/>
      <w:r>
        <w:t>: Target and actual sample sizes for semi-structured interviews</w:t>
      </w:r>
    </w:p>
    <w:tbl>
      <w:tblPr>
        <w:tblW w:w="10060" w:type="dxa"/>
        <w:tblBorders>
          <w:top w:val="single" w:sz="4" w:space="0" w:color="B1B3AA"/>
          <w:left w:val="single" w:sz="4" w:space="0" w:color="B1B3AA"/>
          <w:bottom w:val="single" w:sz="4" w:space="0" w:color="B1B3AA"/>
          <w:right w:val="single" w:sz="4" w:space="0" w:color="B1B3AA"/>
          <w:insideH w:val="single" w:sz="4" w:space="0" w:color="B1B3AA"/>
          <w:insideV w:val="single" w:sz="4" w:space="0" w:color="B1B3AA"/>
        </w:tblBorders>
        <w:tblLayout w:type="fixed"/>
        <w:tblCellMar>
          <w:left w:w="0" w:type="dxa"/>
          <w:right w:w="0" w:type="dxa"/>
        </w:tblCellMar>
        <w:tblLook w:val="0000" w:firstRow="0" w:lastRow="0" w:firstColumn="0" w:lastColumn="0" w:noHBand="0" w:noVBand="0"/>
        <w:tblCaption w:val="Target and actual sample sizes for semi-structured interviews"/>
        <w:tblDescription w:val="A table of the target and sample sizes for all semi-structured interviews that shows that most targets were achieved, other than state/territory health departments which achieved 50% of their target sample size, and past participants post-release which achieved 38% of their target sample size. "/>
      </w:tblPr>
      <w:tblGrid>
        <w:gridCol w:w="3681"/>
        <w:gridCol w:w="2268"/>
        <w:gridCol w:w="2126"/>
        <w:gridCol w:w="1985"/>
      </w:tblGrid>
      <w:tr w:rsidR="00354957" w:rsidRPr="00082037" w14:paraId="3C22958A" w14:textId="77777777" w:rsidTr="00D94610">
        <w:trPr>
          <w:trHeight w:val="146"/>
        </w:trPr>
        <w:tc>
          <w:tcPr>
            <w:tcW w:w="3681" w:type="dxa"/>
            <w:shd w:val="clear" w:color="auto" w:fill="002C61"/>
            <w:noWrap/>
            <w:tcMar>
              <w:top w:w="85" w:type="dxa"/>
              <w:left w:w="85" w:type="dxa"/>
              <w:bottom w:w="85" w:type="dxa"/>
              <w:right w:w="85" w:type="dxa"/>
            </w:tcMar>
          </w:tcPr>
          <w:p w14:paraId="3E5F3D33" w14:textId="3BA485E8" w:rsidR="00354957" w:rsidRPr="00082037" w:rsidRDefault="00354957" w:rsidP="0073639F">
            <w:pPr>
              <w:pStyle w:val="TableHeading"/>
            </w:pPr>
            <w:r w:rsidRPr="00082037">
              <w:t>Stakeholder group</w:t>
            </w:r>
          </w:p>
        </w:tc>
        <w:tc>
          <w:tcPr>
            <w:tcW w:w="2268" w:type="dxa"/>
            <w:shd w:val="clear" w:color="auto" w:fill="002C61"/>
            <w:noWrap/>
            <w:tcMar>
              <w:top w:w="85" w:type="dxa"/>
              <w:left w:w="85" w:type="dxa"/>
              <w:bottom w:w="85" w:type="dxa"/>
              <w:right w:w="85" w:type="dxa"/>
            </w:tcMar>
          </w:tcPr>
          <w:p w14:paraId="66BB98A4" w14:textId="77777777" w:rsidR="00354957" w:rsidRPr="00082037" w:rsidRDefault="00354957" w:rsidP="0073639F">
            <w:pPr>
              <w:pStyle w:val="TableHeading"/>
            </w:pPr>
            <w:r w:rsidRPr="00082037">
              <w:t>Target sample size</w:t>
            </w:r>
          </w:p>
        </w:tc>
        <w:tc>
          <w:tcPr>
            <w:tcW w:w="2126" w:type="dxa"/>
            <w:shd w:val="clear" w:color="auto" w:fill="002C61"/>
            <w:noWrap/>
            <w:tcMar>
              <w:top w:w="85" w:type="dxa"/>
              <w:left w:w="85" w:type="dxa"/>
              <w:bottom w:w="85" w:type="dxa"/>
              <w:right w:w="85" w:type="dxa"/>
            </w:tcMar>
          </w:tcPr>
          <w:p w14:paraId="45DBBC45" w14:textId="77777777" w:rsidR="00354957" w:rsidRPr="00082037" w:rsidRDefault="00354957" w:rsidP="0073639F">
            <w:pPr>
              <w:pStyle w:val="TableHeading"/>
            </w:pPr>
            <w:r w:rsidRPr="00082037">
              <w:t>Sample achieved</w:t>
            </w:r>
          </w:p>
        </w:tc>
        <w:tc>
          <w:tcPr>
            <w:tcW w:w="1985" w:type="dxa"/>
            <w:shd w:val="clear" w:color="auto" w:fill="002C61"/>
            <w:noWrap/>
            <w:tcMar>
              <w:top w:w="85" w:type="dxa"/>
              <w:left w:w="85" w:type="dxa"/>
              <w:bottom w:w="85" w:type="dxa"/>
              <w:right w:w="85" w:type="dxa"/>
            </w:tcMar>
          </w:tcPr>
          <w:p w14:paraId="19D2841A" w14:textId="35637C85" w:rsidR="00354957" w:rsidRPr="00082037" w:rsidRDefault="00C617D2" w:rsidP="0073639F">
            <w:pPr>
              <w:pStyle w:val="TableHeading"/>
            </w:pPr>
            <w:r>
              <w:t xml:space="preserve">As </w:t>
            </w:r>
            <w:r w:rsidR="006F5311">
              <w:t xml:space="preserve">a </w:t>
            </w:r>
            <w:r>
              <w:t>percentage</w:t>
            </w:r>
          </w:p>
        </w:tc>
      </w:tr>
      <w:tr w:rsidR="00354957" w:rsidRPr="00082037" w14:paraId="232DC9BB" w14:textId="77777777" w:rsidTr="00D94610">
        <w:trPr>
          <w:trHeight w:val="125"/>
        </w:trPr>
        <w:tc>
          <w:tcPr>
            <w:tcW w:w="3681" w:type="dxa"/>
            <w:tcMar>
              <w:top w:w="85" w:type="dxa"/>
              <w:left w:w="85" w:type="dxa"/>
              <w:bottom w:w="85" w:type="dxa"/>
              <w:right w:w="85" w:type="dxa"/>
            </w:tcMar>
          </w:tcPr>
          <w:p w14:paraId="15CF9C89" w14:textId="77777777" w:rsidR="00354957" w:rsidRPr="0073639F" w:rsidRDefault="00354957" w:rsidP="007F09E7">
            <w:pPr>
              <w:pStyle w:val="TableParagraph"/>
            </w:pPr>
            <w:r w:rsidRPr="0073639F">
              <w:lastRenderedPageBreak/>
              <w:t>NIAA</w:t>
            </w:r>
          </w:p>
        </w:tc>
        <w:tc>
          <w:tcPr>
            <w:tcW w:w="2268" w:type="dxa"/>
            <w:tcMar>
              <w:top w:w="85" w:type="dxa"/>
              <w:left w:w="85" w:type="dxa"/>
              <w:bottom w:w="85" w:type="dxa"/>
              <w:right w:w="85" w:type="dxa"/>
            </w:tcMar>
          </w:tcPr>
          <w:p w14:paraId="58B4FF99" w14:textId="77777777" w:rsidR="00354957" w:rsidRPr="0073639F" w:rsidRDefault="00354957" w:rsidP="007F09E7">
            <w:pPr>
              <w:pStyle w:val="TableParagraph"/>
            </w:pPr>
            <w:r w:rsidRPr="0073639F">
              <w:t>2</w:t>
            </w:r>
          </w:p>
        </w:tc>
        <w:tc>
          <w:tcPr>
            <w:tcW w:w="2126" w:type="dxa"/>
            <w:tcMar>
              <w:top w:w="85" w:type="dxa"/>
              <w:left w:w="85" w:type="dxa"/>
              <w:bottom w:w="85" w:type="dxa"/>
              <w:right w:w="85" w:type="dxa"/>
            </w:tcMar>
          </w:tcPr>
          <w:p w14:paraId="32BE6387" w14:textId="77777777" w:rsidR="00354957" w:rsidRPr="0073639F" w:rsidRDefault="00354957" w:rsidP="007F09E7">
            <w:pPr>
              <w:pStyle w:val="TableParagraph"/>
            </w:pPr>
            <w:r w:rsidRPr="0073639F">
              <w:t>2</w:t>
            </w:r>
          </w:p>
        </w:tc>
        <w:tc>
          <w:tcPr>
            <w:tcW w:w="1985" w:type="dxa"/>
            <w:tcMar>
              <w:top w:w="85" w:type="dxa"/>
              <w:left w:w="85" w:type="dxa"/>
              <w:bottom w:w="85" w:type="dxa"/>
              <w:right w:w="85" w:type="dxa"/>
            </w:tcMar>
          </w:tcPr>
          <w:p w14:paraId="4CFD0ECE" w14:textId="77777777" w:rsidR="00354957" w:rsidRPr="0073639F" w:rsidRDefault="00354957" w:rsidP="007F09E7">
            <w:pPr>
              <w:pStyle w:val="TableParagraph"/>
            </w:pPr>
            <w:r w:rsidRPr="0073639F">
              <w:t>100%</w:t>
            </w:r>
          </w:p>
        </w:tc>
      </w:tr>
      <w:tr w:rsidR="00354957" w:rsidRPr="00082037" w14:paraId="4EC9D715" w14:textId="77777777" w:rsidTr="00D94610">
        <w:trPr>
          <w:trHeight w:val="228"/>
        </w:trPr>
        <w:tc>
          <w:tcPr>
            <w:tcW w:w="3681" w:type="dxa"/>
            <w:tcMar>
              <w:top w:w="85" w:type="dxa"/>
              <w:left w:w="85" w:type="dxa"/>
              <w:bottom w:w="85" w:type="dxa"/>
              <w:right w:w="85" w:type="dxa"/>
            </w:tcMar>
          </w:tcPr>
          <w:p w14:paraId="2EA0DD0E" w14:textId="77777777" w:rsidR="00354957" w:rsidRPr="0073639F" w:rsidRDefault="00354957" w:rsidP="007F09E7">
            <w:pPr>
              <w:pStyle w:val="TableParagraph"/>
            </w:pPr>
            <w:r w:rsidRPr="0073639F">
              <w:t>DESE</w:t>
            </w:r>
          </w:p>
        </w:tc>
        <w:tc>
          <w:tcPr>
            <w:tcW w:w="2268" w:type="dxa"/>
            <w:tcMar>
              <w:top w:w="85" w:type="dxa"/>
              <w:left w:w="85" w:type="dxa"/>
              <w:bottom w:w="85" w:type="dxa"/>
              <w:right w:w="85" w:type="dxa"/>
            </w:tcMar>
          </w:tcPr>
          <w:p w14:paraId="6C4D3EEB" w14:textId="77777777" w:rsidR="00354957" w:rsidRPr="0073639F" w:rsidRDefault="00354957" w:rsidP="007F09E7">
            <w:pPr>
              <w:pStyle w:val="TableParagraph"/>
            </w:pPr>
            <w:r w:rsidRPr="0073639F">
              <w:t>3</w:t>
            </w:r>
          </w:p>
        </w:tc>
        <w:tc>
          <w:tcPr>
            <w:tcW w:w="2126" w:type="dxa"/>
            <w:tcMar>
              <w:top w:w="85" w:type="dxa"/>
              <w:left w:w="85" w:type="dxa"/>
              <w:bottom w:w="85" w:type="dxa"/>
              <w:right w:w="85" w:type="dxa"/>
            </w:tcMar>
          </w:tcPr>
          <w:p w14:paraId="6A73BF98" w14:textId="77777777" w:rsidR="00354957" w:rsidRPr="0073639F" w:rsidRDefault="00354957" w:rsidP="007F09E7">
            <w:pPr>
              <w:pStyle w:val="TableParagraph"/>
            </w:pPr>
            <w:r w:rsidRPr="0073639F">
              <w:t>3</w:t>
            </w:r>
          </w:p>
        </w:tc>
        <w:tc>
          <w:tcPr>
            <w:tcW w:w="1985" w:type="dxa"/>
            <w:tcMar>
              <w:top w:w="85" w:type="dxa"/>
              <w:left w:w="85" w:type="dxa"/>
              <w:bottom w:w="85" w:type="dxa"/>
              <w:right w:w="85" w:type="dxa"/>
            </w:tcMar>
          </w:tcPr>
          <w:p w14:paraId="758A1EBB" w14:textId="77777777" w:rsidR="00354957" w:rsidRPr="0073639F" w:rsidRDefault="00354957" w:rsidP="007F09E7">
            <w:pPr>
              <w:pStyle w:val="TableParagraph"/>
            </w:pPr>
            <w:r w:rsidRPr="0073639F">
              <w:t>100%</w:t>
            </w:r>
          </w:p>
        </w:tc>
      </w:tr>
      <w:tr w:rsidR="00354957" w:rsidRPr="00082037" w14:paraId="0F818370" w14:textId="77777777" w:rsidTr="00D94610">
        <w:trPr>
          <w:trHeight w:val="228"/>
        </w:trPr>
        <w:tc>
          <w:tcPr>
            <w:tcW w:w="3681" w:type="dxa"/>
            <w:tcMar>
              <w:top w:w="85" w:type="dxa"/>
              <w:left w:w="85" w:type="dxa"/>
              <w:bottom w:w="85" w:type="dxa"/>
              <w:right w:w="85" w:type="dxa"/>
            </w:tcMar>
          </w:tcPr>
          <w:p w14:paraId="304D10E1" w14:textId="77777777" w:rsidR="00354957" w:rsidRPr="0073639F" w:rsidRDefault="00354957" w:rsidP="007F09E7">
            <w:pPr>
              <w:pStyle w:val="TableParagraph"/>
            </w:pPr>
            <w:r w:rsidRPr="0073639F">
              <w:t>Services Australia</w:t>
            </w:r>
          </w:p>
        </w:tc>
        <w:tc>
          <w:tcPr>
            <w:tcW w:w="2268" w:type="dxa"/>
            <w:tcMar>
              <w:top w:w="85" w:type="dxa"/>
              <w:left w:w="85" w:type="dxa"/>
              <w:bottom w:w="85" w:type="dxa"/>
              <w:right w:w="85" w:type="dxa"/>
            </w:tcMar>
          </w:tcPr>
          <w:p w14:paraId="178D4FD2" w14:textId="77777777" w:rsidR="00354957" w:rsidRPr="0073639F" w:rsidRDefault="00354957" w:rsidP="007F09E7">
            <w:pPr>
              <w:pStyle w:val="TableParagraph"/>
            </w:pPr>
            <w:r w:rsidRPr="0073639F">
              <w:t>2</w:t>
            </w:r>
          </w:p>
        </w:tc>
        <w:tc>
          <w:tcPr>
            <w:tcW w:w="2126" w:type="dxa"/>
            <w:tcMar>
              <w:top w:w="85" w:type="dxa"/>
              <w:left w:w="85" w:type="dxa"/>
              <w:bottom w:w="85" w:type="dxa"/>
              <w:right w:w="85" w:type="dxa"/>
            </w:tcMar>
          </w:tcPr>
          <w:p w14:paraId="233BFB17" w14:textId="77777777" w:rsidR="00354957" w:rsidRPr="0073639F" w:rsidRDefault="00354957" w:rsidP="007F09E7">
            <w:pPr>
              <w:pStyle w:val="TableParagraph"/>
            </w:pPr>
            <w:r w:rsidRPr="0073639F">
              <w:t>2</w:t>
            </w:r>
          </w:p>
        </w:tc>
        <w:tc>
          <w:tcPr>
            <w:tcW w:w="1985" w:type="dxa"/>
            <w:tcMar>
              <w:top w:w="85" w:type="dxa"/>
              <w:left w:w="85" w:type="dxa"/>
              <w:bottom w:w="85" w:type="dxa"/>
              <w:right w:w="85" w:type="dxa"/>
            </w:tcMar>
          </w:tcPr>
          <w:p w14:paraId="4F1C65FD" w14:textId="77777777" w:rsidR="00354957" w:rsidRPr="0073639F" w:rsidRDefault="00354957" w:rsidP="007F09E7">
            <w:pPr>
              <w:pStyle w:val="TableParagraph"/>
            </w:pPr>
            <w:r w:rsidRPr="0073639F">
              <w:t>100%</w:t>
            </w:r>
          </w:p>
        </w:tc>
      </w:tr>
      <w:tr w:rsidR="00354957" w:rsidRPr="00082037" w14:paraId="4103AE4F" w14:textId="77777777" w:rsidTr="00D94610">
        <w:trPr>
          <w:trHeight w:val="228"/>
        </w:trPr>
        <w:tc>
          <w:tcPr>
            <w:tcW w:w="3681" w:type="dxa"/>
            <w:tcMar>
              <w:top w:w="85" w:type="dxa"/>
              <w:left w:w="85" w:type="dxa"/>
              <w:bottom w:w="85" w:type="dxa"/>
              <w:right w:w="85" w:type="dxa"/>
            </w:tcMar>
          </w:tcPr>
          <w:p w14:paraId="769C2212" w14:textId="076C53D1" w:rsidR="00354957" w:rsidRPr="0073639F" w:rsidRDefault="00354957" w:rsidP="007F09E7">
            <w:pPr>
              <w:pStyle w:val="TableParagraph"/>
            </w:pPr>
            <w:r w:rsidRPr="0073639F">
              <w:t>State/</w:t>
            </w:r>
            <w:r w:rsidR="00B63B84" w:rsidRPr="0073639F">
              <w:t xml:space="preserve">territory </w:t>
            </w:r>
            <w:r w:rsidR="00467A51" w:rsidRPr="0073639F">
              <w:t>health</w:t>
            </w:r>
            <w:r w:rsidRPr="0073639F">
              <w:t xml:space="preserve"> </w:t>
            </w:r>
            <w:r w:rsidR="00467A51" w:rsidRPr="0073639F">
              <w:t>department</w:t>
            </w:r>
            <w:r w:rsidRPr="0073639F">
              <w:t>s</w:t>
            </w:r>
          </w:p>
        </w:tc>
        <w:tc>
          <w:tcPr>
            <w:tcW w:w="2268" w:type="dxa"/>
            <w:tcMar>
              <w:top w:w="85" w:type="dxa"/>
              <w:left w:w="85" w:type="dxa"/>
              <w:bottom w:w="85" w:type="dxa"/>
              <w:right w:w="85" w:type="dxa"/>
            </w:tcMar>
          </w:tcPr>
          <w:p w14:paraId="5ED40A31" w14:textId="77777777" w:rsidR="00354957" w:rsidRPr="0073639F" w:rsidRDefault="00354957" w:rsidP="007F09E7">
            <w:pPr>
              <w:pStyle w:val="TableParagraph"/>
            </w:pPr>
            <w:r w:rsidRPr="0073639F">
              <w:t>2</w:t>
            </w:r>
          </w:p>
        </w:tc>
        <w:tc>
          <w:tcPr>
            <w:tcW w:w="2126" w:type="dxa"/>
            <w:tcMar>
              <w:top w:w="85" w:type="dxa"/>
              <w:left w:w="85" w:type="dxa"/>
              <w:bottom w:w="85" w:type="dxa"/>
              <w:right w:w="85" w:type="dxa"/>
            </w:tcMar>
          </w:tcPr>
          <w:p w14:paraId="0797EB2C" w14:textId="77777777" w:rsidR="00354957" w:rsidRPr="0073639F" w:rsidRDefault="00354957" w:rsidP="007F09E7">
            <w:pPr>
              <w:pStyle w:val="TableParagraph"/>
            </w:pPr>
            <w:r w:rsidRPr="0073639F">
              <w:t>1</w:t>
            </w:r>
          </w:p>
        </w:tc>
        <w:tc>
          <w:tcPr>
            <w:tcW w:w="1985" w:type="dxa"/>
            <w:tcMar>
              <w:top w:w="85" w:type="dxa"/>
              <w:left w:w="85" w:type="dxa"/>
              <w:bottom w:w="85" w:type="dxa"/>
              <w:right w:w="85" w:type="dxa"/>
            </w:tcMar>
          </w:tcPr>
          <w:p w14:paraId="6A25A3A4" w14:textId="77777777" w:rsidR="00354957" w:rsidRPr="0073639F" w:rsidRDefault="00354957" w:rsidP="007F09E7">
            <w:pPr>
              <w:pStyle w:val="TableParagraph"/>
            </w:pPr>
            <w:r w:rsidRPr="0073639F">
              <w:t>50%</w:t>
            </w:r>
          </w:p>
        </w:tc>
      </w:tr>
      <w:tr w:rsidR="00354957" w:rsidRPr="00082037" w14:paraId="7AEE3FB6" w14:textId="77777777" w:rsidTr="00D94610">
        <w:trPr>
          <w:trHeight w:val="228"/>
        </w:trPr>
        <w:tc>
          <w:tcPr>
            <w:tcW w:w="3681" w:type="dxa"/>
            <w:tcMar>
              <w:top w:w="85" w:type="dxa"/>
              <w:left w:w="85" w:type="dxa"/>
              <w:bottom w:w="85" w:type="dxa"/>
              <w:right w:w="85" w:type="dxa"/>
            </w:tcMar>
          </w:tcPr>
          <w:p w14:paraId="4542DD79" w14:textId="63B5A2AD" w:rsidR="00354957" w:rsidRPr="0073639F" w:rsidRDefault="00354957" w:rsidP="007F09E7">
            <w:pPr>
              <w:pStyle w:val="TableParagraph"/>
            </w:pPr>
            <w:r w:rsidRPr="0073639F">
              <w:t>State/</w:t>
            </w:r>
            <w:r w:rsidR="00B63B84" w:rsidRPr="0073639F">
              <w:t xml:space="preserve">territory </w:t>
            </w:r>
            <w:r w:rsidR="00467A51" w:rsidRPr="0073639F">
              <w:t>corrections</w:t>
            </w:r>
            <w:r w:rsidRPr="0073639F">
              <w:t xml:space="preserve"> </w:t>
            </w:r>
            <w:r w:rsidR="00467A51" w:rsidRPr="0073639F">
              <w:t>department</w:t>
            </w:r>
            <w:r w:rsidRPr="0073639F">
              <w:t>s</w:t>
            </w:r>
          </w:p>
        </w:tc>
        <w:tc>
          <w:tcPr>
            <w:tcW w:w="2268" w:type="dxa"/>
            <w:tcMar>
              <w:top w:w="85" w:type="dxa"/>
              <w:left w:w="85" w:type="dxa"/>
              <w:bottom w:w="85" w:type="dxa"/>
              <w:right w:w="85" w:type="dxa"/>
            </w:tcMar>
          </w:tcPr>
          <w:p w14:paraId="31373D74" w14:textId="77777777" w:rsidR="00354957" w:rsidRPr="0073639F" w:rsidRDefault="00354957" w:rsidP="007F09E7">
            <w:pPr>
              <w:pStyle w:val="TableParagraph"/>
            </w:pPr>
            <w:r w:rsidRPr="0073639F">
              <w:t>8</w:t>
            </w:r>
          </w:p>
        </w:tc>
        <w:tc>
          <w:tcPr>
            <w:tcW w:w="2126" w:type="dxa"/>
            <w:tcMar>
              <w:top w:w="85" w:type="dxa"/>
              <w:left w:w="85" w:type="dxa"/>
              <w:bottom w:w="85" w:type="dxa"/>
              <w:right w:w="85" w:type="dxa"/>
            </w:tcMar>
          </w:tcPr>
          <w:p w14:paraId="2F3D6475" w14:textId="77777777" w:rsidR="00354957" w:rsidRPr="0073639F" w:rsidRDefault="00354957" w:rsidP="007F09E7">
            <w:pPr>
              <w:pStyle w:val="TableParagraph"/>
            </w:pPr>
            <w:r w:rsidRPr="0073639F">
              <w:t>8</w:t>
            </w:r>
          </w:p>
        </w:tc>
        <w:tc>
          <w:tcPr>
            <w:tcW w:w="1985" w:type="dxa"/>
            <w:tcMar>
              <w:top w:w="85" w:type="dxa"/>
              <w:left w:w="85" w:type="dxa"/>
              <w:bottom w:w="85" w:type="dxa"/>
              <w:right w:w="85" w:type="dxa"/>
            </w:tcMar>
          </w:tcPr>
          <w:p w14:paraId="6143A3C2" w14:textId="77777777" w:rsidR="00354957" w:rsidRPr="0073639F" w:rsidRDefault="00354957" w:rsidP="007F09E7">
            <w:pPr>
              <w:pStyle w:val="TableParagraph"/>
            </w:pPr>
            <w:r w:rsidRPr="0073639F">
              <w:t>100%</w:t>
            </w:r>
          </w:p>
        </w:tc>
      </w:tr>
      <w:tr w:rsidR="00354957" w:rsidRPr="00082037" w14:paraId="528180BC" w14:textId="77777777" w:rsidTr="00D94610">
        <w:trPr>
          <w:trHeight w:val="228"/>
        </w:trPr>
        <w:tc>
          <w:tcPr>
            <w:tcW w:w="3681" w:type="dxa"/>
            <w:tcMar>
              <w:top w:w="85" w:type="dxa"/>
              <w:left w:w="85" w:type="dxa"/>
              <w:bottom w:w="85" w:type="dxa"/>
              <w:right w:w="85" w:type="dxa"/>
            </w:tcMar>
          </w:tcPr>
          <w:p w14:paraId="210F1B16" w14:textId="0DE7F7A8" w:rsidR="00354957" w:rsidRPr="0073639F" w:rsidRDefault="00354957" w:rsidP="007F09E7">
            <w:pPr>
              <w:pStyle w:val="TableParagraph"/>
            </w:pPr>
            <w:r w:rsidRPr="0073639F">
              <w:t xml:space="preserve">TWES </w:t>
            </w:r>
            <w:r w:rsidR="00BC1946" w:rsidRPr="0073639F">
              <w:t>providers</w:t>
            </w:r>
          </w:p>
        </w:tc>
        <w:tc>
          <w:tcPr>
            <w:tcW w:w="2268" w:type="dxa"/>
            <w:tcMar>
              <w:top w:w="85" w:type="dxa"/>
              <w:left w:w="85" w:type="dxa"/>
              <w:bottom w:w="85" w:type="dxa"/>
              <w:right w:w="85" w:type="dxa"/>
            </w:tcMar>
          </w:tcPr>
          <w:p w14:paraId="5B8ED91B" w14:textId="77777777" w:rsidR="00354957" w:rsidRPr="0073639F" w:rsidRDefault="00354957" w:rsidP="007F09E7">
            <w:pPr>
              <w:pStyle w:val="TableParagraph"/>
            </w:pPr>
            <w:r w:rsidRPr="0073639F">
              <w:t>17</w:t>
            </w:r>
          </w:p>
        </w:tc>
        <w:tc>
          <w:tcPr>
            <w:tcW w:w="2126" w:type="dxa"/>
            <w:tcMar>
              <w:top w:w="85" w:type="dxa"/>
              <w:left w:w="85" w:type="dxa"/>
              <w:bottom w:w="85" w:type="dxa"/>
              <w:right w:w="85" w:type="dxa"/>
            </w:tcMar>
          </w:tcPr>
          <w:p w14:paraId="122BD0E8" w14:textId="77777777" w:rsidR="00354957" w:rsidRPr="0073639F" w:rsidRDefault="00354957" w:rsidP="007F09E7">
            <w:pPr>
              <w:pStyle w:val="TableParagraph"/>
            </w:pPr>
            <w:r w:rsidRPr="0073639F">
              <w:t>16</w:t>
            </w:r>
          </w:p>
        </w:tc>
        <w:tc>
          <w:tcPr>
            <w:tcW w:w="1985" w:type="dxa"/>
            <w:tcMar>
              <w:top w:w="85" w:type="dxa"/>
              <w:left w:w="85" w:type="dxa"/>
              <w:bottom w:w="85" w:type="dxa"/>
              <w:right w:w="85" w:type="dxa"/>
            </w:tcMar>
          </w:tcPr>
          <w:p w14:paraId="35F9FD91" w14:textId="77777777" w:rsidR="00354957" w:rsidRPr="0073639F" w:rsidRDefault="00354957" w:rsidP="007F09E7">
            <w:pPr>
              <w:pStyle w:val="TableParagraph"/>
            </w:pPr>
            <w:r w:rsidRPr="0073639F">
              <w:t>94%</w:t>
            </w:r>
          </w:p>
        </w:tc>
      </w:tr>
      <w:tr w:rsidR="00354957" w:rsidRPr="00082037" w14:paraId="5452350E" w14:textId="77777777" w:rsidTr="00D94610">
        <w:trPr>
          <w:trHeight w:val="228"/>
        </w:trPr>
        <w:tc>
          <w:tcPr>
            <w:tcW w:w="3681" w:type="dxa"/>
            <w:tcMar>
              <w:top w:w="85" w:type="dxa"/>
              <w:left w:w="85" w:type="dxa"/>
              <w:bottom w:w="85" w:type="dxa"/>
              <w:right w:w="85" w:type="dxa"/>
            </w:tcMar>
          </w:tcPr>
          <w:p w14:paraId="4D349D10" w14:textId="77777777" w:rsidR="00354957" w:rsidRPr="0073639F" w:rsidRDefault="00354957" w:rsidP="007F09E7">
            <w:pPr>
              <w:pStyle w:val="TableParagraph"/>
            </w:pPr>
            <w:r w:rsidRPr="0073639F">
              <w:t>Current participants</w:t>
            </w:r>
          </w:p>
        </w:tc>
        <w:tc>
          <w:tcPr>
            <w:tcW w:w="2268" w:type="dxa"/>
            <w:tcMar>
              <w:top w:w="85" w:type="dxa"/>
              <w:left w:w="85" w:type="dxa"/>
              <w:bottom w:w="85" w:type="dxa"/>
              <w:right w:w="85" w:type="dxa"/>
            </w:tcMar>
          </w:tcPr>
          <w:p w14:paraId="767A56CF" w14:textId="77777777" w:rsidR="00354957" w:rsidRPr="0073639F" w:rsidRDefault="00354957" w:rsidP="007F09E7">
            <w:pPr>
              <w:pStyle w:val="TableParagraph"/>
            </w:pPr>
            <w:r w:rsidRPr="0073639F">
              <w:t>64</w:t>
            </w:r>
          </w:p>
        </w:tc>
        <w:tc>
          <w:tcPr>
            <w:tcW w:w="2126" w:type="dxa"/>
            <w:tcMar>
              <w:top w:w="85" w:type="dxa"/>
              <w:left w:w="85" w:type="dxa"/>
              <w:bottom w:w="85" w:type="dxa"/>
              <w:right w:w="85" w:type="dxa"/>
            </w:tcMar>
          </w:tcPr>
          <w:p w14:paraId="4E6147E6" w14:textId="77777777" w:rsidR="00354957" w:rsidRPr="0073639F" w:rsidRDefault="00354957" w:rsidP="007F09E7">
            <w:pPr>
              <w:pStyle w:val="TableParagraph"/>
            </w:pPr>
            <w:r w:rsidRPr="0073639F">
              <w:t>57</w:t>
            </w:r>
          </w:p>
        </w:tc>
        <w:tc>
          <w:tcPr>
            <w:tcW w:w="1985" w:type="dxa"/>
            <w:tcMar>
              <w:top w:w="85" w:type="dxa"/>
              <w:left w:w="85" w:type="dxa"/>
              <w:bottom w:w="85" w:type="dxa"/>
              <w:right w:w="85" w:type="dxa"/>
            </w:tcMar>
          </w:tcPr>
          <w:p w14:paraId="05101069" w14:textId="77777777" w:rsidR="00354957" w:rsidRPr="0073639F" w:rsidRDefault="00354957" w:rsidP="007F09E7">
            <w:pPr>
              <w:pStyle w:val="TableParagraph"/>
            </w:pPr>
            <w:r w:rsidRPr="0073639F">
              <w:t>89%</w:t>
            </w:r>
          </w:p>
        </w:tc>
      </w:tr>
      <w:tr w:rsidR="00354957" w:rsidRPr="00082037" w14:paraId="10F8C566" w14:textId="77777777" w:rsidTr="00D94610">
        <w:trPr>
          <w:trHeight w:val="228"/>
        </w:trPr>
        <w:tc>
          <w:tcPr>
            <w:tcW w:w="3681" w:type="dxa"/>
            <w:tcMar>
              <w:top w:w="85" w:type="dxa"/>
              <w:left w:w="85" w:type="dxa"/>
              <w:bottom w:w="85" w:type="dxa"/>
              <w:right w:w="85" w:type="dxa"/>
            </w:tcMar>
          </w:tcPr>
          <w:p w14:paraId="70CA3AAA" w14:textId="77777777" w:rsidR="00354957" w:rsidRPr="0073639F" w:rsidRDefault="00354957" w:rsidP="007F09E7">
            <w:pPr>
              <w:pStyle w:val="TableParagraph"/>
            </w:pPr>
            <w:r w:rsidRPr="0073639F">
              <w:t xml:space="preserve">Past participants – pre-release </w:t>
            </w:r>
          </w:p>
        </w:tc>
        <w:tc>
          <w:tcPr>
            <w:tcW w:w="2268" w:type="dxa"/>
            <w:tcMar>
              <w:top w:w="85" w:type="dxa"/>
              <w:left w:w="85" w:type="dxa"/>
              <w:bottom w:w="85" w:type="dxa"/>
              <w:right w:w="85" w:type="dxa"/>
            </w:tcMar>
          </w:tcPr>
          <w:p w14:paraId="19399122" w14:textId="77777777" w:rsidR="00354957" w:rsidRPr="0073639F" w:rsidRDefault="00354957" w:rsidP="007F09E7">
            <w:pPr>
              <w:pStyle w:val="TableParagraph"/>
            </w:pPr>
            <w:r w:rsidRPr="0073639F">
              <w:t>8</w:t>
            </w:r>
          </w:p>
        </w:tc>
        <w:tc>
          <w:tcPr>
            <w:tcW w:w="2126" w:type="dxa"/>
            <w:tcMar>
              <w:top w:w="85" w:type="dxa"/>
              <w:left w:w="85" w:type="dxa"/>
              <w:bottom w:w="85" w:type="dxa"/>
              <w:right w:w="85" w:type="dxa"/>
            </w:tcMar>
          </w:tcPr>
          <w:p w14:paraId="5081851D" w14:textId="77777777" w:rsidR="00354957" w:rsidRPr="0073639F" w:rsidRDefault="00354957" w:rsidP="007F09E7">
            <w:pPr>
              <w:pStyle w:val="TableParagraph"/>
            </w:pPr>
            <w:r w:rsidRPr="0073639F">
              <w:t>0</w:t>
            </w:r>
          </w:p>
        </w:tc>
        <w:tc>
          <w:tcPr>
            <w:tcW w:w="1985" w:type="dxa"/>
            <w:tcMar>
              <w:top w:w="85" w:type="dxa"/>
              <w:left w:w="85" w:type="dxa"/>
              <w:bottom w:w="85" w:type="dxa"/>
              <w:right w:w="85" w:type="dxa"/>
            </w:tcMar>
          </w:tcPr>
          <w:p w14:paraId="13DC997B" w14:textId="77777777" w:rsidR="00354957" w:rsidRPr="0073639F" w:rsidRDefault="00354957" w:rsidP="007F09E7">
            <w:pPr>
              <w:pStyle w:val="TableParagraph"/>
            </w:pPr>
            <w:r w:rsidRPr="0073639F">
              <w:t>0%</w:t>
            </w:r>
          </w:p>
        </w:tc>
      </w:tr>
      <w:tr w:rsidR="00354957" w:rsidRPr="00082037" w14:paraId="5CE34A2F" w14:textId="77777777" w:rsidTr="00D94610">
        <w:trPr>
          <w:trHeight w:val="228"/>
        </w:trPr>
        <w:tc>
          <w:tcPr>
            <w:tcW w:w="3681" w:type="dxa"/>
            <w:tcMar>
              <w:top w:w="85" w:type="dxa"/>
              <w:left w:w="85" w:type="dxa"/>
              <w:bottom w:w="85" w:type="dxa"/>
              <w:right w:w="85" w:type="dxa"/>
            </w:tcMar>
          </w:tcPr>
          <w:p w14:paraId="32B998FF" w14:textId="77777777" w:rsidR="00354957" w:rsidRPr="0073639F" w:rsidRDefault="00354957" w:rsidP="007F09E7">
            <w:pPr>
              <w:pStyle w:val="TableParagraph"/>
            </w:pPr>
            <w:r w:rsidRPr="0073639F">
              <w:t>Past participants – post-release</w:t>
            </w:r>
          </w:p>
        </w:tc>
        <w:tc>
          <w:tcPr>
            <w:tcW w:w="2268" w:type="dxa"/>
            <w:tcMar>
              <w:top w:w="85" w:type="dxa"/>
              <w:left w:w="85" w:type="dxa"/>
              <w:bottom w:w="85" w:type="dxa"/>
              <w:right w:w="85" w:type="dxa"/>
            </w:tcMar>
          </w:tcPr>
          <w:p w14:paraId="152F384B" w14:textId="77777777" w:rsidR="00354957" w:rsidRPr="0073639F" w:rsidRDefault="00354957" w:rsidP="007F09E7">
            <w:pPr>
              <w:pStyle w:val="TableParagraph"/>
            </w:pPr>
            <w:r w:rsidRPr="0073639F">
              <w:t>8</w:t>
            </w:r>
          </w:p>
        </w:tc>
        <w:tc>
          <w:tcPr>
            <w:tcW w:w="2126" w:type="dxa"/>
            <w:tcMar>
              <w:top w:w="85" w:type="dxa"/>
              <w:left w:w="85" w:type="dxa"/>
              <w:bottom w:w="85" w:type="dxa"/>
              <w:right w:w="85" w:type="dxa"/>
            </w:tcMar>
          </w:tcPr>
          <w:p w14:paraId="4F8F5DED" w14:textId="77777777" w:rsidR="00354957" w:rsidRPr="0073639F" w:rsidRDefault="00354957" w:rsidP="007F09E7">
            <w:pPr>
              <w:pStyle w:val="TableParagraph"/>
            </w:pPr>
            <w:r w:rsidRPr="0073639F">
              <w:t>3</w:t>
            </w:r>
          </w:p>
        </w:tc>
        <w:tc>
          <w:tcPr>
            <w:tcW w:w="1985" w:type="dxa"/>
            <w:tcMar>
              <w:top w:w="85" w:type="dxa"/>
              <w:left w:w="85" w:type="dxa"/>
              <w:bottom w:w="85" w:type="dxa"/>
              <w:right w:w="85" w:type="dxa"/>
            </w:tcMar>
          </w:tcPr>
          <w:p w14:paraId="4A132E48" w14:textId="77777777" w:rsidR="00354957" w:rsidRPr="0073639F" w:rsidRDefault="00354957" w:rsidP="007F09E7">
            <w:pPr>
              <w:pStyle w:val="TableParagraph"/>
            </w:pPr>
            <w:r w:rsidRPr="0073639F">
              <w:t>38%</w:t>
            </w:r>
          </w:p>
        </w:tc>
      </w:tr>
    </w:tbl>
    <w:p w14:paraId="5A02A4EE" w14:textId="77777777" w:rsidR="00E23D5C" w:rsidRDefault="00E23D5C" w:rsidP="00305B4B">
      <w:pPr>
        <w:pStyle w:val="BodyText"/>
        <w:ind w:right="3"/>
      </w:pPr>
    </w:p>
    <w:p w14:paraId="16A1D899" w14:textId="48074584" w:rsidR="00354957" w:rsidRDefault="00354957" w:rsidP="00305B4B">
      <w:pPr>
        <w:pStyle w:val="BodyText"/>
        <w:ind w:right="3"/>
      </w:pPr>
      <w:r>
        <w:t xml:space="preserve">The evaluation </w:t>
      </w:r>
      <w:r w:rsidR="006529AE">
        <w:t>faced</w:t>
      </w:r>
      <w:r>
        <w:t xml:space="preserve"> limitations in interviewing current and past TWES participants:</w:t>
      </w:r>
    </w:p>
    <w:p w14:paraId="59FF3228" w14:textId="3894A213" w:rsidR="00354957" w:rsidRDefault="00354957" w:rsidP="00305B4B">
      <w:pPr>
        <w:pStyle w:val="Bulletedlist"/>
        <w:ind w:right="3"/>
      </w:pPr>
      <w:r>
        <w:t>The evaluation achieved a sample of 57 interviews with current TWES participants</w:t>
      </w:r>
      <w:r w:rsidR="006529AE">
        <w:t xml:space="preserve"> (</w:t>
      </w:r>
      <w:r w:rsidR="00DF0F62">
        <w:t>89% of target sample)</w:t>
      </w:r>
      <w:r>
        <w:t xml:space="preserve">. The target could not be reached because some participants did not </w:t>
      </w:r>
      <w:r w:rsidR="009B57DC">
        <w:t>attend</w:t>
      </w:r>
      <w:r>
        <w:t xml:space="preserve"> the scheduled interview, some declined to sign the consent form at the beginning of the meeting, and some were released from prison shortly before the scheduled trip. </w:t>
      </w:r>
    </w:p>
    <w:p w14:paraId="1E8CD8BA" w14:textId="7DDB439E" w:rsidR="00C11E4C" w:rsidRDefault="00354957" w:rsidP="00305B4B">
      <w:pPr>
        <w:pStyle w:val="Bulletedlist"/>
        <w:ind w:right="3"/>
      </w:pPr>
      <w:r>
        <w:t>Past participants who had exited TWES, but were still in prison, were too difficult to recruit to interviews, as they had disengaged from the service. None of this cohort were successfully interviewed.</w:t>
      </w:r>
    </w:p>
    <w:p w14:paraId="02A15CC9" w14:textId="6E2EC4B6" w:rsidR="00354957" w:rsidRDefault="00354957" w:rsidP="00305B4B">
      <w:pPr>
        <w:pStyle w:val="Bulletedlist"/>
        <w:ind w:right="3"/>
      </w:pPr>
      <w:r w:rsidRPr="002D2FA7">
        <w:t>Past participants who had completed TWES and had left prison were difficult to find and recruit due to logistical reasons. Three of this cohort were successfully interviewed (</w:t>
      </w:r>
      <w:r w:rsidR="00DF0F62">
        <w:t>38% of target sample</w:t>
      </w:r>
      <w:r w:rsidRPr="002D2FA7">
        <w:t>)</w:t>
      </w:r>
      <w:r w:rsidR="007433BF">
        <w:t>.</w:t>
      </w:r>
    </w:p>
    <w:p w14:paraId="0C353C54" w14:textId="77777777" w:rsidR="00D36697" w:rsidRDefault="00D36697" w:rsidP="00305B4B">
      <w:pPr>
        <w:pStyle w:val="Heading3"/>
        <w:ind w:right="3"/>
      </w:pPr>
      <w:r>
        <w:t>Data Analysis</w:t>
      </w:r>
    </w:p>
    <w:p w14:paraId="715815EA" w14:textId="77777777" w:rsidR="00D36697" w:rsidRDefault="00D36697" w:rsidP="00305B4B">
      <w:pPr>
        <w:pStyle w:val="BodyText"/>
        <w:ind w:right="3"/>
      </w:pPr>
      <w:r>
        <w:t>Data was analysed using three primary methods:</w:t>
      </w:r>
    </w:p>
    <w:p w14:paraId="5B4DA313" w14:textId="5371CA34" w:rsidR="00D36697" w:rsidRPr="004941C7" w:rsidRDefault="00D36697" w:rsidP="00305B4B">
      <w:pPr>
        <w:pStyle w:val="Bulletedlist"/>
        <w:ind w:right="3"/>
      </w:pPr>
      <w:r w:rsidRPr="00AF4B46">
        <w:rPr>
          <w:b/>
        </w:rPr>
        <w:t>Descriptive analysis of quantitative administrative data</w:t>
      </w:r>
      <w:r w:rsidRPr="004941C7">
        <w:t xml:space="preserve">: </w:t>
      </w:r>
      <w:r>
        <w:t>A</w:t>
      </w:r>
      <w:r w:rsidRPr="004941C7">
        <w:t>ggregation, analysis and calculations of means and proportions. The primary data source for this analysis is the ESS data held by NIAA and DESE</w:t>
      </w:r>
      <w:r>
        <w:t>.</w:t>
      </w:r>
      <w:r w:rsidRPr="004941C7">
        <w:t xml:space="preserve"> ESS data was compiled, de-identified and provided to the </w:t>
      </w:r>
      <w:r>
        <w:t>Evaluation Team</w:t>
      </w:r>
      <w:r w:rsidRPr="004941C7">
        <w:t xml:space="preserve"> via a secure file transfer facility. The data period analysed was from the commencement of TWES in January 2018 to 28 February 2021</w:t>
      </w:r>
      <w:r w:rsidR="00C54972">
        <w:t>.</w:t>
      </w:r>
    </w:p>
    <w:p w14:paraId="4C75ED7D" w14:textId="6F138C5D" w:rsidR="00D36697" w:rsidRPr="004941C7" w:rsidRDefault="00D36697" w:rsidP="00305B4B">
      <w:pPr>
        <w:pStyle w:val="Bulletedlist"/>
        <w:ind w:right="3"/>
        <w:rPr>
          <w:b/>
          <w:bCs/>
        </w:rPr>
      </w:pPr>
      <w:r w:rsidRPr="00AF4B46">
        <w:rPr>
          <w:b/>
        </w:rPr>
        <w:t>Statistical analysis of outcomes</w:t>
      </w:r>
      <w:r w:rsidRPr="004941C7">
        <w:t xml:space="preserve">: </w:t>
      </w:r>
      <w:r w:rsidR="0067474F">
        <w:t xml:space="preserve">Logistic </w:t>
      </w:r>
      <w:r w:rsidRPr="004941C7">
        <w:t>regression analysis</w:t>
      </w:r>
      <w:r w:rsidR="0067474F">
        <w:t xml:space="preserve"> of the employment outcomes achieved </w:t>
      </w:r>
      <w:r w:rsidR="005626C1">
        <w:t xml:space="preserve">by TWES participants, compared with a sample of non-participants. The results of this analysis were inconclusive </w:t>
      </w:r>
      <w:r w:rsidR="004A0FA2">
        <w:t>as it was not possible to construct a valid counterfactual (see next page).</w:t>
      </w:r>
    </w:p>
    <w:p w14:paraId="6324A93A" w14:textId="77777777" w:rsidR="00D36697" w:rsidRDefault="00D36697" w:rsidP="00305B4B">
      <w:pPr>
        <w:pStyle w:val="Bulletedlist"/>
        <w:ind w:right="3"/>
      </w:pPr>
      <w:r w:rsidRPr="00123F09">
        <w:rPr>
          <w:b/>
        </w:rPr>
        <w:t>Thematic analysis of qualitative data</w:t>
      </w:r>
      <w:r w:rsidRPr="004941C7">
        <w:t xml:space="preserve">: The qualitative data collected through semi-structured interviews was analysed using thematic analysis to identify patterns and common themes to help answer the evaluation questions. All interview notes were entered into an Excel table, interview responses coded and organised into categories, and common patterns identified and grouped by stakeholder type and key themes. </w:t>
      </w:r>
    </w:p>
    <w:p w14:paraId="08E3206C" w14:textId="5627031D" w:rsidR="004A0FA2" w:rsidRPr="00623B6C" w:rsidRDefault="004A0FA2" w:rsidP="00305B4B">
      <w:pPr>
        <w:pStyle w:val="BodyText"/>
        <w:ind w:right="3"/>
      </w:pPr>
      <w:r w:rsidRPr="00F06B30">
        <w:lastRenderedPageBreak/>
        <w:t xml:space="preserve">The </w:t>
      </w:r>
      <w:r w:rsidRPr="00623B6C">
        <w:t xml:space="preserve">following assumptions were made to estimate the </w:t>
      </w:r>
      <w:r w:rsidR="00F06B30" w:rsidRPr="00623B6C">
        <w:t>employment outcomes achieved by TWES participants</w:t>
      </w:r>
      <w:r w:rsidR="00B67E91">
        <w:t xml:space="preserve"> who used jobactive or CDP services after being released from prison</w:t>
      </w:r>
      <w:r w:rsidR="00F06B30" w:rsidRPr="00623B6C">
        <w:t xml:space="preserve">: </w:t>
      </w:r>
    </w:p>
    <w:p w14:paraId="7D87D9B5" w14:textId="12347C4A" w:rsidR="00A46E20" w:rsidRPr="00623B6C" w:rsidRDefault="006B4F80" w:rsidP="00305B4B">
      <w:pPr>
        <w:pStyle w:val="Bulletedlist"/>
        <w:ind w:right="3"/>
      </w:pPr>
      <w:r w:rsidRPr="00623B6C">
        <w:rPr>
          <w:b/>
          <w:bCs/>
        </w:rPr>
        <w:t>Inclusions in sample:</w:t>
      </w:r>
      <w:r w:rsidRPr="00623B6C">
        <w:t xml:space="preserve"> </w:t>
      </w:r>
      <w:r w:rsidR="00B75E0E" w:rsidRPr="00623B6C">
        <w:t xml:space="preserve">TWES participants were </w:t>
      </w:r>
      <w:r w:rsidR="00F7011B" w:rsidRPr="00623B6C">
        <w:t xml:space="preserve">included in the sample </w:t>
      </w:r>
      <w:r w:rsidR="00F0405D" w:rsidRPr="00623B6C">
        <w:t xml:space="preserve">for this analysis </w:t>
      </w:r>
      <w:r w:rsidR="00F7011B" w:rsidRPr="00623B6C">
        <w:t xml:space="preserve">if </w:t>
      </w:r>
      <w:r w:rsidR="003675C9" w:rsidRPr="00623B6C">
        <w:t>(as of 28 February 2021)</w:t>
      </w:r>
      <w:r w:rsidR="003675C9">
        <w:t xml:space="preserve"> </w:t>
      </w:r>
      <w:r w:rsidR="006E26E6" w:rsidRPr="00623B6C">
        <w:t>th</w:t>
      </w:r>
      <w:r w:rsidR="002348AD" w:rsidRPr="00623B6C">
        <w:t>e</w:t>
      </w:r>
      <w:r w:rsidR="005B0282" w:rsidRPr="00623B6C">
        <w:t xml:space="preserve">y had exited TWES, and their </w:t>
      </w:r>
      <w:r w:rsidR="002348AD" w:rsidRPr="00623B6C">
        <w:t xml:space="preserve">exit reason </w:t>
      </w:r>
      <w:r w:rsidR="00CE44AE" w:rsidRPr="00623B6C">
        <w:t>was either ‘P</w:t>
      </w:r>
      <w:r w:rsidR="002348AD" w:rsidRPr="00623B6C">
        <w:t>articipant moved to post-release employment services’</w:t>
      </w:r>
      <w:r w:rsidR="00CE44AE" w:rsidRPr="00623B6C">
        <w:t xml:space="preserve"> or</w:t>
      </w:r>
      <w:r w:rsidR="002348AD" w:rsidRPr="00623B6C">
        <w:t xml:space="preserve"> </w:t>
      </w:r>
      <w:r w:rsidR="00CE44AE" w:rsidRPr="00623B6C">
        <w:t>‘</w:t>
      </w:r>
      <w:r w:rsidR="002348AD" w:rsidRPr="00623B6C">
        <w:t>Voluntary early exit’</w:t>
      </w:r>
      <w:r w:rsidR="005E67FE" w:rsidRPr="00623B6C">
        <w:t xml:space="preserve">. Participants who had not exited the program or who exited for any other reasons (see </w:t>
      </w:r>
      <w:r w:rsidR="005E67FE" w:rsidRPr="00F64EA5">
        <w:rPr>
          <w:b/>
          <w:bCs/>
        </w:rPr>
        <w:fldChar w:fldCharType="begin"/>
      </w:r>
      <w:r w:rsidR="005E67FE" w:rsidRPr="00F64EA5">
        <w:rPr>
          <w:b/>
          <w:bCs/>
        </w:rPr>
        <w:instrText xml:space="preserve"> REF _Ref72440272 \h </w:instrText>
      </w:r>
      <w:r w:rsidR="00623B6C" w:rsidRPr="00F64EA5">
        <w:rPr>
          <w:b/>
          <w:bCs/>
        </w:rPr>
        <w:instrText xml:space="preserve"> \* MERGEFORMAT </w:instrText>
      </w:r>
      <w:r w:rsidR="005E67FE" w:rsidRPr="00F64EA5">
        <w:rPr>
          <w:b/>
          <w:bCs/>
        </w:rPr>
      </w:r>
      <w:r w:rsidR="005E67FE" w:rsidRPr="00F64EA5">
        <w:rPr>
          <w:b/>
          <w:bCs/>
        </w:rPr>
        <w:fldChar w:fldCharType="separate"/>
      </w:r>
      <w:r w:rsidR="00AE0EDD" w:rsidRPr="00AE0EDD">
        <w:rPr>
          <w:rFonts w:asciiTheme="minorHAnsi" w:hAnsiTheme="minorHAnsi" w:cstheme="minorHAnsi"/>
          <w:b/>
          <w:bCs/>
        </w:rPr>
        <w:t xml:space="preserve">Table </w:t>
      </w:r>
      <w:r w:rsidR="00AE0EDD" w:rsidRPr="00AE0EDD">
        <w:rPr>
          <w:rFonts w:asciiTheme="minorHAnsi" w:hAnsiTheme="minorHAnsi" w:cstheme="minorHAnsi"/>
          <w:b/>
          <w:bCs/>
          <w:noProof/>
        </w:rPr>
        <w:t>4</w:t>
      </w:r>
      <w:r w:rsidR="005E67FE" w:rsidRPr="00F64EA5">
        <w:rPr>
          <w:b/>
          <w:bCs/>
        </w:rPr>
        <w:fldChar w:fldCharType="end"/>
      </w:r>
      <w:r w:rsidR="005E67FE" w:rsidRPr="00623B6C">
        <w:t>) were excluded from the analysis.</w:t>
      </w:r>
    </w:p>
    <w:p w14:paraId="095A936C" w14:textId="7C7C25FB" w:rsidR="00EA60A6" w:rsidRPr="00623B6C" w:rsidRDefault="00EA60A6" w:rsidP="00305B4B">
      <w:pPr>
        <w:pStyle w:val="Bulletedlist"/>
        <w:ind w:right="3"/>
      </w:pPr>
      <w:r w:rsidRPr="00623B6C">
        <w:rPr>
          <w:b/>
          <w:bCs/>
        </w:rPr>
        <w:t>Employment programs:</w:t>
      </w:r>
      <w:r w:rsidRPr="00623B6C">
        <w:t xml:space="preserve"> Only employment outcomes achieved in jobactive or CDP programs were included.</w:t>
      </w:r>
      <w:r w:rsidR="00215AEF" w:rsidRPr="00623B6C">
        <w:t xml:space="preserve"> Other employment programs were excluded due to small sample sizes.</w:t>
      </w:r>
      <w:r w:rsidR="00E571C4" w:rsidRPr="00623B6C">
        <w:t xml:space="preserve"> </w:t>
      </w:r>
      <w:r w:rsidR="00215AEF" w:rsidRPr="00623B6C">
        <w:t xml:space="preserve">A job placement was </w:t>
      </w:r>
      <w:r w:rsidR="00E73494">
        <w:t xml:space="preserve">considered to have been </w:t>
      </w:r>
      <w:r w:rsidR="00215AEF" w:rsidRPr="00623B6C">
        <w:t>achieved if the ESS data</w:t>
      </w:r>
      <w:r w:rsidR="004C2049" w:rsidRPr="00623B6C">
        <w:t xml:space="preserve">set stated that a job placement was achieved in either jobactive or CDP. </w:t>
      </w:r>
    </w:p>
    <w:p w14:paraId="3E9A1C05" w14:textId="7571F0F4" w:rsidR="006E26E6" w:rsidRDefault="00C0696E" w:rsidP="00305B4B">
      <w:pPr>
        <w:pStyle w:val="Bulletedlist"/>
        <w:ind w:right="3"/>
      </w:pPr>
      <w:r w:rsidRPr="00623B6C">
        <w:rPr>
          <w:b/>
          <w:bCs/>
        </w:rPr>
        <w:t>Treatment of duplicates:</w:t>
      </w:r>
      <w:r w:rsidRPr="00623B6C">
        <w:t xml:space="preserve"> Where a participant had multiple interactions with jobactive and/or CDP, </w:t>
      </w:r>
      <w:r w:rsidR="00F95B77" w:rsidRPr="00623B6C">
        <w:t xml:space="preserve">the analysis used their ‘best’ employment outcome and removed the others from the analysis. For example, if a </w:t>
      </w:r>
      <w:r w:rsidR="00667A6B" w:rsidRPr="00623B6C">
        <w:t xml:space="preserve">participant used jobactive once and secured employment, but was no longer </w:t>
      </w:r>
      <w:r w:rsidR="00AF15DB" w:rsidRPr="00623B6C">
        <w:t xml:space="preserve">in employment before the 4-week mark, and then successfully used jobactive a second time to secure a job that they retained for over 26 weeks, the analysis </w:t>
      </w:r>
      <w:r w:rsidR="00623B6C" w:rsidRPr="00623B6C">
        <w:t>counted them as achieving a 26-week outcome.</w:t>
      </w:r>
    </w:p>
    <w:p w14:paraId="107D0797" w14:textId="77777777" w:rsidR="00D36697" w:rsidRDefault="00D36697" w:rsidP="00305B4B">
      <w:pPr>
        <w:pStyle w:val="Heading3"/>
        <w:ind w:right="3"/>
      </w:pPr>
      <w:r w:rsidRPr="00623B6C">
        <w:t>Ethics</w:t>
      </w:r>
      <w:r w:rsidRPr="00FF3D15">
        <w:rPr>
          <w:spacing w:val="-9"/>
        </w:rPr>
        <w:t xml:space="preserve"> </w:t>
      </w:r>
    </w:p>
    <w:p w14:paraId="2798E674" w14:textId="44653551" w:rsidR="00D36697" w:rsidRDefault="00D36697" w:rsidP="00305B4B">
      <w:pPr>
        <w:pStyle w:val="BodyText"/>
        <w:ind w:right="3"/>
      </w:pPr>
      <w:r w:rsidRPr="00FF3D15">
        <w:rPr>
          <w:spacing w:val="-1"/>
        </w:rPr>
        <w:t>This</w:t>
      </w:r>
      <w:r w:rsidRPr="00FF3D15">
        <w:rPr>
          <w:spacing w:val="-8"/>
        </w:rPr>
        <w:t xml:space="preserve"> </w:t>
      </w:r>
      <w:r>
        <w:t>evaluation</w:t>
      </w:r>
      <w:r w:rsidRPr="00FF3D15">
        <w:rPr>
          <w:spacing w:val="-8"/>
        </w:rPr>
        <w:t xml:space="preserve"> </w:t>
      </w:r>
      <w:r w:rsidRPr="00FF3D15">
        <w:rPr>
          <w:spacing w:val="-1"/>
        </w:rPr>
        <w:t>required</w:t>
      </w:r>
      <w:r w:rsidRPr="00FF3D15">
        <w:rPr>
          <w:spacing w:val="-6"/>
        </w:rPr>
        <w:t xml:space="preserve"> </w:t>
      </w:r>
      <w:r>
        <w:t>ethics</w:t>
      </w:r>
      <w:r w:rsidRPr="00FF3D15">
        <w:rPr>
          <w:spacing w:val="-7"/>
        </w:rPr>
        <w:t xml:space="preserve"> </w:t>
      </w:r>
      <w:r>
        <w:t>approval</w:t>
      </w:r>
      <w:r w:rsidRPr="00FF3D15">
        <w:rPr>
          <w:spacing w:val="-6"/>
        </w:rPr>
        <w:t xml:space="preserve"> </w:t>
      </w:r>
      <w:r w:rsidRPr="00A21B66">
        <w:t>through</w:t>
      </w:r>
      <w:r w:rsidRPr="00FF3D15">
        <w:rPr>
          <w:spacing w:val="-8"/>
        </w:rPr>
        <w:t xml:space="preserve"> </w:t>
      </w:r>
      <w:r w:rsidRPr="00A21B66">
        <w:t>a</w:t>
      </w:r>
      <w:r w:rsidRPr="00FF3D15">
        <w:rPr>
          <w:spacing w:val="-6"/>
        </w:rPr>
        <w:t xml:space="preserve"> </w:t>
      </w:r>
      <w:r w:rsidRPr="00A21B66">
        <w:t>formally</w:t>
      </w:r>
      <w:r w:rsidRPr="00FF3D15">
        <w:rPr>
          <w:spacing w:val="-8"/>
        </w:rPr>
        <w:t xml:space="preserve"> </w:t>
      </w:r>
      <w:r w:rsidRPr="00A21B66">
        <w:t>constituted</w:t>
      </w:r>
      <w:r w:rsidRPr="00FF3D15">
        <w:rPr>
          <w:spacing w:val="-8"/>
        </w:rPr>
        <w:t xml:space="preserve"> </w:t>
      </w:r>
      <w:r w:rsidRPr="00A21B66">
        <w:t>Human</w:t>
      </w:r>
      <w:r w:rsidRPr="00FF3D15">
        <w:rPr>
          <w:spacing w:val="-8"/>
        </w:rPr>
        <w:t xml:space="preserve"> </w:t>
      </w:r>
      <w:r w:rsidRPr="00A21B66">
        <w:t>Research</w:t>
      </w:r>
      <w:r w:rsidRPr="00FF3D15">
        <w:rPr>
          <w:spacing w:val="-8"/>
        </w:rPr>
        <w:t xml:space="preserve"> </w:t>
      </w:r>
      <w:r w:rsidRPr="00FF3D15">
        <w:rPr>
          <w:spacing w:val="-1"/>
        </w:rPr>
        <w:t>Ethics</w:t>
      </w:r>
      <w:r>
        <w:rPr>
          <w:spacing w:val="-1"/>
        </w:rPr>
        <w:t xml:space="preserve"> Committee</w:t>
      </w:r>
      <w:r w:rsidRPr="00FF3D15">
        <w:rPr>
          <w:spacing w:val="52"/>
          <w:w w:val="99"/>
        </w:rPr>
        <w:t xml:space="preserve"> </w:t>
      </w:r>
      <w:r w:rsidRPr="00A21B66">
        <w:t>(HREC).</w:t>
      </w:r>
      <w:r w:rsidRPr="00FF3D15">
        <w:rPr>
          <w:spacing w:val="-6"/>
        </w:rPr>
        <w:t xml:space="preserve"> </w:t>
      </w:r>
      <w:r>
        <w:t>The</w:t>
      </w:r>
      <w:r w:rsidRPr="00FF3D15">
        <w:rPr>
          <w:spacing w:val="-8"/>
        </w:rPr>
        <w:t xml:space="preserve"> </w:t>
      </w:r>
      <w:r>
        <w:t>Evaluation</w:t>
      </w:r>
      <w:r w:rsidRPr="00FF3D15">
        <w:rPr>
          <w:spacing w:val="-7"/>
        </w:rPr>
        <w:t xml:space="preserve"> </w:t>
      </w:r>
      <w:r>
        <w:t>Team</w:t>
      </w:r>
      <w:r w:rsidRPr="00FF3D15">
        <w:rPr>
          <w:spacing w:val="-8"/>
        </w:rPr>
        <w:t xml:space="preserve"> </w:t>
      </w:r>
      <w:r>
        <w:t>obtained</w:t>
      </w:r>
      <w:r w:rsidRPr="00FF3D15">
        <w:rPr>
          <w:spacing w:val="-7"/>
        </w:rPr>
        <w:t xml:space="preserve"> </w:t>
      </w:r>
      <w:r>
        <w:t>ethics</w:t>
      </w:r>
      <w:r w:rsidRPr="00FF3D15">
        <w:rPr>
          <w:spacing w:val="-7"/>
        </w:rPr>
        <w:t xml:space="preserve"> </w:t>
      </w:r>
      <w:r>
        <w:t>approval</w:t>
      </w:r>
      <w:r w:rsidRPr="00FF3D15">
        <w:rPr>
          <w:spacing w:val="-8"/>
        </w:rPr>
        <w:t xml:space="preserve"> </w:t>
      </w:r>
      <w:r>
        <w:t>for</w:t>
      </w:r>
      <w:r w:rsidRPr="00FF3D15">
        <w:rPr>
          <w:spacing w:val="-7"/>
        </w:rPr>
        <w:t xml:space="preserve"> </w:t>
      </w:r>
      <w:r>
        <w:t>this</w:t>
      </w:r>
      <w:r w:rsidRPr="00FF3D15">
        <w:rPr>
          <w:spacing w:val="-7"/>
        </w:rPr>
        <w:t xml:space="preserve"> </w:t>
      </w:r>
      <w:r>
        <w:t>Evaluation</w:t>
      </w:r>
      <w:r w:rsidRPr="00FF3D15">
        <w:rPr>
          <w:spacing w:val="-7"/>
        </w:rPr>
        <w:t xml:space="preserve"> </w:t>
      </w:r>
      <w:r>
        <w:t>from</w:t>
      </w:r>
      <w:r w:rsidRPr="00FF3D15">
        <w:rPr>
          <w:spacing w:val="-8"/>
        </w:rPr>
        <w:t xml:space="preserve"> </w:t>
      </w:r>
      <w:r>
        <w:t>the</w:t>
      </w:r>
      <w:r w:rsidRPr="00FF3D15">
        <w:rPr>
          <w:spacing w:val="30"/>
          <w:w w:val="99"/>
        </w:rPr>
        <w:t xml:space="preserve"> </w:t>
      </w:r>
      <w:r>
        <w:t>AIATSIS</w:t>
      </w:r>
      <w:r w:rsidRPr="00FF3D15">
        <w:rPr>
          <w:spacing w:val="-7"/>
        </w:rPr>
        <w:t xml:space="preserve"> </w:t>
      </w:r>
      <w:r>
        <w:t>HREC</w:t>
      </w:r>
      <w:r w:rsidRPr="00FF3D15">
        <w:rPr>
          <w:spacing w:val="-4"/>
        </w:rPr>
        <w:t xml:space="preserve"> </w:t>
      </w:r>
      <w:r w:rsidRPr="00FF3D15">
        <w:rPr>
          <w:spacing w:val="-1"/>
        </w:rPr>
        <w:t>in</w:t>
      </w:r>
      <w:r w:rsidRPr="00FF3D15">
        <w:rPr>
          <w:spacing w:val="-5"/>
        </w:rPr>
        <w:t xml:space="preserve"> </w:t>
      </w:r>
      <w:r>
        <w:t>August</w:t>
      </w:r>
      <w:r w:rsidRPr="00FF3D15">
        <w:rPr>
          <w:spacing w:val="-7"/>
        </w:rPr>
        <w:t xml:space="preserve"> </w:t>
      </w:r>
      <w:r w:rsidRPr="00FF3D15">
        <w:rPr>
          <w:spacing w:val="-1"/>
        </w:rPr>
        <w:t>2020.</w:t>
      </w:r>
      <w:r w:rsidRPr="00FF3D15">
        <w:rPr>
          <w:spacing w:val="-5"/>
        </w:rPr>
        <w:t xml:space="preserve"> </w:t>
      </w:r>
      <w:r>
        <w:t>The</w:t>
      </w:r>
      <w:r w:rsidRPr="00FF3D15">
        <w:rPr>
          <w:spacing w:val="-7"/>
        </w:rPr>
        <w:t xml:space="preserve"> </w:t>
      </w:r>
      <w:r w:rsidR="00467A51">
        <w:rPr>
          <w:spacing w:val="-1"/>
        </w:rPr>
        <w:t>corrections</w:t>
      </w:r>
      <w:r w:rsidRPr="00FF3D15">
        <w:rPr>
          <w:spacing w:val="-6"/>
        </w:rPr>
        <w:t xml:space="preserve"> </w:t>
      </w:r>
      <w:r>
        <w:t>departments</w:t>
      </w:r>
      <w:r w:rsidRPr="00FF3D15">
        <w:rPr>
          <w:spacing w:val="-5"/>
        </w:rPr>
        <w:t xml:space="preserve"> </w:t>
      </w:r>
      <w:r>
        <w:t xml:space="preserve">of </w:t>
      </w:r>
      <w:r w:rsidRPr="00FF3D15">
        <w:rPr>
          <w:spacing w:val="-1"/>
        </w:rPr>
        <w:t>WA</w:t>
      </w:r>
      <w:r w:rsidRPr="00FF3D15">
        <w:rPr>
          <w:spacing w:val="-5"/>
        </w:rPr>
        <w:t xml:space="preserve"> </w:t>
      </w:r>
      <w:r w:rsidRPr="00FF3D15">
        <w:rPr>
          <w:spacing w:val="-1"/>
        </w:rPr>
        <w:t>and</w:t>
      </w:r>
      <w:r w:rsidRPr="00FF3D15">
        <w:rPr>
          <w:spacing w:val="-7"/>
        </w:rPr>
        <w:t xml:space="preserve"> </w:t>
      </w:r>
      <w:r>
        <w:t>QLD</w:t>
      </w:r>
      <w:r w:rsidRPr="00FF3D15">
        <w:rPr>
          <w:spacing w:val="-6"/>
        </w:rPr>
        <w:t xml:space="preserve"> </w:t>
      </w:r>
      <w:r>
        <w:t>required approval</w:t>
      </w:r>
      <w:r w:rsidRPr="00FF3D15">
        <w:rPr>
          <w:spacing w:val="-9"/>
        </w:rPr>
        <w:t xml:space="preserve"> </w:t>
      </w:r>
      <w:r w:rsidRPr="00FF3D15">
        <w:rPr>
          <w:spacing w:val="-1"/>
        </w:rPr>
        <w:t>for</w:t>
      </w:r>
      <w:r w:rsidRPr="00FF3D15">
        <w:rPr>
          <w:spacing w:val="-7"/>
        </w:rPr>
        <w:t xml:space="preserve"> </w:t>
      </w:r>
      <w:r>
        <w:t>the</w:t>
      </w:r>
      <w:r w:rsidRPr="00FF3D15">
        <w:rPr>
          <w:spacing w:val="-7"/>
        </w:rPr>
        <w:t xml:space="preserve"> </w:t>
      </w:r>
      <w:r>
        <w:t>evaluation’s</w:t>
      </w:r>
      <w:r w:rsidRPr="00FF3D15">
        <w:rPr>
          <w:spacing w:val="-6"/>
        </w:rPr>
        <w:t xml:space="preserve"> </w:t>
      </w:r>
      <w:r w:rsidRPr="00FF3D15">
        <w:rPr>
          <w:spacing w:val="-1"/>
        </w:rPr>
        <w:t>stakeholder</w:t>
      </w:r>
      <w:r w:rsidRPr="00FF3D15">
        <w:rPr>
          <w:spacing w:val="-7"/>
        </w:rPr>
        <w:t xml:space="preserve"> </w:t>
      </w:r>
      <w:r>
        <w:t>consultation,</w:t>
      </w:r>
      <w:r w:rsidRPr="00FF3D15">
        <w:rPr>
          <w:spacing w:val="-6"/>
        </w:rPr>
        <w:t xml:space="preserve"> </w:t>
      </w:r>
      <w:r w:rsidRPr="00FF3D15">
        <w:rPr>
          <w:spacing w:val="-1"/>
        </w:rPr>
        <w:t>which</w:t>
      </w:r>
      <w:r w:rsidRPr="00FF3D15">
        <w:rPr>
          <w:spacing w:val="-8"/>
        </w:rPr>
        <w:t xml:space="preserve"> </w:t>
      </w:r>
      <w:r>
        <w:t>was obtained</w:t>
      </w:r>
      <w:r w:rsidRPr="00FF3D15">
        <w:rPr>
          <w:spacing w:val="-6"/>
        </w:rPr>
        <w:t xml:space="preserve"> </w:t>
      </w:r>
      <w:r w:rsidRPr="00FF3D15">
        <w:rPr>
          <w:spacing w:val="-1"/>
        </w:rPr>
        <w:t>in</w:t>
      </w:r>
      <w:r w:rsidRPr="00FF3D15">
        <w:rPr>
          <w:spacing w:val="-5"/>
        </w:rPr>
        <w:t xml:space="preserve"> </w:t>
      </w:r>
      <w:r w:rsidRPr="00FF3D15">
        <w:rPr>
          <w:spacing w:val="-1"/>
        </w:rPr>
        <w:t>September</w:t>
      </w:r>
      <w:r w:rsidRPr="00FF3D15">
        <w:rPr>
          <w:spacing w:val="-5"/>
        </w:rPr>
        <w:t xml:space="preserve"> </w:t>
      </w:r>
      <w:r w:rsidRPr="00FF3D15">
        <w:rPr>
          <w:spacing w:val="-1"/>
        </w:rPr>
        <w:t>and</w:t>
      </w:r>
      <w:r>
        <w:rPr>
          <w:spacing w:val="-1"/>
        </w:rPr>
        <w:t xml:space="preserve"> December</w:t>
      </w:r>
      <w:r w:rsidRPr="00FF3D15">
        <w:rPr>
          <w:spacing w:val="-7"/>
        </w:rPr>
        <w:t xml:space="preserve"> </w:t>
      </w:r>
      <w:r>
        <w:t>2020.</w:t>
      </w:r>
      <w:r w:rsidRPr="00FF3D15">
        <w:rPr>
          <w:spacing w:val="-6"/>
        </w:rPr>
        <w:t xml:space="preserve"> </w:t>
      </w:r>
      <w:r>
        <w:t>The</w:t>
      </w:r>
      <w:r w:rsidRPr="00FF3D15">
        <w:rPr>
          <w:spacing w:val="-6"/>
        </w:rPr>
        <w:t xml:space="preserve"> </w:t>
      </w:r>
      <w:r w:rsidR="00786CEE">
        <w:rPr>
          <w:spacing w:val="-6"/>
        </w:rPr>
        <w:t xml:space="preserve">jurisdictions </w:t>
      </w:r>
      <w:r>
        <w:t>of</w:t>
      </w:r>
      <w:r w:rsidRPr="00FF3D15">
        <w:rPr>
          <w:spacing w:val="-6"/>
        </w:rPr>
        <w:t xml:space="preserve"> </w:t>
      </w:r>
      <w:r>
        <w:t>NSW</w:t>
      </w:r>
      <w:r w:rsidRPr="00FF3D15">
        <w:rPr>
          <w:spacing w:val="-6"/>
        </w:rPr>
        <w:t xml:space="preserve"> </w:t>
      </w:r>
      <w:r>
        <w:t>and</w:t>
      </w:r>
      <w:r w:rsidRPr="00FF3D15">
        <w:rPr>
          <w:spacing w:val="-6"/>
        </w:rPr>
        <w:t xml:space="preserve"> </w:t>
      </w:r>
      <w:r>
        <w:t>NT</w:t>
      </w:r>
      <w:r w:rsidRPr="00FF3D15">
        <w:rPr>
          <w:spacing w:val="-3"/>
        </w:rPr>
        <w:t xml:space="preserve"> </w:t>
      </w:r>
      <w:r>
        <w:t>did</w:t>
      </w:r>
      <w:r w:rsidRPr="00FF3D15">
        <w:rPr>
          <w:spacing w:val="-6"/>
        </w:rPr>
        <w:t xml:space="preserve"> </w:t>
      </w:r>
      <w:r>
        <w:t>not</w:t>
      </w:r>
      <w:r w:rsidRPr="00FF3D15">
        <w:rPr>
          <w:spacing w:val="-6"/>
        </w:rPr>
        <w:t xml:space="preserve"> </w:t>
      </w:r>
      <w:r w:rsidRPr="00FF3D15">
        <w:rPr>
          <w:spacing w:val="-1"/>
        </w:rPr>
        <w:t>require</w:t>
      </w:r>
      <w:r w:rsidRPr="00FF3D15">
        <w:rPr>
          <w:spacing w:val="-5"/>
        </w:rPr>
        <w:t xml:space="preserve"> </w:t>
      </w:r>
      <w:r>
        <w:t>approvals.</w:t>
      </w:r>
    </w:p>
    <w:p w14:paraId="2FCDA544" w14:textId="77777777" w:rsidR="00D36697" w:rsidRPr="00BF2E6D" w:rsidRDefault="00D36697" w:rsidP="00305B4B">
      <w:pPr>
        <w:pStyle w:val="Heading3"/>
        <w:ind w:right="3"/>
      </w:pPr>
      <w:r w:rsidRPr="00BF2E6D">
        <w:t xml:space="preserve">Limitations </w:t>
      </w:r>
    </w:p>
    <w:p w14:paraId="7F49F339" w14:textId="292AD099" w:rsidR="00D36697" w:rsidRDefault="00D36697" w:rsidP="00305B4B">
      <w:pPr>
        <w:pStyle w:val="BodyText"/>
        <w:ind w:right="3"/>
      </w:pPr>
      <w:r>
        <w:t>The findings of the TWES Evaluation should be considered in the context of the following limitations</w:t>
      </w:r>
      <w:r w:rsidR="00A87BA1">
        <w:t>:</w:t>
      </w:r>
    </w:p>
    <w:p w14:paraId="5304C386" w14:textId="60151280" w:rsidR="00D36697" w:rsidRPr="00567C17" w:rsidRDefault="00D36697" w:rsidP="00305B4B">
      <w:pPr>
        <w:pStyle w:val="Bulletedlist"/>
        <w:ind w:right="3"/>
      </w:pPr>
      <w:r w:rsidRPr="00FC60B5">
        <w:rPr>
          <w:b/>
        </w:rPr>
        <w:t>COVID-19</w:t>
      </w:r>
      <w:r w:rsidR="00C752A8">
        <w:rPr>
          <w:b/>
        </w:rPr>
        <w:t xml:space="preserve">: </w:t>
      </w:r>
      <w:r w:rsidR="00C752A8" w:rsidRPr="00C752A8">
        <w:rPr>
          <w:bCs/>
        </w:rPr>
        <w:t>COVID-19</w:t>
      </w:r>
      <w:r w:rsidR="00C752A8">
        <w:rPr>
          <w:b/>
        </w:rPr>
        <w:t xml:space="preserve"> </w:t>
      </w:r>
      <w:r w:rsidRPr="00567C17">
        <w:t xml:space="preserve">had an impact on </w:t>
      </w:r>
      <w:r w:rsidR="00454040">
        <w:t xml:space="preserve">the </w:t>
      </w:r>
      <w:r>
        <w:t xml:space="preserve">capacity to collect </w:t>
      </w:r>
      <w:r w:rsidRPr="00567C17">
        <w:t xml:space="preserve">data </w:t>
      </w:r>
      <w:r>
        <w:t>(</w:t>
      </w:r>
      <w:r w:rsidR="006553ED">
        <w:t>s</w:t>
      </w:r>
      <w:r>
        <w:t xml:space="preserve">ee </w:t>
      </w:r>
      <w:r w:rsidR="006553ED">
        <w:t>next page</w:t>
      </w:r>
      <w:r>
        <w:t>)</w:t>
      </w:r>
      <w:r w:rsidR="00C54972">
        <w:t>.</w:t>
      </w:r>
    </w:p>
    <w:p w14:paraId="78CDC238" w14:textId="67F0223C" w:rsidR="00D36697" w:rsidRPr="000512AE" w:rsidRDefault="00D36697" w:rsidP="00305B4B">
      <w:pPr>
        <w:pStyle w:val="Bulletedlist"/>
        <w:ind w:right="3"/>
        <w:rPr>
          <w:b/>
        </w:rPr>
      </w:pPr>
      <w:r w:rsidRPr="00FC60B5">
        <w:rPr>
          <w:b/>
        </w:rPr>
        <w:t xml:space="preserve">Self-disclosure: </w:t>
      </w:r>
      <w:r w:rsidR="00C752A8" w:rsidRPr="00A87BA1">
        <w:rPr>
          <w:bCs/>
        </w:rPr>
        <w:t>I</w:t>
      </w:r>
      <w:r w:rsidRPr="00A87BA1">
        <w:rPr>
          <w:bCs/>
        </w:rPr>
        <w:t>nt</w:t>
      </w:r>
      <w:r w:rsidRPr="00567C17">
        <w:t>erviews relied on stakeholders and TWES participants to accurately self-disclose their perspectives on TWES, or their experiences or challenges with the program. The Evaluation Team were mindful of helping interviewees feel comfortable, but self-disclosure is always voluntary</w:t>
      </w:r>
      <w:r w:rsidR="00C54972">
        <w:t>.</w:t>
      </w:r>
      <w:r w:rsidR="00C47675" w:rsidRPr="00C47675">
        <w:t xml:space="preserve"> Despite the Evaluation Team’s expertise and efforts to help TWES participants feel comfortable to discuss the </w:t>
      </w:r>
      <w:r w:rsidR="00C47675">
        <w:t>service</w:t>
      </w:r>
      <w:r w:rsidR="00C47675" w:rsidRPr="00C47675">
        <w:t>, some participants did not engage extensively in interviews</w:t>
      </w:r>
      <w:r w:rsidR="00616EC5">
        <w:t>. This</w:t>
      </w:r>
      <w:r w:rsidR="00C47675" w:rsidRPr="00C47675">
        <w:t xml:space="preserve"> could have been due to shame or shyness, a lack of relationship with the Evaluation Team (as it was a one-off conversation), language barriers, or a lack of trust in the prison system, and therefore the nature of the interview.</w:t>
      </w:r>
      <w:r w:rsidR="00EB66CA">
        <w:t xml:space="preserve"> </w:t>
      </w:r>
      <w:r w:rsidR="00616EC5">
        <w:t>However, i</w:t>
      </w:r>
      <w:r w:rsidR="00EB66CA">
        <w:t>n</w:t>
      </w:r>
      <w:r w:rsidR="00A77BA5">
        <w:t>formation gathered was sufficient to answer the evaluation questions alongside other d</w:t>
      </w:r>
      <w:r w:rsidR="000779B3">
        <w:t>ata sources</w:t>
      </w:r>
      <w:r w:rsidR="00A77BA5">
        <w:t>.</w:t>
      </w:r>
    </w:p>
    <w:p w14:paraId="08A0D6AF" w14:textId="5E48E854" w:rsidR="00D36697" w:rsidRPr="005C1302" w:rsidRDefault="00D36697" w:rsidP="00305B4B">
      <w:pPr>
        <w:pStyle w:val="Bulletedlist"/>
        <w:ind w:right="3"/>
      </w:pPr>
      <w:r w:rsidRPr="000512AE">
        <w:rPr>
          <w:b/>
        </w:rPr>
        <w:t>Semi-structured interviews</w:t>
      </w:r>
      <w:r w:rsidRPr="00663C30">
        <w:rPr>
          <w:b/>
          <w:bCs/>
        </w:rPr>
        <w:t>:</w:t>
      </w:r>
      <w:r w:rsidRPr="005C1302">
        <w:t xml:space="preserve"> </w:t>
      </w:r>
      <w:r w:rsidR="00C752A8">
        <w:t>S</w:t>
      </w:r>
      <w:r w:rsidRPr="005C1302">
        <w:t xml:space="preserve">emi-structured interviews allowed the </w:t>
      </w:r>
      <w:r>
        <w:t>Evaluation Team</w:t>
      </w:r>
      <w:r w:rsidRPr="005C1302">
        <w:t xml:space="preserve"> to gather information using a guide of key questions, while leaving space to explore unexpected themes or issues that emerge. The limitation of this approach is that with limited time (usually one hour for stakeholders, and 45 minutes for TWES participants)</w:t>
      </w:r>
      <w:r w:rsidR="000779B3">
        <w:t xml:space="preserve">, it is </w:t>
      </w:r>
      <w:r w:rsidR="0089131D">
        <w:t xml:space="preserve">not always possible or appropriate to answer every single interview question with every interviewee. </w:t>
      </w:r>
      <w:r w:rsidR="00393E8E">
        <w:t xml:space="preserve">There are therefore some gaps in data. </w:t>
      </w:r>
    </w:p>
    <w:p w14:paraId="6C08F604" w14:textId="563AB68D" w:rsidR="00D36697" w:rsidRDefault="00D36697" w:rsidP="00305B4B">
      <w:pPr>
        <w:pStyle w:val="Bulletedlist"/>
        <w:ind w:right="3"/>
      </w:pPr>
      <w:r w:rsidRPr="000512AE">
        <w:rPr>
          <w:b/>
        </w:rPr>
        <w:lastRenderedPageBreak/>
        <w:t xml:space="preserve">Recruiting past participants to </w:t>
      </w:r>
      <w:r w:rsidRPr="00663C30">
        <w:rPr>
          <w:b/>
        </w:rPr>
        <w:t>interviews:</w:t>
      </w:r>
      <w:r w:rsidRPr="005C1302">
        <w:t xml:space="preserve"> The evaluation faced challenges in recruiting past TWES participants for interviews, for some of the same reasons that TWES </w:t>
      </w:r>
      <w:r w:rsidR="00BC1946">
        <w:t>p</w:t>
      </w:r>
      <w:r w:rsidR="00BC1946" w:rsidRPr="005C1302">
        <w:t xml:space="preserve">roviders </w:t>
      </w:r>
      <w:r w:rsidRPr="005C1302">
        <w:t>struggle to follow participants after they leave prison – individuals were hard to contact and reluctant to speak. Three past participants were interviewed, out of a target sample of eight</w:t>
      </w:r>
      <w:r w:rsidR="00C54972">
        <w:t>.</w:t>
      </w:r>
    </w:p>
    <w:p w14:paraId="57D4AC13" w14:textId="6D410084" w:rsidR="00D3441B" w:rsidRDefault="00BB3D38" w:rsidP="00305B4B">
      <w:pPr>
        <w:pStyle w:val="Bulletedlist"/>
        <w:ind w:right="3"/>
      </w:pPr>
      <w:r>
        <w:rPr>
          <w:b/>
        </w:rPr>
        <w:t xml:space="preserve">TWES </w:t>
      </w:r>
      <w:r w:rsidR="00467A51">
        <w:rPr>
          <w:b/>
        </w:rPr>
        <w:t>provider</w:t>
      </w:r>
      <w:r>
        <w:rPr>
          <w:b/>
        </w:rPr>
        <w:t xml:space="preserve"> c</w:t>
      </w:r>
      <w:r w:rsidR="00D3441B">
        <w:rPr>
          <w:b/>
        </w:rPr>
        <w:t xml:space="preserve">ultural </w:t>
      </w:r>
      <w:r>
        <w:rPr>
          <w:b/>
        </w:rPr>
        <w:t>competency:</w:t>
      </w:r>
      <w:r>
        <w:rPr>
          <w:bCs/>
        </w:rPr>
        <w:t xml:space="preserve"> The evaluation methods did </w:t>
      </w:r>
      <w:r>
        <w:t xml:space="preserve">not include a review of TWES </w:t>
      </w:r>
      <w:r w:rsidR="00BC1946">
        <w:t xml:space="preserve">providers’ </w:t>
      </w:r>
      <w:r>
        <w:t xml:space="preserve">cultural </w:t>
      </w:r>
      <w:r w:rsidR="00663C30">
        <w:t xml:space="preserve">competency </w:t>
      </w:r>
      <w:r w:rsidRPr="00FF3D15">
        <w:rPr>
          <w:spacing w:val="-1"/>
        </w:rPr>
        <w:t>policies</w:t>
      </w:r>
      <w:r w:rsidRPr="00FF3D15">
        <w:rPr>
          <w:spacing w:val="-6"/>
        </w:rPr>
        <w:t xml:space="preserve"> </w:t>
      </w:r>
      <w:r>
        <w:t>or</w:t>
      </w:r>
      <w:r w:rsidRPr="00FF3D15">
        <w:rPr>
          <w:spacing w:val="-5"/>
        </w:rPr>
        <w:t xml:space="preserve"> </w:t>
      </w:r>
      <w:r>
        <w:t xml:space="preserve">procedures. </w:t>
      </w:r>
      <w:r w:rsidR="00BE0BC6">
        <w:t xml:space="preserve">Evaluating the extent to which TWES </w:t>
      </w:r>
      <w:r w:rsidR="00BC1946">
        <w:t xml:space="preserve">providers </w:t>
      </w:r>
      <w:r w:rsidR="00BE0BC6">
        <w:t>delivered the service with cultural competency</w:t>
      </w:r>
      <w:r w:rsidR="00E553B3">
        <w:t xml:space="preserve"> therefore relied on</w:t>
      </w:r>
      <w:r w:rsidR="00C25613">
        <w:t xml:space="preserve"> using</w:t>
      </w:r>
      <w:r w:rsidR="00E553B3">
        <w:t xml:space="preserve"> semi-structured interviews with </w:t>
      </w:r>
      <w:r w:rsidR="00C25613">
        <w:t xml:space="preserve">program stakeholders </w:t>
      </w:r>
      <w:r w:rsidR="00E553B3">
        <w:t xml:space="preserve">and </w:t>
      </w:r>
      <w:r w:rsidR="00C25613">
        <w:t xml:space="preserve">TWES </w:t>
      </w:r>
      <w:r w:rsidR="00E553B3">
        <w:t xml:space="preserve">participants. </w:t>
      </w:r>
    </w:p>
    <w:p w14:paraId="1DA0A762" w14:textId="1027E146" w:rsidR="00523E5E" w:rsidRPr="005C1302" w:rsidRDefault="00523E5E" w:rsidP="00305B4B">
      <w:pPr>
        <w:pStyle w:val="Bulletedlist"/>
        <w:ind w:right="3"/>
      </w:pPr>
      <w:r w:rsidRPr="0030517B">
        <w:rPr>
          <w:b/>
          <w:bCs/>
        </w:rPr>
        <w:t>Value for money:</w:t>
      </w:r>
      <w:r>
        <w:t xml:space="preserve"> </w:t>
      </w:r>
      <w:r w:rsidR="00120452">
        <w:t xml:space="preserve">The </w:t>
      </w:r>
      <w:r w:rsidR="0097199B">
        <w:t>evaluation did not attempt to assess the extent to which TWES represent</w:t>
      </w:r>
      <w:r w:rsidR="00551BB0">
        <w:t>ed</w:t>
      </w:r>
      <w:r w:rsidR="0097199B">
        <w:t xml:space="preserve"> value for money. During the development of the TWES Evaluation Strategy</w:t>
      </w:r>
      <w:r w:rsidR="00716E8C">
        <w:t xml:space="preserve"> </w:t>
      </w:r>
      <w:r w:rsidR="0089421F">
        <w:t>with NIAA and DESE</w:t>
      </w:r>
      <w:r w:rsidR="00716E8C">
        <w:t>, the decision was made to exclude an evaluation sub-question about whether TWES represented value for money</w:t>
      </w:r>
      <w:r w:rsidR="00E4480F">
        <w:t xml:space="preserve">. This decision was made </w:t>
      </w:r>
      <w:r w:rsidR="00551BB0">
        <w:t>because it would be too difficult to meaningfully compare the cost of TWES against a</w:t>
      </w:r>
      <w:r w:rsidR="002C6738">
        <w:t xml:space="preserve"> valid benchmark or comparison program</w:t>
      </w:r>
      <w:r w:rsidR="0030517B">
        <w:t xml:space="preserve">. </w:t>
      </w:r>
      <w:r w:rsidR="00E36DBC">
        <w:t xml:space="preserve">Furthermore, it was not possible to </w:t>
      </w:r>
      <w:r w:rsidR="008813C7">
        <w:t xml:space="preserve">collect data from </w:t>
      </w:r>
      <w:r w:rsidR="00BC1946">
        <w:t xml:space="preserve">providers </w:t>
      </w:r>
      <w:r w:rsidR="008813C7">
        <w:t xml:space="preserve">about their </w:t>
      </w:r>
      <w:r w:rsidR="00735DA8">
        <w:t xml:space="preserve">overhead and delivery costs to </w:t>
      </w:r>
      <w:r w:rsidR="00E36DBC">
        <w:t xml:space="preserve">compare value for money within the program (i.e. comparing TWES </w:t>
      </w:r>
      <w:r w:rsidR="00BC1946">
        <w:t>providers</w:t>
      </w:r>
      <w:r w:rsidR="00E36DBC">
        <w:t>)</w:t>
      </w:r>
      <w:r w:rsidR="00735DA8">
        <w:t>.</w:t>
      </w:r>
    </w:p>
    <w:p w14:paraId="2ED2E2D4" w14:textId="374F9B39" w:rsidR="00D36697" w:rsidRPr="004A0FA2" w:rsidRDefault="00D36697" w:rsidP="00305B4B">
      <w:pPr>
        <w:pStyle w:val="Bulletedlist"/>
        <w:ind w:right="3"/>
        <w:rPr>
          <w:rFonts w:asciiTheme="majorHAnsi" w:hAnsiTheme="majorHAnsi" w:cstheme="majorHAnsi"/>
        </w:rPr>
      </w:pPr>
      <w:r w:rsidRPr="00FC60B5">
        <w:rPr>
          <w:b/>
        </w:rPr>
        <w:t>Limitations in administrative data</w:t>
      </w:r>
      <w:r w:rsidRPr="005C1302">
        <w:t xml:space="preserve">: </w:t>
      </w:r>
      <w:r>
        <w:t>ESS data was affected by a number of limitations, including data on exit reasons and JSCI result</w:t>
      </w:r>
      <w:r w:rsidRPr="004A0FA2">
        <w:rPr>
          <w:rFonts w:asciiTheme="majorHAnsi" w:hAnsiTheme="majorHAnsi" w:cstheme="majorHAnsi"/>
        </w:rPr>
        <w:t xml:space="preserve">s. </w:t>
      </w:r>
    </w:p>
    <w:p w14:paraId="0402A64A" w14:textId="06856F19" w:rsidR="00F755F2" w:rsidRPr="00CF3A6D" w:rsidRDefault="00EA0F0A" w:rsidP="00305B4B">
      <w:pPr>
        <w:pStyle w:val="Bulletedlist"/>
        <w:ind w:right="3"/>
        <w:rPr>
          <w:b/>
        </w:rPr>
      </w:pPr>
      <w:r>
        <w:rPr>
          <w:b/>
        </w:rPr>
        <w:t>Valid c</w:t>
      </w:r>
      <w:r w:rsidR="00F755F2">
        <w:rPr>
          <w:b/>
        </w:rPr>
        <w:t>ounterfactual</w:t>
      </w:r>
      <w:r>
        <w:rPr>
          <w:b/>
        </w:rPr>
        <w:t>:</w:t>
      </w:r>
      <w:r>
        <w:t xml:space="preserve"> The evaluation </w:t>
      </w:r>
      <w:r w:rsidR="003B153A">
        <w:t xml:space="preserve">aimed to </w:t>
      </w:r>
      <w:r w:rsidR="001C1720">
        <w:t xml:space="preserve">compare the </w:t>
      </w:r>
      <w:r w:rsidR="002D1598">
        <w:t xml:space="preserve">outcomes </w:t>
      </w:r>
      <w:r w:rsidR="001C1720">
        <w:t xml:space="preserve">achieved by TWES against a counterfactual </w:t>
      </w:r>
      <w:r w:rsidR="00865A30">
        <w:t xml:space="preserve">scenario in which </w:t>
      </w:r>
      <w:r w:rsidR="00E744D6">
        <w:t xml:space="preserve">individuals did not participate in the service. </w:t>
      </w:r>
      <w:r w:rsidR="00085B12">
        <w:t>To do this, t</w:t>
      </w:r>
      <w:r w:rsidR="00E744D6" w:rsidRPr="00EB7390">
        <w:t xml:space="preserve">he evaluation attempted to </w:t>
      </w:r>
      <w:r w:rsidR="00E744D6">
        <w:t>compare employment outcomes achieved by TWES participants after they le</w:t>
      </w:r>
      <w:r w:rsidR="005067F1">
        <w:t>ft</w:t>
      </w:r>
      <w:r w:rsidR="00E744D6">
        <w:t xml:space="preserve"> prison, with employment outcomes achieved by a sample of </w:t>
      </w:r>
      <w:r w:rsidR="009910C8">
        <w:t xml:space="preserve">non-participants (who identified as ex-offenders and as Aboriginal and/or Torres Strait Islander), using administrative </w:t>
      </w:r>
      <w:r w:rsidR="00E744D6" w:rsidRPr="00EB7390">
        <w:t xml:space="preserve">data from the ESS </w:t>
      </w:r>
      <w:r w:rsidR="002765AC">
        <w:t>database</w:t>
      </w:r>
      <w:r w:rsidR="00E744D6" w:rsidRPr="00EB7390">
        <w:t>. However, the results of this analysis were inconclusive</w:t>
      </w:r>
      <w:r w:rsidR="00011954">
        <w:t xml:space="preserve"> as this dataset was insufficient to create a valid comparison group</w:t>
      </w:r>
      <w:r w:rsidR="00095F09">
        <w:t xml:space="preserve">. </w:t>
      </w:r>
      <w:r w:rsidR="002765AC">
        <w:t xml:space="preserve">A valid comparison group would require </w:t>
      </w:r>
      <w:r w:rsidR="00BE2670">
        <w:t xml:space="preserve">data on independent variables </w:t>
      </w:r>
      <w:r w:rsidR="004A0367">
        <w:t>including</w:t>
      </w:r>
      <w:r w:rsidR="00BE2670">
        <w:t xml:space="preserve"> participants and non-participants’ sentencing history</w:t>
      </w:r>
      <w:r w:rsidR="00E36028">
        <w:t>,</w:t>
      </w:r>
      <w:r w:rsidR="00BE2670">
        <w:t xml:space="preserve"> release dates</w:t>
      </w:r>
      <w:r w:rsidR="00614B22">
        <w:t xml:space="preserve"> and other factors</w:t>
      </w:r>
      <w:r w:rsidR="005067F1">
        <w:t>. This data</w:t>
      </w:r>
      <w:r w:rsidR="00614B22">
        <w:t xml:space="preserve"> is held by </w:t>
      </w:r>
      <w:r w:rsidR="00B63B84">
        <w:t>state</w:t>
      </w:r>
      <w:r w:rsidR="00614B22">
        <w:t>/</w:t>
      </w:r>
      <w:r w:rsidR="00B63B84">
        <w:t xml:space="preserve">territory </w:t>
      </w:r>
      <w:r w:rsidR="00614B22">
        <w:t xml:space="preserve">departments of justice or corrections and </w:t>
      </w:r>
      <w:r w:rsidR="004A0367">
        <w:t xml:space="preserve">is </w:t>
      </w:r>
      <w:r w:rsidR="00614B22">
        <w:t xml:space="preserve">not available on ESS. </w:t>
      </w:r>
    </w:p>
    <w:p w14:paraId="6B549DBA" w14:textId="480AD253" w:rsidR="00D36697" w:rsidRPr="00BF2E6D" w:rsidRDefault="00D36697" w:rsidP="00305B4B">
      <w:pPr>
        <w:pStyle w:val="Heading3"/>
        <w:ind w:right="3"/>
      </w:pPr>
      <w:r w:rsidRPr="00BF2E6D">
        <w:t xml:space="preserve">Impact of COVID-19 on the </w:t>
      </w:r>
      <w:r w:rsidR="00B51013">
        <w:t>E</w:t>
      </w:r>
      <w:r w:rsidRPr="00BF2E6D">
        <w:t>valuation</w:t>
      </w:r>
    </w:p>
    <w:p w14:paraId="2833EA0C" w14:textId="2FF61895" w:rsidR="00D36697" w:rsidRDefault="00D36697" w:rsidP="00305B4B">
      <w:pPr>
        <w:pStyle w:val="BodyText"/>
        <w:ind w:right="3"/>
      </w:pPr>
      <w:r>
        <w:t xml:space="preserve">COVID-19 had a significant impact on the delivery of TWES and the evaluation. Changes in the timeframe and plan for the evaluation included: </w:t>
      </w:r>
    </w:p>
    <w:p w14:paraId="6AA6A367" w14:textId="79735860" w:rsidR="00D36697" w:rsidRDefault="00D36697" w:rsidP="00305B4B">
      <w:pPr>
        <w:pStyle w:val="Bulletedlist"/>
        <w:ind w:right="3"/>
      </w:pPr>
      <w:r>
        <w:t>Ethics approvals were delayed as AIATSIS and QLD Corrective Services extended their timeframes or stopped reviewing ethics applications for a period</w:t>
      </w:r>
      <w:r w:rsidR="00C54972">
        <w:t>.</w:t>
      </w:r>
    </w:p>
    <w:p w14:paraId="15D7867B" w14:textId="4858E27C" w:rsidR="00D36697" w:rsidRDefault="00D36697" w:rsidP="00305B4B">
      <w:pPr>
        <w:pStyle w:val="Bulletedlist"/>
        <w:ind w:right="3"/>
      </w:pPr>
      <w:r>
        <w:t xml:space="preserve">Restrictions on </w:t>
      </w:r>
      <w:r w:rsidR="005235B6">
        <w:t xml:space="preserve">travel across state/territory borders </w:t>
      </w:r>
      <w:r>
        <w:t xml:space="preserve">meant that SVA had to subcontract 3 new team members in NT, WA and QLD to ensure </w:t>
      </w:r>
      <w:r w:rsidR="00F0358F">
        <w:t>that</w:t>
      </w:r>
      <w:r>
        <w:t xml:space="preserve"> there was a team of two opposite gendered, Aboriginal or Torres Strait Islander researchers in each jurisdiction</w:t>
      </w:r>
      <w:r w:rsidR="00C54972">
        <w:t>.</w:t>
      </w:r>
    </w:p>
    <w:p w14:paraId="084ECAEB" w14:textId="30344054" w:rsidR="00D36697" w:rsidRDefault="00D36697" w:rsidP="00305B4B">
      <w:pPr>
        <w:pStyle w:val="Bulletedlist"/>
        <w:ind w:right="3"/>
      </w:pPr>
      <w:r>
        <w:t>NSW consultations with TWES participants were moved to phone-only consultations, and two new prisons were added to the sample to achieve the desired sample size (as COVID-19 restrictions on prison visits meant it would not be possible to interview enough participants at a single prison)</w:t>
      </w:r>
      <w:r w:rsidR="00C54972">
        <w:t>.</w:t>
      </w:r>
    </w:p>
    <w:p w14:paraId="51CB4F9E" w14:textId="5592708E" w:rsidR="00D36697" w:rsidRDefault="00D36697" w:rsidP="00305B4B">
      <w:pPr>
        <w:pStyle w:val="Bulletedlist"/>
        <w:ind w:right="3"/>
      </w:pPr>
      <w:r>
        <w:t>In response to the impact of COVID-19 on TWES, additional analyses were conducted to help understand the impact of COVID-19 on</w:t>
      </w:r>
      <w:r w:rsidR="002C0A7D">
        <w:t xml:space="preserve"> the number of participants commencing TWES</w:t>
      </w:r>
      <w:r w:rsidR="00B4596A">
        <w:t xml:space="preserve"> and implementation </w:t>
      </w:r>
    </w:p>
    <w:p w14:paraId="7FBA4DB7" w14:textId="7EC0D69E" w:rsidR="00D36697" w:rsidRPr="00AE7FEB" w:rsidRDefault="00D36697" w:rsidP="00305B4B">
      <w:pPr>
        <w:pStyle w:val="BodyText"/>
        <w:ind w:right="3"/>
      </w:pPr>
      <w:r w:rsidRPr="005B0ECE">
        <w:lastRenderedPageBreak/>
        <w:t xml:space="preserve">The TWES </w:t>
      </w:r>
      <w:r>
        <w:t>Evaluation Team</w:t>
      </w:r>
      <w:r w:rsidRPr="005B0ECE">
        <w:t xml:space="preserve"> was made of Social Ventures Australia (SVA) Consulting, Karen Milward Consulting, Professor Nicholas Biddle of the Australian National University, and contractors Sorrell Ashby, Jayde Geia and Ralph Mogridge</w:t>
      </w:r>
      <w:r w:rsidR="000A21D1">
        <w:t xml:space="preserve"> (s</w:t>
      </w:r>
      <w:r w:rsidRPr="005B0ECE">
        <w:t xml:space="preserve">ee </w:t>
      </w:r>
      <w:r w:rsidRPr="005B0ECE">
        <w:rPr>
          <w:b/>
          <w:bCs/>
        </w:rPr>
        <w:t xml:space="preserve">Appendix </w:t>
      </w:r>
      <w:r w:rsidR="000A21D1">
        <w:rPr>
          <w:b/>
          <w:bCs/>
        </w:rPr>
        <w:t>2</w:t>
      </w:r>
      <w:r w:rsidR="000A21D1">
        <w:t>)</w:t>
      </w:r>
      <w:r w:rsidRPr="005B0ECE">
        <w:t>.</w:t>
      </w:r>
    </w:p>
    <w:p w14:paraId="649207AA" w14:textId="77777777" w:rsidR="00D42CD4" w:rsidRDefault="00D42CD4" w:rsidP="00305B4B">
      <w:pPr>
        <w:widowControl/>
        <w:autoSpaceDE/>
        <w:autoSpaceDN/>
        <w:adjustRightInd/>
        <w:ind w:right="3"/>
        <w:rPr>
          <w:rFonts w:ascii="Arial" w:hAnsi="Arial" w:cs="Arial"/>
          <w:sz w:val="32"/>
          <w:szCs w:val="32"/>
        </w:rPr>
      </w:pPr>
      <w:r>
        <w:br w:type="page"/>
      </w:r>
    </w:p>
    <w:p w14:paraId="6B310029" w14:textId="34E04783" w:rsidR="00DD7563" w:rsidRPr="00FF3D15" w:rsidRDefault="006D5E8F" w:rsidP="00305B4B">
      <w:pPr>
        <w:pStyle w:val="Heading1"/>
        <w:ind w:right="3"/>
      </w:pPr>
      <w:bookmarkStart w:id="42" w:name="_Ref75010590"/>
      <w:bookmarkStart w:id="43" w:name="_Toc75959319"/>
      <w:r>
        <w:lastRenderedPageBreak/>
        <w:t xml:space="preserve">3. </w:t>
      </w:r>
      <w:r w:rsidR="00DD7563">
        <w:t xml:space="preserve">TWES Program </w:t>
      </w:r>
      <w:r w:rsidR="00DD7563" w:rsidRPr="00225140">
        <w:t>Logic</w:t>
      </w:r>
      <w:bookmarkEnd w:id="37"/>
      <w:bookmarkEnd w:id="38"/>
      <w:bookmarkEnd w:id="39"/>
      <w:bookmarkEnd w:id="42"/>
      <w:bookmarkEnd w:id="43"/>
    </w:p>
    <w:p w14:paraId="2E94433E" w14:textId="41D5FD1A" w:rsidR="00DD7563" w:rsidRPr="00225140" w:rsidRDefault="00474AAD" w:rsidP="00305B4B">
      <w:pPr>
        <w:pStyle w:val="BodyText"/>
        <w:ind w:right="3"/>
      </w:pPr>
      <w:r w:rsidRPr="00225140">
        <w:t>T</w:t>
      </w:r>
      <w:r w:rsidR="003E0DBC" w:rsidRPr="00225140">
        <w:t xml:space="preserve">he TWES program logic is </w:t>
      </w:r>
      <w:r w:rsidRPr="00225140">
        <w:t>central to the theory-based evaluation methodology used in the TWES evaluation. It</w:t>
      </w:r>
      <w:r w:rsidR="003F1F92" w:rsidRPr="00225140">
        <w:t xml:space="preserve"> describes what outcomes TWES aims to achieve for participants and employment service providers, and</w:t>
      </w:r>
      <w:r w:rsidR="007925AF" w:rsidRPr="00225140">
        <w:t xml:space="preserve"> how it aims to create these – the causal pathways connecting activities and outcomes. </w:t>
      </w:r>
    </w:p>
    <w:p w14:paraId="03054154" w14:textId="2874E9C4" w:rsidR="007A6F9C" w:rsidRDefault="007A6F9C" w:rsidP="00305B4B">
      <w:pPr>
        <w:pStyle w:val="BodyText"/>
        <w:ind w:right="3"/>
      </w:pPr>
      <w:r>
        <w:t>The</w:t>
      </w:r>
      <w:r w:rsidR="00931179">
        <w:t xml:space="preserve"> TWES program logic was developed as part of the original TWES Evaluation Strategy in consultation with </w:t>
      </w:r>
      <w:r w:rsidR="006C2494">
        <w:t xml:space="preserve">NIAA, DESE and </w:t>
      </w:r>
      <w:r w:rsidR="00B63B84">
        <w:t>state</w:t>
      </w:r>
      <w:r w:rsidR="006C2494">
        <w:t>/</w:t>
      </w:r>
      <w:r w:rsidR="00B63B84">
        <w:t xml:space="preserve">territory </w:t>
      </w:r>
      <w:r w:rsidR="00467A51">
        <w:t>corrections</w:t>
      </w:r>
      <w:r w:rsidR="006C2494">
        <w:t xml:space="preserve"> </w:t>
      </w:r>
      <w:r w:rsidR="00467A51">
        <w:t>department</w:t>
      </w:r>
      <w:r w:rsidR="006C2494">
        <w:t>s.</w:t>
      </w:r>
      <w:r>
        <w:t xml:space="preserve"> </w:t>
      </w:r>
      <w:r w:rsidR="00963346">
        <w:t xml:space="preserve">TWES program logic summary version is presented in </w:t>
      </w:r>
      <w:r w:rsidR="00CE2588" w:rsidRPr="0053423C">
        <w:rPr>
          <w:b/>
          <w:bCs/>
        </w:rPr>
        <w:fldChar w:fldCharType="begin"/>
      </w:r>
      <w:r w:rsidR="00CE2588" w:rsidRPr="0053423C">
        <w:rPr>
          <w:b/>
          <w:bCs/>
        </w:rPr>
        <w:instrText xml:space="preserve"> REF _Ref72855522 \h </w:instrText>
      </w:r>
      <w:r w:rsidR="0053423C">
        <w:rPr>
          <w:b/>
          <w:bCs/>
        </w:rPr>
        <w:instrText xml:space="preserve"> \* MERGEFORMAT </w:instrText>
      </w:r>
      <w:r w:rsidR="00CE2588" w:rsidRPr="0053423C">
        <w:rPr>
          <w:b/>
          <w:bCs/>
        </w:rPr>
      </w:r>
      <w:r w:rsidR="00CE2588" w:rsidRPr="0053423C">
        <w:rPr>
          <w:b/>
          <w:bCs/>
        </w:rPr>
        <w:fldChar w:fldCharType="separate"/>
      </w:r>
      <w:r w:rsidR="00AE0EDD" w:rsidRPr="00AE0EDD">
        <w:rPr>
          <w:b/>
          <w:bCs/>
        </w:rPr>
        <w:t xml:space="preserve">Figure </w:t>
      </w:r>
      <w:r w:rsidR="00AE0EDD" w:rsidRPr="00AE0EDD">
        <w:rPr>
          <w:b/>
          <w:bCs/>
          <w:noProof/>
        </w:rPr>
        <w:t>1</w:t>
      </w:r>
      <w:r w:rsidR="00CE2588" w:rsidRPr="0053423C">
        <w:rPr>
          <w:b/>
          <w:bCs/>
        </w:rPr>
        <w:fldChar w:fldCharType="end"/>
      </w:r>
      <w:r w:rsidR="00CE2588">
        <w:t xml:space="preserve"> </w:t>
      </w:r>
      <w:r w:rsidR="00B31080">
        <w:t>which</w:t>
      </w:r>
      <w:r w:rsidR="0053423C">
        <w:t xml:space="preserve"> provides a summary of the key components of TWES</w:t>
      </w:r>
      <w:r w:rsidR="00472508">
        <w:t>.</w:t>
      </w:r>
      <w:r w:rsidR="00CE2588">
        <w:t xml:space="preserve"> </w:t>
      </w:r>
      <w:r w:rsidR="00CE2588" w:rsidRPr="0053423C">
        <w:rPr>
          <w:b/>
          <w:bCs/>
        </w:rPr>
        <w:fldChar w:fldCharType="begin"/>
      </w:r>
      <w:r w:rsidR="00CE2588" w:rsidRPr="0053423C">
        <w:rPr>
          <w:b/>
          <w:bCs/>
        </w:rPr>
        <w:instrText xml:space="preserve"> REF _Ref72855524 \h </w:instrText>
      </w:r>
      <w:r w:rsidR="0053423C">
        <w:rPr>
          <w:b/>
          <w:bCs/>
        </w:rPr>
        <w:instrText xml:space="preserve"> \* MERGEFORMAT </w:instrText>
      </w:r>
      <w:r w:rsidR="00CE2588" w:rsidRPr="0053423C">
        <w:rPr>
          <w:b/>
          <w:bCs/>
        </w:rPr>
      </w:r>
      <w:r w:rsidR="00CE2588" w:rsidRPr="0053423C">
        <w:rPr>
          <w:b/>
          <w:bCs/>
        </w:rPr>
        <w:fldChar w:fldCharType="separate"/>
      </w:r>
      <w:r w:rsidR="00AE0EDD" w:rsidRPr="00AE0EDD">
        <w:rPr>
          <w:b/>
          <w:bCs/>
        </w:rPr>
        <w:t xml:space="preserve">Figure </w:t>
      </w:r>
      <w:r w:rsidR="00AE0EDD" w:rsidRPr="00AE0EDD">
        <w:rPr>
          <w:b/>
          <w:bCs/>
          <w:noProof/>
        </w:rPr>
        <w:t>2</w:t>
      </w:r>
      <w:r w:rsidR="00CE2588" w:rsidRPr="0053423C">
        <w:rPr>
          <w:b/>
          <w:bCs/>
        </w:rPr>
        <w:fldChar w:fldCharType="end"/>
      </w:r>
      <w:r w:rsidR="00472508">
        <w:t xml:space="preserve"> presents detail on the priority outcomes</w:t>
      </w:r>
      <w:r w:rsidR="0053423C">
        <w:t xml:space="preserve"> created by TWES, which are the focus of the TWES evaluation. </w:t>
      </w:r>
    </w:p>
    <w:p w14:paraId="702F4EBD" w14:textId="77777777" w:rsidR="00FE410C" w:rsidRDefault="00FE410C" w:rsidP="00305B4B">
      <w:pPr>
        <w:pStyle w:val="Heading3"/>
        <w:ind w:right="3"/>
      </w:pPr>
      <w:bookmarkStart w:id="44" w:name="_Toc74911615"/>
      <w:r>
        <w:t>Priority outcomes identified in the program logic</w:t>
      </w:r>
      <w:bookmarkEnd w:id="44"/>
    </w:p>
    <w:p w14:paraId="21B5E574" w14:textId="2838C458" w:rsidR="00FE410C" w:rsidRPr="00827D5A" w:rsidRDefault="00B5225B" w:rsidP="00305B4B">
      <w:pPr>
        <w:pStyle w:val="BodyText"/>
        <w:ind w:right="3"/>
      </w:pPr>
      <w:r>
        <w:t xml:space="preserve">The TWES program logic identified </w:t>
      </w:r>
      <w:r w:rsidR="009C2F3F">
        <w:t>nine</w:t>
      </w:r>
      <w:r>
        <w:t xml:space="preserve"> priority</w:t>
      </w:r>
      <w:r w:rsidR="00607F39">
        <w:t xml:space="preserve"> program</w:t>
      </w:r>
      <w:r>
        <w:t xml:space="preserve"> outcomes </w:t>
      </w:r>
      <w:r w:rsidR="00582704">
        <w:t xml:space="preserve">that provide a focus for </w:t>
      </w:r>
      <w:r w:rsidR="003C383D">
        <w:t>evaluation</w:t>
      </w:r>
      <w:r w:rsidR="0053423C">
        <w:t xml:space="preserve"> (</w:t>
      </w:r>
      <w:r w:rsidR="0053423C" w:rsidRPr="0053423C">
        <w:rPr>
          <w:b/>
          <w:bCs/>
        </w:rPr>
        <w:fldChar w:fldCharType="begin"/>
      </w:r>
      <w:r w:rsidR="0053423C" w:rsidRPr="0053423C">
        <w:rPr>
          <w:b/>
          <w:bCs/>
        </w:rPr>
        <w:instrText xml:space="preserve"> REF _Ref72855524 \h </w:instrText>
      </w:r>
      <w:r w:rsidR="0053423C">
        <w:rPr>
          <w:b/>
          <w:bCs/>
        </w:rPr>
        <w:instrText xml:space="preserve"> \* MERGEFORMAT </w:instrText>
      </w:r>
      <w:r w:rsidR="0053423C" w:rsidRPr="0053423C">
        <w:rPr>
          <w:b/>
          <w:bCs/>
        </w:rPr>
      </w:r>
      <w:r w:rsidR="0053423C" w:rsidRPr="0053423C">
        <w:rPr>
          <w:b/>
          <w:bCs/>
        </w:rPr>
        <w:fldChar w:fldCharType="separate"/>
      </w:r>
      <w:r w:rsidR="00AE0EDD" w:rsidRPr="00AE0EDD">
        <w:rPr>
          <w:b/>
          <w:bCs/>
        </w:rPr>
        <w:t xml:space="preserve">Figure </w:t>
      </w:r>
      <w:r w:rsidR="00AE0EDD" w:rsidRPr="00AE0EDD">
        <w:rPr>
          <w:b/>
          <w:bCs/>
          <w:noProof/>
        </w:rPr>
        <w:t>2</w:t>
      </w:r>
      <w:r w:rsidR="0053423C" w:rsidRPr="0053423C">
        <w:rPr>
          <w:b/>
          <w:bCs/>
        </w:rPr>
        <w:fldChar w:fldCharType="end"/>
      </w:r>
      <w:r w:rsidR="0053423C" w:rsidRPr="0053423C">
        <w:t>)</w:t>
      </w:r>
      <w:r w:rsidR="00582704">
        <w:t xml:space="preserve">. </w:t>
      </w:r>
      <w:r w:rsidR="00607F39">
        <w:t>These reflect short</w:t>
      </w:r>
      <w:r w:rsidR="00A8019A">
        <w:t>-</w:t>
      </w:r>
      <w:r w:rsidR="00607F39">
        <w:t xml:space="preserve">term outcomes that are directly achievable by the program. </w:t>
      </w:r>
      <w:r w:rsidR="00C32F59">
        <w:t>Priority outcomes were selected in consultation with the above stakeholders</w:t>
      </w:r>
      <w:r w:rsidR="002865CA">
        <w:t xml:space="preserve">. Criteria used for the prioritisation exercise included the </w:t>
      </w:r>
      <w:r w:rsidR="004A1964">
        <w:t xml:space="preserve">importance of each outcome, feasibility of </w:t>
      </w:r>
      <w:r w:rsidR="00CE6C34">
        <w:t xml:space="preserve">measurement, and ability to attribute outcomes to TWES. </w:t>
      </w:r>
      <w:r w:rsidR="001C01EA">
        <w:t>Each priority outcome is described below</w:t>
      </w:r>
      <w:r w:rsidR="00B804F0">
        <w:t xml:space="preserve">, including the justification for prioritisation. </w:t>
      </w:r>
    </w:p>
    <w:p w14:paraId="5A3055C0" w14:textId="20777CBE" w:rsidR="00FE410C" w:rsidRPr="00794897" w:rsidRDefault="00FE410C" w:rsidP="00305B4B">
      <w:pPr>
        <w:pStyle w:val="Heading4"/>
        <w:ind w:right="3"/>
      </w:pPr>
      <w:r w:rsidRPr="00794897">
        <w:t>Short term (2-4 months pre-release)</w:t>
      </w:r>
    </w:p>
    <w:p w14:paraId="0B5692F3" w14:textId="77777777" w:rsidR="00FE410C" w:rsidRPr="006D5E8F" w:rsidRDefault="00FE410C" w:rsidP="000C3506">
      <w:pPr>
        <w:pStyle w:val="Numberedlist"/>
        <w:numPr>
          <w:ilvl w:val="0"/>
          <w:numId w:val="38"/>
        </w:numPr>
        <w:ind w:left="709" w:hanging="425"/>
      </w:pPr>
      <w:r w:rsidRPr="007F09E7">
        <w:rPr>
          <w:b/>
          <w:bCs/>
        </w:rPr>
        <w:t>Participants have assessments while in prison:</w:t>
      </w:r>
      <w:r w:rsidRPr="006D5E8F">
        <w:t xml:space="preserve"> A key component of TWES is that employment assessments take place while the participant is still in prison. The JSCI is carried out by the TWES provider, and the ESAt is carried out by Services Australia. </w:t>
      </w:r>
    </w:p>
    <w:p w14:paraId="135032D8" w14:textId="4577731D" w:rsidR="00FE410C" w:rsidRPr="006D5E8F" w:rsidRDefault="00FE410C" w:rsidP="00B4730A">
      <w:pPr>
        <w:pStyle w:val="Numberedlist"/>
        <w:ind w:hanging="425"/>
      </w:pPr>
      <w:r w:rsidRPr="006D5E8F">
        <w:rPr>
          <w:b/>
          <w:bCs/>
        </w:rPr>
        <w:t>Participants have TWES transition plans developed in prison:</w:t>
      </w:r>
      <w:r w:rsidRPr="006D5E8F">
        <w:t xml:space="preserve"> </w:t>
      </w:r>
      <w:r w:rsidR="00C14F09" w:rsidRPr="006D5E8F">
        <w:t>Another</w:t>
      </w:r>
      <w:r w:rsidRPr="006D5E8F">
        <w:t xml:space="preserve"> key component of TWES </w:t>
      </w:r>
      <w:r w:rsidR="00C14F09" w:rsidRPr="006D5E8F">
        <w:t xml:space="preserve">is </w:t>
      </w:r>
      <w:r w:rsidRPr="006D5E8F">
        <w:t>the transition plan</w:t>
      </w:r>
      <w:r w:rsidR="00C14F09" w:rsidRPr="006D5E8F">
        <w:t>, which</w:t>
      </w:r>
      <w:r w:rsidRPr="006D5E8F">
        <w:t xml:space="preserve"> </w:t>
      </w:r>
      <w:r w:rsidR="006B7BE1" w:rsidRPr="006D5E8F">
        <w:t xml:space="preserve">documents </w:t>
      </w:r>
      <w:r w:rsidRPr="006D5E8F">
        <w:t>a participant’s education and medical information, barriers to employment as well as their skills, experience and aspirations, other commitments that may affect job search post</w:t>
      </w:r>
      <w:r w:rsidR="00C14F09" w:rsidRPr="006D5E8F">
        <w:t>-</w:t>
      </w:r>
      <w:r w:rsidRPr="006D5E8F">
        <w:t xml:space="preserve">release and any vulnerabilities experienced by the participant. It is developed with the participant over the course of the meetings </w:t>
      </w:r>
      <w:r w:rsidR="00A62F21" w:rsidRPr="006D5E8F">
        <w:t xml:space="preserve">with the </w:t>
      </w:r>
      <w:r w:rsidRPr="006D5E8F">
        <w:t xml:space="preserve">TWES </w:t>
      </w:r>
      <w:r w:rsidR="00BC1946" w:rsidRPr="006D5E8F">
        <w:t>provider</w:t>
      </w:r>
      <w:r w:rsidRPr="006D5E8F">
        <w:t>. The transition plan is not the same as the job plan which would be developed with the post-release employment service provider.</w:t>
      </w:r>
    </w:p>
    <w:p w14:paraId="06BB55A6" w14:textId="174A4893" w:rsidR="00FE410C" w:rsidRPr="006D5E8F" w:rsidRDefault="00FE410C" w:rsidP="00B4730A">
      <w:pPr>
        <w:pStyle w:val="Numberedlist"/>
        <w:ind w:hanging="425"/>
      </w:pPr>
      <w:r w:rsidRPr="006D5E8F">
        <w:rPr>
          <w:b/>
          <w:bCs/>
        </w:rPr>
        <w:t>Participants connect with post-release provider while in prison:</w:t>
      </w:r>
      <w:r w:rsidRPr="006D5E8F">
        <w:t xml:space="preserve"> This outcome relates to the key component of the facilitated transfer. It is intended that this is a</w:t>
      </w:r>
      <w:r w:rsidR="00491EF8" w:rsidRPr="006D5E8F">
        <w:t xml:space="preserve"> meeting between the TWES </w:t>
      </w:r>
      <w:r w:rsidR="00467A51" w:rsidRPr="006D5E8F">
        <w:t>provider</w:t>
      </w:r>
      <w:r w:rsidR="00491EF8" w:rsidRPr="006D5E8F">
        <w:t xml:space="preserve">, the participant and a </w:t>
      </w:r>
      <w:r w:rsidRPr="006D5E8F">
        <w:t xml:space="preserve">post-release employment service provider while still in prison. </w:t>
      </w:r>
    </w:p>
    <w:p w14:paraId="794C86F6" w14:textId="77777777" w:rsidR="00FE410C" w:rsidRPr="006D5E8F" w:rsidRDefault="00FE410C" w:rsidP="00B4730A">
      <w:pPr>
        <w:pStyle w:val="Numberedlist"/>
        <w:ind w:hanging="425"/>
      </w:pPr>
      <w:r w:rsidRPr="006D5E8F">
        <w:rPr>
          <w:b/>
          <w:bCs/>
        </w:rPr>
        <w:t>Participants feel that the TWES services are culturally and gender appropriate:</w:t>
      </w:r>
      <w:r w:rsidRPr="006D5E8F">
        <w:t xml:space="preserve"> The design of TWES is intended to ensure that the services are carried out with cultural competence and are appropriate for both men and women. </w:t>
      </w:r>
    </w:p>
    <w:p w14:paraId="0D942C83" w14:textId="4F42EAD9" w:rsidR="00D348DA" w:rsidRPr="00FF3D15" w:rsidRDefault="00FE410C" w:rsidP="007F09E7">
      <w:pPr>
        <w:pStyle w:val="Numberedlist"/>
      </w:pPr>
      <w:r w:rsidRPr="006D5E8F">
        <w:rPr>
          <w:b/>
          <w:bCs/>
        </w:rPr>
        <w:t>Participants feel more comfortable answering assessment questions:</w:t>
      </w:r>
      <w:r w:rsidRPr="006D5E8F">
        <w:t xml:space="preserve"> Flowing from priority outcome 4, the logic is that if participants</w:t>
      </w:r>
      <w:r w:rsidRPr="00970503">
        <w:t xml:space="preserve"> feel that services are being appropriately delivered and feel comfortable, participants will answer the assessment questions frankly and accurately. It is expected that this will ultimately lead to receiving the appropriate level of support post-release. </w:t>
      </w:r>
    </w:p>
    <w:p w14:paraId="087C5B09" w14:textId="77777777" w:rsidR="00D348DA" w:rsidRDefault="00D348DA" w:rsidP="00305B4B">
      <w:pPr>
        <w:pStyle w:val="BodyText"/>
        <w:ind w:right="3"/>
        <w:sectPr w:rsidR="00D348DA" w:rsidSect="00D82168">
          <w:headerReference w:type="default" r:id="rId14"/>
          <w:footerReference w:type="default" r:id="rId15"/>
          <w:pgSz w:w="11910" w:h="16840" w:code="9"/>
          <w:pgMar w:top="1809" w:right="992" w:bottom="1253" w:left="992" w:header="0" w:footer="550" w:gutter="0"/>
          <w:cols w:space="720" w:equalWidth="0">
            <w:col w:w="9618"/>
          </w:cols>
          <w:noEndnote/>
          <w:docGrid w:linePitch="326"/>
        </w:sectPr>
      </w:pPr>
    </w:p>
    <w:p w14:paraId="31EACB60" w14:textId="34E2E417" w:rsidR="00D348DA" w:rsidRPr="00C03373" w:rsidRDefault="00D348DA" w:rsidP="00305B4B">
      <w:pPr>
        <w:pStyle w:val="Caption"/>
        <w:ind w:right="3"/>
      </w:pPr>
      <w:bookmarkStart w:id="45" w:name="_Ref72855522"/>
      <w:r w:rsidRPr="00C03373">
        <w:lastRenderedPageBreak/>
        <w:t xml:space="preserve">Figure </w:t>
      </w:r>
      <w:r w:rsidR="00D17359" w:rsidRPr="00C03373">
        <w:fldChar w:fldCharType="begin"/>
      </w:r>
      <w:r w:rsidR="00D17359" w:rsidRPr="00C03373">
        <w:instrText xml:space="preserve"> SEQ Figure \* ARABIC </w:instrText>
      </w:r>
      <w:r w:rsidR="00D17359" w:rsidRPr="00C03373">
        <w:fldChar w:fldCharType="separate"/>
      </w:r>
      <w:r w:rsidR="00AE0EDD" w:rsidRPr="00C03373">
        <w:t>1</w:t>
      </w:r>
      <w:r w:rsidR="00D17359" w:rsidRPr="00C03373">
        <w:fldChar w:fldCharType="end"/>
      </w:r>
      <w:bookmarkEnd w:id="45"/>
      <w:r w:rsidR="0081386E" w:rsidRPr="00C03373">
        <w:t>: TWES Program Logic Part 1 – Summary Version</w:t>
      </w:r>
    </w:p>
    <w:p w14:paraId="29F98DF2" w14:textId="7185F282" w:rsidR="00D348DA" w:rsidRDefault="009A7C21" w:rsidP="00305B4B">
      <w:pPr>
        <w:pStyle w:val="BodyText"/>
        <w:ind w:right="3"/>
        <w:rPr>
          <w:rFonts w:eastAsiaTheme="minorHAnsi"/>
          <w:lang w:eastAsia="en-US"/>
        </w:rPr>
      </w:pPr>
      <w:r>
        <w:rPr>
          <w:noProof/>
        </w:rPr>
        <w:drawing>
          <wp:inline distT="0" distB="0" distL="0" distR="0" wp14:anchorId="2BE9E367" wp14:editId="153D901E">
            <wp:extent cx="9163051" cy="5694046"/>
            <wp:effectExtent l="0" t="0" r="0" b="1905"/>
            <wp:docPr id="80" name="Picture 80" descr="A flowchart of the TWES summary program logic that describes how TWES’s activities lead to improved and coordinated transition support for Aboriginal and Torres Strait Islander prisoners, contributing to sustainable employment and a reduction in recidivism, to address the issue of the over-representation of Aboriginal and Torres Strait Islander people leads to Aboriginal and Torres Islander in Australia’s correctional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flowchart of the TWES summary program logic that describes how TWES’s activities lead to improved and coordinated transition support for Aboriginal and Torres Strait Islander prisoners, contributing to sustainable employment and a reduction in recidivism, to address the issue of the over-representation of Aboriginal and Torres Strait Islander people leads to Aboriginal and Torres Islander in Australia’s correctional system. "/>
                    <pic:cNvPicPr/>
                  </pic:nvPicPr>
                  <pic:blipFill>
                    <a:blip r:embed="rId16">
                      <a:extLst>
                        <a:ext uri="{28A0092B-C50C-407E-A947-70E740481C1C}">
                          <a14:useLocalDpi xmlns:a14="http://schemas.microsoft.com/office/drawing/2010/main" val="0"/>
                        </a:ext>
                      </a:extLst>
                    </a:blip>
                    <a:stretch>
                      <a:fillRect/>
                    </a:stretch>
                  </pic:blipFill>
                  <pic:spPr>
                    <a:xfrm>
                      <a:off x="0" y="0"/>
                      <a:ext cx="9163051" cy="5694046"/>
                    </a:xfrm>
                    <a:prstGeom prst="rect">
                      <a:avLst/>
                    </a:prstGeom>
                  </pic:spPr>
                </pic:pic>
              </a:graphicData>
            </a:graphic>
          </wp:inline>
        </w:drawing>
      </w:r>
    </w:p>
    <w:p w14:paraId="253D7EC9" w14:textId="77777777" w:rsidR="00D93731" w:rsidRDefault="00D93731" w:rsidP="00305B4B">
      <w:pPr>
        <w:ind w:right="3"/>
        <w:rPr>
          <w:rFonts w:ascii="Arial" w:eastAsiaTheme="minorHAnsi" w:hAnsi="Arial" w:cs="Arial"/>
          <w:sz w:val="20"/>
          <w:szCs w:val="22"/>
          <w:lang w:eastAsia="en-US"/>
        </w:rPr>
      </w:pPr>
    </w:p>
    <w:p w14:paraId="1D719773" w14:textId="77777777" w:rsidR="00D348DA" w:rsidRDefault="00D348DA" w:rsidP="00305B4B">
      <w:pPr>
        <w:pStyle w:val="BodyText"/>
        <w:ind w:right="3"/>
      </w:pPr>
    </w:p>
    <w:p w14:paraId="7D30521F" w14:textId="4BF8F1D3" w:rsidR="0081386E" w:rsidRPr="00C4445B" w:rsidRDefault="0081386E" w:rsidP="00D94610">
      <w:pPr>
        <w:pStyle w:val="Caption"/>
      </w:pPr>
      <w:bookmarkStart w:id="46" w:name="_Ref72855524"/>
      <w:r w:rsidRPr="00C4445B">
        <w:t xml:space="preserve">Figure </w:t>
      </w:r>
      <w:r w:rsidR="00D17359">
        <w:fldChar w:fldCharType="begin"/>
      </w:r>
      <w:r w:rsidR="00D17359">
        <w:instrText xml:space="preserve"> SEQ Figure \* ARABIC </w:instrText>
      </w:r>
      <w:r w:rsidR="00D17359">
        <w:fldChar w:fldCharType="separate"/>
      </w:r>
      <w:r w:rsidR="00AE0EDD">
        <w:rPr>
          <w:noProof/>
        </w:rPr>
        <w:t>2</w:t>
      </w:r>
      <w:r w:rsidR="00D17359">
        <w:fldChar w:fldCharType="end"/>
      </w:r>
      <w:bookmarkEnd w:id="46"/>
      <w:r w:rsidRPr="00C4445B">
        <w:t xml:space="preserve">: TWES Program </w:t>
      </w:r>
      <w:r w:rsidRPr="00D94610">
        <w:t>Logic</w:t>
      </w:r>
      <w:r w:rsidRPr="00C4445B">
        <w:t xml:space="preserve"> Part 2 – Detail on outcomes</w:t>
      </w:r>
    </w:p>
    <w:p w14:paraId="55A03D35" w14:textId="6BF04D16" w:rsidR="0081386E" w:rsidRPr="00FF3D15" w:rsidRDefault="001C233F" w:rsidP="00305B4B">
      <w:pPr>
        <w:pStyle w:val="BodyText"/>
        <w:ind w:right="3"/>
        <w:rPr>
          <w:sz w:val="18"/>
        </w:rPr>
        <w:sectPr w:rsidR="0081386E" w:rsidRPr="00FF3D15" w:rsidSect="00D82168">
          <w:headerReference w:type="default" r:id="rId17"/>
          <w:headerReference w:type="first" r:id="rId18"/>
          <w:pgSz w:w="16840" w:h="11910" w:orient="landscape"/>
          <w:pgMar w:top="960" w:right="840" w:bottom="840" w:left="1020" w:header="0" w:footer="652" w:gutter="0"/>
          <w:cols w:space="720"/>
          <w:noEndnote/>
        </w:sectPr>
      </w:pPr>
      <w:r>
        <w:rPr>
          <w:noProof/>
        </w:rPr>
        <w:drawing>
          <wp:inline distT="0" distB="0" distL="0" distR="0" wp14:anchorId="0682BD0B" wp14:editId="7C4322C7">
            <wp:extent cx="9380514" cy="5664530"/>
            <wp:effectExtent l="0" t="0" r="0" b="0"/>
            <wp:docPr id="81" name="Picture 81" descr="A flowchart of the TWES detailed program logic that describes how TWES’s activities lead to the short-term outcomes of participants feeling culturally safe, engaged and understood in a process that is tailored and coordinated, which in turn leads to the longer term outcome of employment and training opport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flowchart of the TWES detailed program logic that describes how TWES’s activities lead to the short-term outcomes of participants feeling culturally safe, engaged and understood in a process that is tailored and coordinated, which in turn leads to the longer term outcome of employment and training opportunities. "/>
                    <pic:cNvPicPr/>
                  </pic:nvPicPr>
                  <pic:blipFill>
                    <a:blip r:embed="rId19">
                      <a:extLst>
                        <a:ext uri="{28A0092B-C50C-407E-A947-70E740481C1C}">
                          <a14:useLocalDpi xmlns:a14="http://schemas.microsoft.com/office/drawing/2010/main" val="0"/>
                        </a:ext>
                      </a:extLst>
                    </a:blip>
                    <a:stretch>
                      <a:fillRect/>
                    </a:stretch>
                  </pic:blipFill>
                  <pic:spPr>
                    <a:xfrm>
                      <a:off x="0" y="0"/>
                      <a:ext cx="9380514" cy="5664530"/>
                    </a:xfrm>
                    <a:prstGeom prst="rect">
                      <a:avLst/>
                    </a:prstGeom>
                  </pic:spPr>
                </pic:pic>
              </a:graphicData>
            </a:graphic>
          </wp:inline>
        </w:drawing>
      </w:r>
    </w:p>
    <w:p w14:paraId="38BFD6A9" w14:textId="1287F448" w:rsidR="00277F77" w:rsidRPr="00617DD5" w:rsidRDefault="00277F77" w:rsidP="007F09E7">
      <w:pPr>
        <w:pStyle w:val="Numberedlist"/>
      </w:pPr>
      <w:r w:rsidRPr="00617DD5">
        <w:rPr>
          <w:b/>
          <w:bCs/>
        </w:rPr>
        <w:lastRenderedPageBreak/>
        <w:t>Improved understanding of how to engage with post-release provider</w:t>
      </w:r>
      <w:r w:rsidR="00617DD5" w:rsidRPr="00617DD5">
        <w:rPr>
          <w:b/>
          <w:bCs/>
        </w:rPr>
        <w:t xml:space="preserve">: </w:t>
      </w:r>
      <w:r w:rsidRPr="00970503">
        <w:t>Flowing from priority outcome 3, the logic is that if participants have met their post-release employment service provider while still in prison, they will have a clear understanding of the plan to meet the post</w:t>
      </w:r>
      <w:r w:rsidR="00200C2B">
        <w:t>-</w:t>
      </w:r>
      <w:r w:rsidRPr="00970503">
        <w:t>release employment service provider again post-release.</w:t>
      </w:r>
    </w:p>
    <w:p w14:paraId="329AE35E" w14:textId="6831677B" w:rsidR="00277F77" w:rsidRPr="00CF51EA" w:rsidRDefault="00277F77" w:rsidP="00305B4B">
      <w:pPr>
        <w:pStyle w:val="Heading4"/>
        <w:ind w:right="3"/>
      </w:pPr>
      <w:r w:rsidRPr="00CF51EA">
        <w:t>Short term (post-release)</w:t>
      </w:r>
    </w:p>
    <w:p w14:paraId="3321CE7C" w14:textId="42BBEDA3" w:rsidR="00277F77" w:rsidRPr="00617DD5" w:rsidRDefault="00277F77" w:rsidP="007F09E7">
      <w:pPr>
        <w:pStyle w:val="Numberedlist"/>
      </w:pPr>
      <w:r w:rsidRPr="00617DD5">
        <w:rPr>
          <w:b/>
          <w:bCs/>
        </w:rPr>
        <w:t>Stronger connection with the post-release provider</w:t>
      </w:r>
      <w:r w:rsidR="00617DD5" w:rsidRPr="00617DD5">
        <w:rPr>
          <w:b/>
          <w:bCs/>
        </w:rPr>
        <w:t xml:space="preserve">: </w:t>
      </w:r>
      <w:r w:rsidRPr="00617DD5">
        <w:t>Flowing from the above priority outcomes, the logic is that if participants have met the post-release employment service provider while still in prison, and are clear on the plan for meeting the employment service provider post-release, that the participant will make contact with (and continue to engage with) the employment service provider.</w:t>
      </w:r>
    </w:p>
    <w:p w14:paraId="3FCF1067" w14:textId="1CE6F21E" w:rsidR="00277F77" w:rsidRPr="00970503" w:rsidRDefault="00277F77" w:rsidP="007F09E7">
      <w:pPr>
        <w:pStyle w:val="Numberedlist"/>
      </w:pPr>
      <w:r w:rsidRPr="0008297F">
        <w:rPr>
          <w:b/>
          <w:bCs/>
        </w:rPr>
        <w:t>Improved understanding of job seeker background and need</w:t>
      </w:r>
      <w:r w:rsidR="002A4B7A" w:rsidRPr="0008297F">
        <w:rPr>
          <w:b/>
          <w:bCs/>
        </w:rPr>
        <w:t xml:space="preserve">s: </w:t>
      </w:r>
      <w:r w:rsidRPr="00970503">
        <w:t xml:space="preserve">Flowing from priority outcome 2, it is expected that the transition plan incorporates relevant details about the participant and that it will assist the post-release employment service provider to quickly and effectively understand the background and needs of the participant. </w:t>
      </w:r>
    </w:p>
    <w:p w14:paraId="0EDBF30F" w14:textId="2B6017A2" w:rsidR="00277F77" w:rsidRPr="005A3E94" w:rsidRDefault="00277F77" w:rsidP="00305B4B">
      <w:pPr>
        <w:pStyle w:val="Heading4"/>
        <w:ind w:right="3"/>
      </w:pPr>
      <w:r w:rsidRPr="005A3E94">
        <w:t>Medium to longer</w:t>
      </w:r>
      <w:r w:rsidR="00795C4C">
        <w:t xml:space="preserve"> </w:t>
      </w:r>
      <w:r w:rsidRPr="005A3E94">
        <w:t>term (post-release)</w:t>
      </w:r>
    </w:p>
    <w:p w14:paraId="2F75D231" w14:textId="182C1DAC" w:rsidR="00277F77" w:rsidRPr="00970503" w:rsidRDefault="00277F77" w:rsidP="007F09E7">
      <w:pPr>
        <w:pStyle w:val="Numberedlist"/>
        <w:rPr>
          <w:szCs w:val="20"/>
        </w:rPr>
      </w:pPr>
      <w:r w:rsidRPr="002A4B7A">
        <w:rPr>
          <w:b/>
          <w:bCs/>
        </w:rPr>
        <w:t>Participants do not retell their story</w:t>
      </w:r>
      <w:r w:rsidR="002A4B7A" w:rsidRPr="002A4B7A">
        <w:rPr>
          <w:b/>
          <w:bCs/>
        </w:rPr>
        <w:t>:</w:t>
      </w:r>
      <w:r w:rsidR="002A4B7A">
        <w:t xml:space="preserve"> </w:t>
      </w:r>
      <w:r w:rsidRPr="00970503">
        <w:t>Flowing from priority outcomes 2 and 8, if the transition plan effectively captures and incorporates the relevant details about the participant, it is anticipated that participants will not have to retell their story on mul</w:t>
      </w:r>
      <w:r w:rsidRPr="00970503">
        <w:rPr>
          <w:szCs w:val="20"/>
        </w:rPr>
        <w:t>tiple occasions after they are released from prison and engage with employment service providers.</w:t>
      </w:r>
    </w:p>
    <w:p w14:paraId="1C467E6F" w14:textId="1782CCB1" w:rsidR="00277F77" w:rsidRPr="002A4B7A" w:rsidRDefault="00277F77" w:rsidP="007F09E7">
      <w:pPr>
        <w:pStyle w:val="Numberedlist"/>
      </w:pPr>
      <w:r w:rsidRPr="002A4B7A">
        <w:rPr>
          <w:b/>
          <w:bCs/>
        </w:rPr>
        <w:t>Increased achievement of employment outcomes</w:t>
      </w:r>
      <w:r w:rsidR="002A4B7A" w:rsidRPr="002A4B7A">
        <w:rPr>
          <w:b/>
          <w:bCs/>
        </w:rPr>
        <w:t>:</w:t>
      </w:r>
      <w:r w:rsidR="002A4B7A">
        <w:t xml:space="preserve"> </w:t>
      </w:r>
      <w:r w:rsidRPr="002A4B7A">
        <w:t>One of the priority longer</w:t>
      </w:r>
      <w:r w:rsidR="00795C4C">
        <w:t xml:space="preserve"> </w:t>
      </w:r>
      <w:r w:rsidRPr="002A4B7A">
        <w:t xml:space="preserve">term outcomes is that TWES participants will be more likely to secure and retain employment. While TWES was not intended to directly secure employment for prisoners, it aims to contribute to this outcome by supporting and improving their engagement with employment services post-release. </w:t>
      </w:r>
    </w:p>
    <w:p w14:paraId="451FEDBB" w14:textId="6CA48CFA" w:rsidR="00277F77" w:rsidRPr="00970503" w:rsidRDefault="00607F39" w:rsidP="00305B4B">
      <w:pPr>
        <w:pStyle w:val="BodyText"/>
        <w:ind w:right="3"/>
      </w:pPr>
      <w:r>
        <w:t>The program, as reflected in stakeholder aspirations also seeks to contribute to reduced recidivism particularly through the mechanism of gaining employment.</w:t>
      </w:r>
      <w:r w:rsidR="008E6BF0" w:rsidRPr="00970503">
        <w:t xml:space="preserve"> </w:t>
      </w:r>
    </w:p>
    <w:p w14:paraId="7F4B4AED" w14:textId="4FEBFA29" w:rsidR="00395FAF" w:rsidRPr="002314D7" w:rsidRDefault="00607F39" w:rsidP="00305B4B">
      <w:pPr>
        <w:pStyle w:val="Heading3"/>
        <w:ind w:right="3"/>
      </w:pPr>
      <w:bookmarkStart w:id="47" w:name="_Ref31705982"/>
      <w:bookmarkStart w:id="48" w:name="_Ref31709703"/>
      <w:bookmarkStart w:id="49" w:name="_Toc33789279"/>
      <w:bookmarkStart w:id="50" w:name="_Toc74911616"/>
      <w:r>
        <w:t>K</w:t>
      </w:r>
      <w:r w:rsidR="00395FAF" w:rsidRPr="002314D7">
        <w:t xml:space="preserve">ey </w:t>
      </w:r>
      <w:r w:rsidR="00D7285F">
        <w:t>a</w:t>
      </w:r>
      <w:r w:rsidR="00395FAF" w:rsidRPr="002314D7">
        <w:t xml:space="preserve">ssumptions </w:t>
      </w:r>
      <w:bookmarkEnd w:id="47"/>
      <w:bookmarkEnd w:id="48"/>
      <w:bookmarkEnd w:id="49"/>
      <w:bookmarkEnd w:id="50"/>
    </w:p>
    <w:p w14:paraId="06865F09" w14:textId="1B4BAD47" w:rsidR="00395FAF" w:rsidRPr="008D0D76" w:rsidRDefault="00395FAF" w:rsidP="00305B4B">
      <w:pPr>
        <w:pStyle w:val="BodyText"/>
        <w:ind w:right="3"/>
      </w:pPr>
      <w:r w:rsidRPr="008D0D76">
        <w:t xml:space="preserve">The </w:t>
      </w:r>
      <w:r w:rsidR="00B804F0" w:rsidRPr="008D0D76">
        <w:t xml:space="preserve">achievement of priority outcomes </w:t>
      </w:r>
      <w:r w:rsidRPr="008D0D76">
        <w:t>is underpinned by several key assumptions</w:t>
      </w:r>
      <w:r w:rsidR="009B36F5">
        <w:t>:</w:t>
      </w:r>
    </w:p>
    <w:p w14:paraId="3AAC58AE" w14:textId="2C82BD5B" w:rsidR="00395FAF" w:rsidRPr="00963301" w:rsidRDefault="00395FAF" w:rsidP="00305B4B">
      <w:pPr>
        <w:pStyle w:val="Bulletedlist"/>
        <w:ind w:right="3"/>
      </w:pPr>
      <w:r w:rsidRPr="00055F72">
        <w:rPr>
          <w:b/>
        </w:rPr>
        <w:t>Access to prisons</w:t>
      </w:r>
      <w:r w:rsidRPr="00055F72">
        <w:t xml:space="preserve">. The program logic assumes that </w:t>
      </w:r>
      <w:r w:rsidR="00B372BD">
        <w:t xml:space="preserve">TWES </w:t>
      </w:r>
      <w:r w:rsidR="00BC1946">
        <w:t>providers</w:t>
      </w:r>
      <w:r w:rsidR="00BC1946" w:rsidRPr="00055F72">
        <w:t xml:space="preserve"> </w:t>
      </w:r>
      <w:r w:rsidRPr="00055F72">
        <w:t xml:space="preserve">can access prisons to </w:t>
      </w:r>
      <w:r>
        <w:t>deliver</w:t>
      </w:r>
      <w:r w:rsidRPr="00055F72">
        <w:t xml:space="preserve"> TWES to participants. </w:t>
      </w:r>
    </w:p>
    <w:p w14:paraId="6C3C3A60" w14:textId="1E67D351" w:rsidR="00395FAF" w:rsidRPr="00055F72" w:rsidRDefault="00395FAF" w:rsidP="00305B4B">
      <w:pPr>
        <w:pStyle w:val="Bulletedlist"/>
        <w:ind w:right="3"/>
      </w:pPr>
      <w:r w:rsidRPr="00DE0DEC">
        <w:rPr>
          <w:b/>
        </w:rPr>
        <w:t>Prisoner</w:t>
      </w:r>
      <w:r w:rsidR="00C77323">
        <w:rPr>
          <w:b/>
        </w:rPr>
        <w:t xml:space="preserve">s continue </w:t>
      </w:r>
      <w:r w:rsidRPr="00DE0DEC">
        <w:rPr>
          <w:b/>
        </w:rPr>
        <w:t>to participate</w:t>
      </w:r>
      <w:r w:rsidRPr="00055F72">
        <w:t xml:space="preserve">. TWES is a voluntary program. The program logic assumes that </w:t>
      </w:r>
      <w:r>
        <w:t xml:space="preserve">50% of </w:t>
      </w:r>
      <w:r w:rsidRPr="00055F72">
        <w:t>eligible prisoners will agree to participate in TWES and will continue in TWES</w:t>
      </w:r>
      <w:r w:rsidR="009B36F5">
        <w:t>.</w:t>
      </w:r>
    </w:p>
    <w:p w14:paraId="1EF52ECB" w14:textId="4C9C1A76" w:rsidR="00395FAF" w:rsidRPr="00C13071" w:rsidRDefault="00395FAF" w:rsidP="00305B4B">
      <w:pPr>
        <w:pStyle w:val="Bulletedlist"/>
        <w:ind w:right="3"/>
      </w:pPr>
      <w:r w:rsidRPr="00A77900">
        <w:rPr>
          <w:b/>
          <w:bCs/>
        </w:rPr>
        <w:t>Prisoner willingness and ability to connect with their post-release provider.</w:t>
      </w:r>
      <w:r>
        <w:t xml:space="preserve"> After release, it is the decision of TWES participants to reconnect with their employment services provider (who they should have been introduced to through TWES, before release). </w:t>
      </w:r>
    </w:p>
    <w:p w14:paraId="4029B56D" w14:textId="69E2171F" w:rsidR="00395FAF" w:rsidRPr="00AE3909" w:rsidRDefault="00395FAF" w:rsidP="00305B4B">
      <w:pPr>
        <w:pStyle w:val="Bulletedlist"/>
        <w:ind w:right="3"/>
      </w:pPr>
      <w:r w:rsidRPr="00055F72">
        <w:rPr>
          <w:b/>
        </w:rPr>
        <w:t>Jurisdictional differences</w:t>
      </w:r>
      <w:r w:rsidRPr="00055F72">
        <w:t xml:space="preserve">. The program logic assumes that the activities and outcomes are broadly aligned across jurisdictions and across remote and non-remote locations. </w:t>
      </w:r>
    </w:p>
    <w:p w14:paraId="2C7618A9" w14:textId="3EC8AF7B" w:rsidR="00395FAF" w:rsidRPr="00055F72" w:rsidRDefault="00395FAF" w:rsidP="00305B4B">
      <w:pPr>
        <w:pStyle w:val="Bulletedlist"/>
        <w:ind w:right="3"/>
      </w:pPr>
      <w:r w:rsidRPr="000C438B">
        <w:rPr>
          <w:b/>
        </w:rPr>
        <w:t>Employment assessments.</w:t>
      </w:r>
      <w:r w:rsidRPr="00055F72">
        <w:t xml:space="preserve"> The program logic assumes that prisoners will agree to undertake the </w:t>
      </w:r>
      <w:r>
        <w:t>JSCI</w:t>
      </w:r>
      <w:r w:rsidRPr="00055F72">
        <w:t xml:space="preserve"> and ESAt assessments, that this takes place, </w:t>
      </w:r>
      <w:r>
        <w:t xml:space="preserve">that the assessment tools are effective in identifying needs, </w:t>
      </w:r>
      <w:r w:rsidRPr="00055F72">
        <w:t xml:space="preserve">and that this leads to post-release services better meeting prisoner needs. </w:t>
      </w:r>
      <w:r>
        <w:t xml:space="preserve">A key rationale for delivering the ESAt in prison is that the ESAt assessor can access the participant’s medical records more easily than if the ESAt is carried out post-release. </w:t>
      </w:r>
    </w:p>
    <w:p w14:paraId="499CE66F" w14:textId="5943E9D1" w:rsidR="00395FAF" w:rsidRDefault="00395FAF" w:rsidP="00305B4B">
      <w:pPr>
        <w:pStyle w:val="Bulletedlist"/>
        <w:ind w:right="3"/>
      </w:pPr>
      <w:r w:rsidRPr="0080495D">
        <w:rPr>
          <w:b/>
        </w:rPr>
        <w:lastRenderedPageBreak/>
        <w:t xml:space="preserve">Staff </w:t>
      </w:r>
      <w:r w:rsidR="004C2B64">
        <w:rPr>
          <w:b/>
        </w:rPr>
        <w:t xml:space="preserve">recruitment and </w:t>
      </w:r>
      <w:r w:rsidRPr="0080495D">
        <w:rPr>
          <w:b/>
        </w:rPr>
        <w:t xml:space="preserve">retention. </w:t>
      </w:r>
      <w:r w:rsidRPr="0080495D">
        <w:t xml:space="preserve">The program logic assumes that </w:t>
      </w:r>
      <w:r w:rsidR="00B372BD">
        <w:t xml:space="preserve">TWES </w:t>
      </w:r>
      <w:r w:rsidR="00BC1946">
        <w:t>providers</w:t>
      </w:r>
      <w:r w:rsidR="00BC1946" w:rsidRPr="0080495D">
        <w:t xml:space="preserve"> </w:t>
      </w:r>
      <w:r w:rsidRPr="0080495D">
        <w:t>can</w:t>
      </w:r>
      <w:r w:rsidR="004C2B64">
        <w:t xml:space="preserve"> recruit and</w:t>
      </w:r>
      <w:r w:rsidRPr="0080495D">
        <w:t xml:space="preserve"> retain staff who are appropriately qualified and culturally competent to ensure continuity in quality delivery of TWES services</w:t>
      </w:r>
      <w:r>
        <w:t>.</w:t>
      </w:r>
      <w:r w:rsidRPr="0080495D">
        <w:t xml:space="preserve"> </w:t>
      </w:r>
    </w:p>
    <w:p w14:paraId="2340FE67" w14:textId="4FC54330" w:rsidR="00395FAF" w:rsidRPr="0080495D" w:rsidRDefault="00395FAF" w:rsidP="00305B4B">
      <w:pPr>
        <w:pStyle w:val="Bulletedlist"/>
        <w:ind w:right="3"/>
      </w:pPr>
      <w:r>
        <w:rPr>
          <w:b/>
        </w:rPr>
        <w:t>Employment outcomes and external variables.</w:t>
      </w:r>
      <w:r w:rsidRPr="005B1031">
        <w:t xml:space="preserve"> </w:t>
      </w:r>
      <w:r>
        <w:t xml:space="preserve">As noted above, the causal relationship between participation in TWES and the achievement of employment outcomes is affected by many different variables, including participant demographics such as their work experience prior to incarceration; the consistency of any such work experience; family and community relationships upon release.  </w:t>
      </w:r>
    </w:p>
    <w:p w14:paraId="719CE30A" w14:textId="32FA3C57" w:rsidR="00AD0F73" w:rsidRDefault="00AD0F73" w:rsidP="00305B4B">
      <w:pPr>
        <w:pStyle w:val="BodyText"/>
        <w:ind w:right="3"/>
      </w:pPr>
      <w:r>
        <w:t xml:space="preserve">The evaluation report refers to the TWES program logic throughout, to ground the evaluation findings in this model of what outcomes TWES aims to achieve for participants and employment service providers, and how it aims to contribute to these outcomes. </w:t>
      </w:r>
    </w:p>
    <w:p w14:paraId="185D1EEE" w14:textId="77777777" w:rsidR="00AD0F73" w:rsidRDefault="00AD0F73" w:rsidP="00305B4B">
      <w:pPr>
        <w:pStyle w:val="Normal-Table"/>
        <w:ind w:right="3"/>
      </w:pPr>
    </w:p>
    <w:p w14:paraId="0B426A23" w14:textId="650F55D8" w:rsidR="00DD7563" w:rsidRDefault="00DD7563" w:rsidP="00305B4B">
      <w:pPr>
        <w:pStyle w:val="Normal-Table"/>
        <w:ind w:right="3"/>
        <w:rPr>
          <w:rFonts w:ascii="Arial" w:hAnsi="Arial" w:cs="Arial"/>
        </w:rPr>
      </w:pPr>
      <w:r>
        <w:br w:type="page"/>
      </w:r>
    </w:p>
    <w:p w14:paraId="622D1906" w14:textId="0017ADB0" w:rsidR="00307D52" w:rsidRDefault="006D5E8F" w:rsidP="00305B4B">
      <w:pPr>
        <w:pStyle w:val="Heading1"/>
        <w:ind w:right="3"/>
      </w:pPr>
      <w:bookmarkStart w:id="51" w:name="bookmark4"/>
      <w:bookmarkEnd w:id="51"/>
      <w:r>
        <w:lastRenderedPageBreak/>
        <w:t xml:space="preserve">4. </w:t>
      </w:r>
      <w:bookmarkStart w:id="52" w:name="_Toc74911583"/>
      <w:bookmarkStart w:id="53" w:name="_Toc74911617"/>
      <w:bookmarkStart w:id="54" w:name="_Toc75959320"/>
      <w:r w:rsidR="00AD0F73" w:rsidRPr="00EB4BFE">
        <w:t>Evaluation</w:t>
      </w:r>
      <w:r w:rsidR="00AD0F73">
        <w:t xml:space="preserve"> </w:t>
      </w:r>
      <w:r w:rsidR="00307D52">
        <w:t>Findings</w:t>
      </w:r>
      <w:bookmarkEnd w:id="52"/>
      <w:bookmarkEnd w:id="53"/>
      <w:bookmarkEnd w:id="54"/>
    </w:p>
    <w:p w14:paraId="0C3846AC" w14:textId="7CC74C0A" w:rsidR="00307D52" w:rsidRPr="00307D52" w:rsidRDefault="00307D52" w:rsidP="00305B4B">
      <w:pPr>
        <w:pStyle w:val="BodyText"/>
        <w:ind w:right="3"/>
      </w:pPr>
      <w:bookmarkStart w:id="55" w:name="_Ref11658420"/>
      <w:r w:rsidRPr="00307D52">
        <w:t xml:space="preserve">This </w:t>
      </w:r>
      <w:r>
        <w:t>section presents the findings of the evaluation under each of the three evaluation objectives.</w:t>
      </w:r>
    </w:p>
    <w:p w14:paraId="421B4D46" w14:textId="316FB1BF" w:rsidR="007C3231" w:rsidRPr="00C03373" w:rsidRDefault="00D7285F" w:rsidP="00305B4B">
      <w:pPr>
        <w:pStyle w:val="Heading2"/>
        <w:ind w:right="3"/>
      </w:pPr>
      <w:bookmarkStart w:id="56" w:name="_Toc74911618"/>
      <w:bookmarkStart w:id="57" w:name="_Toc75959321"/>
      <w:r w:rsidRPr="00C03373">
        <w:t xml:space="preserve">4.1 </w:t>
      </w:r>
      <w:r w:rsidR="00501C85" w:rsidRPr="00C03373">
        <w:t xml:space="preserve">Objective 1: </w:t>
      </w:r>
      <w:r w:rsidR="003A7120" w:rsidRPr="00C03373">
        <w:t>Understand the design and implementation of TWES</w:t>
      </w:r>
      <w:bookmarkEnd w:id="56"/>
      <w:bookmarkEnd w:id="57"/>
    </w:p>
    <w:p w14:paraId="361CC051" w14:textId="4A46F65E" w:rsidR="00F8564C" w:rsidRPr="006D5E8F" w:rsidRDefault="00C0761B" w:rsidP="00B4730A">
      <w:pPr>
        <w:pStyle w:val="BodyText"/>
      </w:pPr>
      <w:r w:rsidRPr="006D5E8F">
        <w:t xml:space="preserve">Objective 1 </w:t>
      </w:r>
      <w:r w:rsidR="00E276E6" w:rsidRPr="006D5E8F">
        <w:t xml:space="preserve">of the </w:t>
      </w:r>
      <w:r w:rsidR="00A02C6E" w:rsidRPr="006D5E8F">
        <w:t xml:space="preserve">evaluation is </w:t>
      </w:r>
      <w:r w:rsidR="00E276E6" w:rsidRPr="006D5E8F">
        <w:t xml:space="preserve">to understand the design and implementation of TWES: what is working, what is not working and why. </w:t>
      </w:r>
      <w:r w:rsidR="006F3A73" w:rsidRPr="006D5E8F">
        <w:t>Findings on Objective 1 are presented under the following questions:</w:t>
      </w:r>
    </w:p>
    <w:p w14:paraId="4E0A40BE" w14:textId="12704B4D" w:rsidR="00E0298A" w:rsidRPr="006D5E8F" w:rsidRDefault="00366C77" w:rsidP="000C3506">
      <w:pPr>
        <w:pStyle w:val="Numberedlist"/>
        <w:numPr>
          <w:ilvl w:val="0"/>
          <w:numId w:val="55"/>
        </w:numPr>
        <w:ind w:left="709" w:hanging="425"/>
      </w:pPr>
      <w:r w:rsidRPr="006D5E8F">
        <w:t xml:space="preserve">Does the design and delivery of TWES embody a strengths-based, </w:t>
      </w:r>
      <w:r w:rsidR="00EB4BFE" w:rsidRPr="006D5E8F">
        <w:t>collaborative</w:t>
      </w:r>
      <w:r w:rsidRPr="006D5E8F">
        <w:t xml:space="preserve"> and respectful approach with Aboriginal and Torres Strait Islander stakeholders?</w:t>
      </w:r>
      <w:r w:rsidR="00E0298A" w:rsidRPr="006D5E8F">
        <w:t xml:space="preserve"> </w:t>
      </w:r>
    </w:p>
    <w:p w14:paraId="2D869D60" w14:textId="1BEB5E7A" w:rsidR="00A21D76" w:rsidRPr="006D5E8F" w:rsidRDefault="007C01D0" w:rsidP="00B4730A">
      <w:pPr>
        <w:pStyle w:val="Numberedlist"/>
        <w:ind w:hanging="425"/>
      </w:pPr>
      <w:r w:rsidRPr="006D5E8F">
        <w:t xml:space="preserve">When did TWES roll out across </w:t>
      </w:r>
      <w:r w:rsidR="002043D1" w:rsidRPr="006D5E8F">
        <w:t xml:space="preserve">states </w:t>
      </w:r>
      <w:r w:rsidRPr="006D5E8F">
        <w:t xml:space="preserve">and </w:t>
      </w:r>
      <w:r w:rsidR="002043D1" w:rsidRPr="006D5E8F">
        <w:t xml:space="preserve">territories </w:t>
      </w:r>
      <w:r w:rsidRPr="006D5E8F">
        <w:t>and remote and non-remote locations?</w:t>
      </w:r>
    </w:p>
    <w:p w14:paraId="214A5C1F" w14:textId="77777777" w:rsidR="00A21D76" w:rsidRPr="006D5E8F" w:rsidRDefault="00A21D76" w:rsidP="00B4730A">
      <w:pPr>
        <w:pStyle w:val="Numberedlist"/>
        <w:ind w:hanging="425"/>
      </w:pPr>
      <w:r w:rsidRPr="006D5E8F">
        <w:t>What is the number and profile of TWES participants?</w:t>
      </w:r>
    </w:p>
    <w:p w14:paraId="080AB4CD" w14:textId="4E0E9A82" w:rsidR="00F8564C" w:rsidRPr="006D5E8F" w:rsidRDefault="00F8564C" w:rsidP="00B4730A">
      <w:pPr>
        <w:pStyle w:val="Numberedlist"/>
        <w:ind w:hanging="425"/>
      </w:pPr>
      <w:r w:rsidRPr="006D5E8F">
        <w:t>How was TWES promoted and what methods were used?</w:t>
      </w:r>
    </w:p>
    <w:p w14:paraId="1DC6D9FE" w14:textId="2F454EC1" w:rsidR="00F8564C" w:rsidRPr="006D5E8F" w:rsidRDefault="00F8564C" w:rsidP="00B4730A">
      <w:pPr>
        <w:pStyle w:val="Numberedlist"/>
        <w:ind w:hanging="425"/>
      </w:pPr>
      <w:r w:rsidRPr="006D5E8F">
        <w:t>Why did participants exit TWES prior to completion?</w:t>
      </w:r>
    </w:p>
    <w:p w14:paraId="70A59D9E" w14:textId="32EAFE20" w:rsidR="00F8564C" w:rsidRPr="006D5E8F" w:rsidRDefault="00CE0751" w:rsidP="00B4730A">
      <w:pPr>
        <w:pStyle w:val="Numberedlist"/>
        <w:ind w:hanging="425"/>
      </w:pPr>
      <w:r w:rsidRPr="006D5E8F">
        <w:t>Why were elements of TWES such as the ESAt or Facilitated Transfers not carried out?</w:t>
      </w:r>
    </w:p>
    <w:p w14:paraId="1C9CA705" w14:textId="018F4D1D" w:rsidR="00F8564C" w:rsidRPr="00FF3D15" w:rsidRDefault="00F8564C" w:rsidP="00B4730A">
      <w:pPr>
        <w:pStyle w:val="Numberedlist"/>
        <w:ind w:hanging="425"/>
      </w:pPr>
      <w:r w:rsidRPr="006D5E8F">
        <w:t>How did TWES relate</w:t>
      </w:r>
      <w:r w:rsidRPr="00FF3D15">
        <w:rPr>
          <w:spacing w:val="-6"/>
        </w:rPr>
        <w:t xml:space="preserve"> </w:t>
      </w:r>
      <w:r w:rsidRPr="00FF3D15">
        <w:rPr>
          <w:spacing w:val="-1"/>
        </w:rPr>
        <w:t>to</w:t>
      </w:r>
      <w:r w:rsidRPr="00FF3D15">
        <w:rPr>
          <w:spacing w:val="-4"/>
        </w:rPr>
        <w:t xml:space="preserve"> </w:t>
      </w:r>
      <w:r w:rsidRPr="00FF3D15">
        <w:t>existing</w:t>
      </w:r>
      <w:r w:rsidRPr="00FF3D15">
        <w:rPr>
          <w:spacing w:val="-4"/>
        </w:rPr>
        <w:t xml:space="preserve"> </w:t>
      </w:r>
      <w:r w:rsidRPr="00FF3D15">
        <w:t>services</w:t>
      </w:r>
      <w:r w:rsidRPr="00FF3D15">
        <w:rPr>
          <w:spacing w:val="-5"/>
        </w:rPr>
        <w:t xml:space="preserve"> </w:t>
      </w:r>
      <w:r w:rsidRPr="00FF3D15">
        <w:t>or</w:t>
      </w:r>
      <w:r w:rsidRPr="00FF3D15">
        <w:rPr>
          <w:spacing w:val="-3"/>
        </w:rPr>
        <w:t xml:space="preserve"> </w:t>
      </w:r>
      <w:r w:rsidRPr="00FF3D15">
        <w:t>programs</w:t>
      </w:r>
      <w:r w:rsidRPr="00FF3D15">
        <w:rPr>
          <w:spacing w:val="-5"/>
        </w:rPr>
        <w:t xml:space="preserve"> </w:t>
      </w:r>
      <w:r w:rsidRPr="00FF3D15">
        <w:rPr>
          <w:spacing w:val="-1"/>
        </w:rPr>
        <w:t>and</w:t>
      </w:r>
      <w:r w:rsidRPr="00FF3D15">
        <w:rPr>
          <w:spacing w:val="-6"/>
        </w:rPr>
        <w:t xml:space="preserve"> </w:t>
      </w:r>
      <w:r w:rsidRPr="00FF3D15">
        <w:t>what</w:t>
      </w:r>
      <w:r w:rsidRPr="00FF3D15">
        <w:rPr>
          <w:spacing w:val="-4"/>
        </w:rPr>
        <w:t xml:space="preserve"> </w:t>
      </w:r>
      <w:r w:rsidRPr="00FF3D15">
        <w:t>were</w:t>
      </w:r>
      <w:r w:rsidRPr="00FF3D15">
        <w:rPr>
          <w:spacing w:val="-6"/>
        </w:rPr>
        <w:t xml:space="preserve"> </w:t>
      </w:r>
      <w:r w:rsidRPr="00FF3D15">
        <w:t>the</w:t>
      </w:r>
      <w:r w:rsidRPr="00FF3D15">
        <w:rPr>
          <w:spacing w:val="-5"/>
        </w:rPr>
        <w:t xml:space="preserve"> </w:t>
      </w:r>
      <w:r w:rsidRPr="00FF3D15">
        <w:t>implications</w:t>
      </w:r>
      <w:r w:rsidRPr="00FF3D15">
        <w:rPr>
          <w:spacing w:val="-5"/>
        </w:rPr>
        <w:t xml:space="preserve"> </w:t>
      </w:r>
      <w:r w:rsidRPr="00FF3D15">
        <w:t>of</w:t>
      </w:r>
      <w:r w:rsidRPr="00FF3D15">
        <w:rPr>
          <w:spacing w:val="-6"/>
        </w:rPr>
        <w:t xml:space="preserve"> </w:t>
      </w:r>
      <w:r w:rsidRPr="00FF3D15">
        <w:t>this?</w:t>
      </w:r>
    </w:p>
    <w:p w14:paraId="25627467" w14:textId="17173A06" w:rsidR="00F8564C" w:rsidRPr="00FF3D15" w:rsidRDefault="00F8564C" w:rsidP="00B4730A">
      <w:pPr>
        <w:pStyle w:val="Numberedlist"/>
        <w:ind w:hanging="425"/>
      </w:pPr>
      <w:r w:rsidRPr="00FF3D15">
        <w:t>What</w:t>
      </w:r>
      <w:r w:rsidRPr="00FF3D15">
        <w:rPr>
          <w:spacing w:val="-7"/>
        </w:rPr>
        <w:t xml:space="preserve"> </w:t>
      </w:r>
      <w:r w:rsidRPr="00FF3D15">
        <w:t>was</w:t>
      </w:r>
      <w:r w:rsidRPr="00FF3D15">
        <w:rPr>
          <w:spacing w:val="-5"/>
        </w:rPr>
        <w:t xml:space="preserve"> </w:t>
      </w:r>
      <w:r w:rsidRPr="00FF3D15">
        <w:t>the</w:t>
      </w:r>
      <w:r w:rsidRPr="00FF3D15">
        <w:rPr>
          <w:spacing w:val="-6"/>
        </w:rPr>
        <w:t xml:space="preserve"> </w:t>
      </w:r>
      <w:r w:rsidRPr="00FF3D15">
        <w:t>cost</w:t>
      </w:r>
      <w:r w:rsidRPr="00FF3D15">
        <w:rPr>
          <w:spacing w:val="-7"/>
        </w:rPr>
        <w:t xml:space="preserve"> </w:t>
      </w:r>
      <w:r w:rsidRPr="00FF3D15">
        <w:t>of</w:t>
      </w:r>
      <w:r w:rsidRPr="00FF3D15">
        <w:rPr>
          <w:spacing w:val="-6"/>
        </w:rPr>
        <w:t xml:space="preserve"> </w:t>
      </w:r>
      <w:r w:rsidRPr="00FF3D15">
        <w:t>delivering</w:t>
      </w:r>
      <w:r w:rsidRPr="00FF3D15">
        <w:rPr>
          <w:spacing w:val="-6"/>
        </w:rPr>
        <w:t xml:space="preserve"> </w:t>
      </w:r>
      <w:r w:rsidRPr="00FF3D15">
        <w:t>TWES?</w:t>
      </w:r>
    </w:p>
    <w:bookmarkEnd w:id="55"/>
    <w:p w14:paraId="7ACD50DB" w14:textId="28A79453" w:rsidR="001E29B7" w:rsidRDefault="00F92833" w:rsidP="00305B4B">
      <w:pPr>
        <w:pStyle w:val="Heading3"/>
        <w:ind w:right="3"/>
      </w:pPr>
      <w:r w:rsidRPr="00F92833">
        <w:t xml:space="preserve">Does the </w:t>
      </w:r>
      <w:r w:rsidRPr="007F09E7">
        <w:t>design a</w:t>
      </w:r>
      <w:r w:rsidRPr="00F92833">
        <w:t xml:space="preserve">nd delivery of TWES embody a strengths-based, collaborative and respectful approach with Aboriginal and Torres </w:t>
      </w:r>
      <w:r w:rsidRPr="00EB4BFE">
        <w:t>Strait</w:t>
      </w:r>
      <w:r w:rsidRPr="00F92833">
        <w:t xml:space="preserve"> Islander stakeholders?</w:t>
      </w:r>
    </w:p>
    <w:p w14:paraId="3FF1FFFB" w14:textId="14DA81C4" w:rsidR="004A562A" w:rsidRDefault="004A7973" w:rsidP="004A562A">
      <w:r>
        <w:rPr>
          <w:noProof/>
        </w:rPr>
        <mc:AlternateContent>
          <mc:Choice Requires="wps">
            <w:drawing>
              <wp:inline distT="0" distB="0" distL="0" distR="0" wp14:anchorId="1DB1002A" wp14:editId="0BE92302">
                <wp:extent cx="6382871" cy="3245224"/>
                <wp:effectExtent l="0" t="0" r="5715" b="6350"/>
                <wp:docPr id="1623174854" name="Text Box 1623174854"/>
                <wp:cNvGraphicFramePr/>
                <a:graphic xmlns:a="http://schemas.openxmlformats.org/drawingml/2006/main">
                  <a:graphicData uri="http://schemas.microsoft.com/office/word/2010/wordprocessingShape">
                    <wps:wsp>
                      <wps:cNvSpPr txBox="1"/>
                      <wps:spPr>
                        <a:xfrm>
                          <a:off x="0" y="0"/>
                          <a:ext cx="6382871" cy="3245224"/>
                        </a:xfrm>
                        <a:prstGeom prst="rect">
                          <a:avLst/>
                        </a:prstGeom>
                        <a:solidFill>
                          <a:schemeClr val="accent4">
                            <a:lumMod val="20000"/>
                            <a:lumOff val="80000"/>
                          </a:schemeClr>
                        </a:solidFill>
                        <a:ln w="6350">
                          <a:noFill/>
                        </a:ln>
                      </wps:spPr>
                      <wps:txbx>
                        <w:txbxContent>
                          <w:p w14:paraId="6BBCBBE9" w14:textId="77777777" w:rsidR="004A7973" w:rsidRPr="00EB4BFE" w:rsidRDefault="004A7973" w:rsidP="004A7973">
                            <w:pPr>
                              <w:pStyle w:val="BodyText"/>
                              <w:ind w:right="3"/>
                            </w:pPr>
                            <w:r w:rsidRPr="00C03373">
                              <w:rPr>
                                <w:b/>
                                <w:bCs/>
                              </w:rPr>
                              <w:t>Key Finding #1:</w:t>
                            </w:r>
                            <w:r w:rsidRPr="00EB4BFE">
                              <w:t xml:space="preserve"> TWES was developed following extensive consultation with Aboriginal and Torres Strait Islander stakeholders through the Prison to Work report, but the evaluation found limited evidence that Aboriginal and Torres Strait Islander stakeholders were consulted during its design and implementation. The overall design of TWES did align service provision to the core IAS values of respect, collaboration and strengths-based.</w:t>
                            </w:r>
                          </w:p>
                          <w:p w14:paraId="4281BB93" w14:textId="77777777" w:rsidR="004A7973" w:rsidRPr="004C5DDF" w:rsidRDefault="004A7973" w:rsidP="004A7973">
                            <w:pPr>
                              <w:pStyle w:val="BodyText"/>
                              <w:ind w:right="3"/>
                            </w:pPr>
                            <w:r w:rsidRPr="004C5DDF">
                              <w:t xml:space="preserve">Options for </w:t>
                            </w:r>
                            <w:r w:rsidRPr="00EB4BFE">
                              <w:t>consideration</w:t>
                            </w:r>
                            <w:r w:rsidRPr="004C5DDF">
                              <w:t>:</w:t>
                            </w:r>
                          </w:p>
                          <w:p w14:paraId="0605DFD5" w14:textId="77777777" w:rsidR="004A7973" w:rsidRPr="004A7973" w:rsidRDefault="004A7973" w:rsidP="004A7973">
                            <w:pPr>
                              <w:pStyle w:val="Numberedlist"/>
                            </w:pPr>
                            <w:r w:rsidRPr="004A7973">
                              <w:t>NIAA and DESE to establish a national reference group of Aboriginal and Torres Strait Islander stakeholders who can advise both agencies on ensuring that the ongoing delivery of, and any modifications to TWES, are culturally competent and appropriate, and reflect a holistic understanding of Aboriginal and Torres Strait Islander prisoners’ experiences and needs.</w:t>
                            </w:r>
                          </w:p>
                          <w:p w14:paraId="44093270" w14:textId="2A68914C" w:rsidR="004A7973" w:rsidRPr="004A7973" w:rsidRDefault="004A7973" w:rsidP="005A2B4A">
                            <w:pPr>
                              <w:pStyle w:val="Numberedlist"/>
                            </w:pPr>
                            <w:r w:rsidRPr="004A7973">
                              <w:t>NIAA and DESE to ensure that Aboriginal and Torres Strait Islander stakeholders with local knowledge and expertise are engaged in a co-design process through the design and implementation phases of future programs that are similar to TWES, to ensure that implementation is effective, locally relevant and strengths-based.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B1002A" id="_x0000_t202" coordsize="21600,21600" o:spt="202" path="m,l,21600r21600,l21600,xe">
                <v:stroke joinstyle="miter"/>
                <v:path gradientshapeok="t" o:connecttype="rect"/>
              </v:shapetype>
              <v:shape id="Text Box 1623174854" o:spid="_x0000_s1026" type="#_x0000_t202" style="width:502.6pt;height:25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" fillcolor="#f1ede4 [663]" stroked="f" strokeweight=".5pt">
                <v:textbox>
                  <w:txbxContent>
                    <w:p w14:paraId="6BBCBBE9" w14:textId="77777777" w:rsidR="004A7973" w:rsidRPr="00EB4BFE" w:rsidRDefault="004A7973" w:rsidP="004A7973">
                      <w:pPr>
                        <w:pStyle w:val="BodyText"/>
                        <w:ind w:right="3"/>
                      </w:pPr>
                      <w:r w:rsidRPr="00C03373">
                        <w:rPr>
                          <w:b/>
                          <w:bCs/>
                        </w:rPr>
                        <w:t>Key Finding #1:</w:t>
                      </w:r>
                      <w:r w:rsidRPr="00EB4BFE">
                        <w:t xml:space="preserve"> TWES was developed following extensive consultation with Aboriginal and Torres Strait Islander stakeholders through the Prison to Work report, but the evaluation found limited evidence that Aboriginal and Torres Strait Islander stakeholders were consulted during its design and implementation. The overall design of TWES did align service provision to the core IAS values of respect, collaboration and </w:t>
                      </w:r>
                      <w:proofErr w:type="gramStart"/>
                      <w:r w:rsidRPr="00EB4BFE">
                        <w:t>strengths-based</w:t>
                      </w:r>
                      <w:proofErr w:type="gramEnd"/>
                      <w:r w:rsidRPr="00EB4BFE">
                        <w:t>.</w:t>
                      </w:r>
                    </w:p>
                    <w:p w14:paraId="4281BB93" w14:textId="77777777" w:rsidR="004A7973" w:rsidRPr="004C5DDF" w:rsidRDefault="004A7973" w:rsidP="004A7973">
                      <w:pPr>
                        <w:pStyle w:val="BodyText"/>
                        <w:ind w:right="3"/>
                      </w:pPr>
                      <w:r w:rsidRPr="004C5DDF">
                        <w:t xml:space="preserve">Options for </w:t>
                      </w:r>
                      <w:r w:rsidRPr="00EB4BFE">
                        <w:t>consideration</w:t>
                      </w:r>
                      <w:r w:rsidRPr="004C5DDF">
                        <w:t>:</w:t>
                      </w:r>
                    </w:p>
                    <w:p w14:paraId="0605DFD5" w14:textId="77777777" w:rsidR="004A7973" w:rsidRPr="004A7973" w:rsidRDefault="004A7973" w:rsidP="004A7973">
                      <w:pPr>
                        <w:pStyle w:val="Numberedlist"/>
                      </w:pPr>
                      <w:r w:rsidRPr="004A7973">
                        <w:t>NIAA and DESE to establish a national reference group of Aboriginal and Torres Strait Islander stakeholders who can advise both agencies on ensuring that the ongoing delivery of, and any modifications to TWES, are culturally competent and appropriate, and reflect a holistic understanding of Aboriginal and Torres Strait Islander prisoners’ experiences and needs.</w:t>
                      </w:r>
                    </w:p>
                    <w:p w14:paraId="44093270" w14:textId="2A68914C" w:rsidR="004A7973" w:rsidRPr="004A7973" w:rsidRDefault="004A7973" w:rsidP="005A2B4A">
                      <w:pPr>
                        <w:pStyle w:val="Numberedlist"/>
                      </w:pPr>
                      <w:r w:rsidRPr="004A7973">
                        <w:t xml:space="preserve">NIAA and DESE to ensure that Aboriginal and Torres Strait Islander stakeholders with local knowledge and expertise are engaged in a co-design process through the design and implementation phases of future programs that are similar to TWES, to ensure that implementation is effective, locally relevant and </w:t>
                      </w:r>
                      <w:proofErr w:type="gramStart"/>
                      <w:r w:rsidRPr="004A7973">
                        <w:t>strengths-based</w:t>
                      </w:r>
                      <w:proofErr w:type="gramEnd"/>
                      <w:r w:rsidRPr="004A7973">
                        <w:t>.</w:t>
                      </w:r>
                    </w:p>
                  </w:txbxContent>
                </v:textbox>
                <w10:anchorlock/>
              </v:shape>
            </w:pict>
          </mc:Fallback>
        </mc:AlternateContent>
      </w:r>
    </w:p>
    <w:p w14:paraId="1848B5C1" w14:textId="77777777" w:rsidR="004A562A" w:rsidRPr="004A562A" w:rsidRDefault="004A562A" w:rsidP="004A562A"/>
    <w:p w14:paraId="4A55D176" w14:textId="77777777" w:rsidR="00BD7D18" w:rsidRDefault="00BD7D18" w:rsidP="00305B4B">
      <w:pPr>
        <w:pStyle w:val="BodyText"/>
        <w:ind w:right="3"/>
      </w:pPr>
    </w:p>
    <w:p w14:paraId="2006C130" w14:textId="77777777" w:rsidR="006D5E8F" w:rsidRDefault="006D5E8F" w:rsidP="00305B4B">
      <w:pPr>
        <w:pStyle w:val="BodyText"/>
        <w:ind w:right="3"/>
      </w:pPr>
    </w:p>
    <w:p w14:paraId="20BF69DA" w14:textId="12E96CFC" w:rsidR="00747A9A" w:rsidRPr="00FF3D15" w:rsidRDefault="00747A9A" w:rsidP="00305B4B">
      <w:pPr>
        <w:pStyle w:val="BodyText"/>
        <w:ind w:right="3"/>
        <w:rPr>
          <w:sz w:val="13"/>
        </w:rPr>
      </w:pPr>
      <w:r>
        <w:lastRenderedPageBreak/>
        <w:t>The TWES Evaluation aimed to evaluate whether the design and delivery of TWES embodied the three core values of the Commonwealth Government’s Indigenous</w:t>
      </w:r>
      <w:r w:rsidRPr="00FF3D15">
        <w:rPr>
          <w:spacing w:val="-6"/>
        </w:rPr>
        <w:t xml:space="preserve"> </w:t>
      </w:r>
      <w:r>
        <w:t>Advancement</w:t>
      </w:r>
      <w:r w:rsidRPr="00FF3D15">
        <w:rPr>
          <w:spacing w:val="-5"/>
        </w:rPr>
        <w:t xml:space="preserve"> </w:t>
      </w:r>
      <w:r>
        <w:t>Strategy</w:t>
      </w:r>
      <w:r w:rsidR="000970BD">
        <w:t xml:space="preserve"> (IAS)</w:t>
      </w:r>
      <w:r>
        <w:t>. These values are:</w:t>
      </w:r>
      <w:r>
        <w:rPr>
          <w:rStyle w:val="FootnoteReference"/>
        </w:rPr>
        <w:footnoteReference w:id="13"/>
      </w:r>
    </w:p>
    <w:p w14:paraId="6A4CA71C" w14:textId="25AA090F" w:rsidR="00747A9A" w:rsidRPr="00FF3D15" w:rsidRDefault="00747A9A" w:rsidP="00305B4B">
      <w:pPr>
        <w:pStyle w:val="Bulletedlist"/>
        <w:ind w:right="3"/>
      </w:pPr>
      <w:r w:rsidRPr="00EB4BFE">
        <w:rPr>
          <w:b/>
        </w:rPr>
        <w:t>Respect:</w:t>
      </w:r>
      <w:r w:rsidRPr="00FF3D15">
        <w:rPr>
          <w:b/>
          <w:spacing w:val="-6"/>
        </w:rPr>
        <w:t xml:space="preserve"> </w:t>
      </w:r>
      <w:r w:rsidRPr="00FF3D15">
        <w:t>programs</w:t>
      </w:r>
      <w:r w:rsidRPr="00FF3D15">
        <w:rPr>
          <w:spacing w:val="-7"/>
        </w:rPr>
        <w:t xml:space="preserve"> </w:t>
      </w:r>
      <w:r w:rsidRPr="00FF3D15">
        <w:rPr>
          <w:spacing w:val="-1"/>
        </w:rPr>
        <w:t>and</w:t>
      </w:r>
      <w:r w:rsidRPr="00FF3D15">
        <w:rPr>
          <w:spacing w:val="-8"/>
        </w:rPr>
        <w:t xml:space="preserve"> </w:t>
      </w:r>
      <w:r w:rsidRPr="00FF3D15">
        <w:t>activities</w:t>
      </w:r>
      <w:r w:rsidRPr="00FF3D15">
        <w:rPr>
          <w:spacing w:val="-8"/>
        </w:rPr>
        <w:t xml:space="preserve"> </w:t>
      </w:r>
      <w:r w:rsidRPr="00FF3D15">
        <w:t>demonstrate</w:t>
      </w:r>
      <w:r w:rsidRPr="00FF3D15">
        <w:rPr>
          <w:spacing w:val="-9"/>
        </w:rPr>
        <w:t xml:space="preserve"> </w:t>
      </w:r>
      <w:r w:rsidRPr="00FF3D15">
        <w:t>cultural</w:t>
      </w:r>
      <w:r w:rsidRPr="00FF3D15">
        <w:rPr>
          <w:spacing w:val="-9"/>
        </w:rPr>
        <w:t xml:space="preserve"> </w:t>
      </w:r>
      <w:r w:rsidRPr="00FF3D15">
        <w:t>respect</w:t>
      </w:r>
      <w:r w:rsidRPr="00FF3D15">
        <w:rPr>
          <w:spacing w:val="-9"/>
        </w:rPr>
        <w:t xml:space="preserve"> </w:t>
      </w:r>
      <w:r w:rsidRPr="00FF3D15">
        <w:t>towards</w:t>
      </w:r>
      <w:r w:rsidRPr="00FF3D15">
        <w:rPr>
          <w:spacing w:val="-3"/>
        </w:rPr>
        <w:t xml:space="preserve"> </w:t>
      </w:r>
      <w:r w:rsidRPr="00FF3D15">
        <w:t>Indigenous</w:t>
      </w:r>
      <w:r w:rsidRPr="00FF3D15">
        <w:rPr>
          <w:spacing w:val="30"/>
          <w:w w:val="99"/>
        </w:rPr>
        <w:t xml:space="preserve"> </w:t>
      </w:r>
      <w:r w:rsidRPr="00FF3D15">
        <w:rPr>
          <w:spacing w:val="-1"/>
        </w:rPr>
        <w:t>Australians</w:t>
      </w:r>
      <w:r w:rsidR="00531350">
        <w:rPr>
          <w:spacing w:val="-1"/>
        </w:rPr>
        <w:t>.</w:t>
      </w:r>
    </w:p>
    <w:p w14:paraId="19B3D1FD" w14:textId="1A25A57F" w:rsidR="00747A9A" w:rsidRPr="00FF3D15" w:rsidRDefault="00747A9A" w:rsidP="00305B4B">
      <w:pPr>
        <w:pStyle w:val="Bulletedlist"/>
        <w:ind w:right="3"/>
      </w:pPr>
      <w:r w:rsidRPr="00EB4BFE">
        <w:rPr>
          <w:b/>
          <w:spacing w:val="-1"/>
        </w:rPr>
        <w:t>Collaboration:</w:t>
      </w:r>
      <w:r w:rsidRPr="00FF3D15">
        <w:rPr>
          <w:b/>
          <w:spacing w:val="-7"/>
        </w:rPr>
        <w:t xml:space="preserve"> </w:t>
      </w:r>
      <w:r w:rsidRPr="00FF3D15">
        <w:t>programs</w:t>
      </w:r>
      <w:r w:rsidRPr="00FF3D15">
        <w:rPr>
          <w:spacing w:val="-7"/>
        </w:rPr>
        <w:t xml:space="preserve"> </w:t>
      </w:r>
      <w:r w:rsidRPr="00FF3D15">
        <w:t>and</w:t>
      </w:r>
      <w:r w:rsidRPr="00FF3D15">
        <w:rPr>
          <w:spacing w:val="-8"/>
        </w:rPr>
        <w:t xml:space="preserve"> </w:t>
      </w:r>
      <w:r w:rsidRPr="00FF3D15">
        <w:t>activities</w:t>
      </w:r>
      <w:r w:rsidRPr="00FF3D15">
        <w:rPr>
          <w:spacing w:val="-7"/>
        </w:rPr>
        <w:t xml:space="preserve"> </w:t>
      </w:r>
      <w:r w:rsidRPr="00FF3D15">
        <w:t>are</w:t>
      </w:r>
      <w:r w:rsidRPr="00FF3D15">
        <w:rPr>
          <w:spacing w:val="-7"/>
        </w:rPr>
        <w:t xml:space="preserve"> </w:t>
      </w:r>
      <w:r w:rsidRPr="00FF3D15">
        <w:rPr>
          <w:spacing w:val="-1"/>
        </w:rPr>
        <w:t>designed</w:t>
      </w:r>
      <w:r w:rsidRPr="00FF3D15">
        <w:rPr>
          <w:spacing w:val="-6"/>
        </w:rPr>
        <w:t xml:space="preserve"> </w:t>
      </w:r>
      <w:r w:rsidRPr="00FF3D15">
        <w:t>and</w:t>
      </w:r>
      <w:r w:rsidRPr="00FF3D15">
        <w:rPr>
          <w:spacing w:val="-8"/>
        </w:rPr>
        <w:t xml:space="preserve"> </w:t>
      </w:r>
      <w:r w:rsidRPr="00FF3D15">
        <w:t>delivered</w:t>
      </w:r>
      <w:r w:rsidRPr="00FF3D15">
        <w:rPr>
          <w:spacing w:val="-6"/>
        </w:rPr>
        <w:t xml:space="preserve"> </w:t>
      </w:r>
      <w:r w:rsidRPr="00FF3D15">
        <w:rPr>
          <w:spacing w:val="-1"/>
        </w:rPr>
        <w:t>in</w:t>
      </w:r>
      <w:r w:rsidRPr="00FF3D15">
        <w:rPr>
          <w:spacing w:val="-8"/>
        </w:rPr>
        <w:t xml:space="preserve"> </w:t>
      </w:r>
      <w:r w:rsidRPr="00FF3D15">
        <w:t>collaboration</w:t>
      </w:r>
      <w:r w:rsidRPr="00FF3D15">
        <w:rPr>
          <w:spacing w:val="-8"/>
        </w:rPr>
        <w:t xml:space="preserve"> </w:t>
      </w:r>
      <w:r w:rsidRPr="00FF3D15">
        <w:t>with</w:t>
      </w:r>
      <w:r>
        <w:t xml:space="preserve"> Indigenous</w:t>
      </w:r>
      <w:r w:rsidR="00531350">
        <w:rPr>
          <w:spacing w:val="-6"/>
        </w:rPr>
        <w:t xml:space="preserve"> </w:t>
      </w:r>
      <w:r w:rsidRPr="00FF3D15">
        <w:rPr>
          <w:spacing w:val="-1"/>
        </w:rPr>
        <w:t>Australians,</w:t>
      </w:r>
      <w:r w:rsidRPr="00FF3D15">
        <w:rPr>
          <w:spacing w:val="-9"/>
        </w:rPr>
        <w:t xml:space="preserve"> </w:t>
      </w:r>
      <w:r w:rsidRPr="00FF3D15">
        <w:t>ensuring</w:t>
      </w:r>
      <w:r w:rsidRPr="00FF3D15">
        <w:rPr>
          <w:spacing w:val="-8"/>
        </w:rPr>
        <w:t xml:space="preserve"> </w:t>
      </w:r>
      <w:r w:rsidRPr="00FF3D15">
        <w:t>diverse</w:t>
      </w:r>
      <w:r w:rsidRPr="00FF3D15">
        <w:rPr>
          <w:spacing w:val="-9"/>
        </w:rPr>
        <w:t xml:space="preserve"> </w:t>
      </w:r>
      <w:r w:rsidRPr="00FF3D15">
        <w:t>voices</w:t>
      </w:r>
      <w:r w:rsidRPr="00FF3D15">
        <w:rPr>
          <w:spacing w:val="-7"/>
        </w:rPr>
        <w:t xml:space="preserve"> </w:t>
      </w:r>
      <w:r w:rsidRPr="00FF3D15">
        <w:t>are</w:t>
      </w:r>
      <w:r w:rsidRPr="00FF3D15">
        <w:rPr>
          <w:spacing w:val="-9"/>
        </w:rPr>
        <w:t xml:space="preserve"> </w:t>
      </w:r>
      <w:r w:rsidRPr="00FF3D15">
        <w:t>heard</w:t>
      </w:r>
      <w:r w:rsidRPr="00FF3D15">
        <w:rPr>
          <w:spacing w:val="-8"/>
        </w:rPr>
        <w:t xml:space="preserve"> </w:t>
      </w:r>
      <w:r w:rsidRPr="00FF3D15">
        <w:t>and</w:t>
      </w:r>
      <w:r w:rsidRPr="00FF3D15">
        <w:rPr>
          <w:spacing w:val="-9"/>
        </w:rPr>
        <w:t xml:space="preserve"> </w:t>
      </w:r>
      <w:r w:rsidRPr="00FF3D15">
        <w:t>respected</w:t>
      </w:r>
      <w:r w:rsidR="00531350">
        <w:t>.</w:t>
      </w:r>
    </w:p>
    <w:p w14:paraId="228B9135" w14:textId="1B33F909" w:rsidR="00747A9A" w:rsidRPr="00FF3D15" w:rsidRDefault="00747A9A" w:rsidP="00305B4B">
      <w:pPr>
        <w:pStyle w:val="Bulletedlist"/>
        <w:ind w:right="3"/>
      </w:pPr>
      <w:r w:rsidRPr="00EB4BFE">
        <w:rPr>
          <w:b/>
          <w:spacing w:val="-1"/>
        </w:rPr>
        <w:t>Strengths-based:</w:t>
      </w:r>
      <w:r w:rsidRPr="00FF3D15">
        <w:rPr>
          <w:b/>
          <w:spacing w:val="-6"/>
        </w:rPr>
        <w:t xml:space="preserve"> </w:t>
      </w:r>
      <w:r w:rsidRPr="00FF3D15">
        <w:t>programs</w:t>
      </w:r>
      <w:r w:rsidRPr="00FF3D15">
        <w:rPr>
          <w:spacing w:val="-7"/>
        </w:rPr>
        <w:t xml:space="preserve"> </w:t>
      </w:r>
      <w:r w:rsidRPr="00FF3D15">
        <w:rPr>
          <w:spacing w:val="-1"/>
        </w:rPr>
        <w:t>and</w:t>
      </w:r>
      <w:r w:rsidRPr="00FF3D15">
        <w:rPr>
          <w:spacing w:val="-8"/>
        </w:rPr>
        <w:t xml:space="preserve"> </w:t>
      </w:r>
      <w:r w:rsidRPr="00FF3D15">
        <w:t>activities</w:t>
      </w:r>
      <w:r w:rsidRPr="00FF3D15">
        <w:rPr>
          <w:spacing w:val="-5"/>
        </w:rPr>
        <w:t xml:space="preserve"> </w:t>
      </w:r>
      <w:r w:rsidRPr="00FF3D15">
        <w:t>build</w:t>
      </w:r>
      <w:r w:rsidRPr="00FF3D15">
        <w:rPr>
          <w:spacing w:val="-8"/>
        </w:rPr>
        <w:t xml:space="preserve"> </w:t>
      </w:r>
      <w:r w:rsidRPr="00FF3D15">
        <w:t>on</w:t>
      </w:r>
      <w:r w:rsidRPr="00FF3D15">
        <w:rPr>
          <w:spacing w:val="-8"/>
        </w:rPr>
        <w:t xml:space="preserve"> </w:t>
      </w:r>
      <w:r w:rsidRPr="00FF3D15">
        <w:t>strengths</w:t>
      </w:r>
      <w:r w:rsidRPr="00FF3D15">
        <w:rPr>
          <w:spacing w:val="-7"/>
        </w:rPr>
        <w:t xml:space="preserve"> </w:t>
      </w:r>
      <w:r w:rsidRPr="00FF3D15">
        <w:t>to</w:t>
      </w:r>
      <w:r w:rsidRPr="00FF3D15">
        <w:rPr>
          <w:spacing w:val="-7"/>
        </w:rPr>
        <w:t xml:space="preserve"> </w:t>
      </w:r>
      <w:r w:rsidRPr="00FF3D15">
        <w:t>make</w:t>
      </w:r>
      <w:r w:rsidRPr="00FF3D15">
        <w:rPr>
          <w:spacing w:val="-8"/>
        </w:rPr>
        <w:t xml:space="preserve"> </w:t>
      </w:r>
      <w:r w:rsidRPr="00FF3D15">
        <w:t>a</w:t>
      </w:r>
      <w:r w:rsidRPr="00FF3D15">
        <w:rPr>
          <w:spacing w:val="-7"/>
        </w:rPr>
        <w:t xml:space="preserve"> </w:t>
      </w:r>
      <w:r w:rsidRPr="00FF3D15">
        <w:t>positive</w:t>
      </w:r>
      <w:r w:rsidRPr="00FF3D15">
        <w:rPr>
          <w:spacing w:val="-8"/>
        </w:rPr>
        <w:t xml:space="preserve"> </w:t>
      </w:r>
      <w:r w:rsidRPr="00FF3D15">
        <w:t>contribution</w:t>
      </w:r>
      <w:r>
        <w:t xml:space="preserve"> to</w:t>
      </w:r>
      <w:r w:rsidRPr="00FF3D15">
        <w:rPr>
          <w:spacing w:val="-7"/>
        </w:rPr>
        <w:t xml:space="preserve"> </w:t>
      </w:r>
      <w:r w:rsidRPr="00FF3D15">
        <w:t>the</w:t>
      </w:r>
      <w:r w:rsidRPr="00FF3D15">
        <w:rPr>
          <w:spacing w:val="-7"/>
        </w:rPr>
        <w:t xml:space="preserve"> </w:t>
      </w:r>
      <w:r w:rsidRPr="00FF3D15">
        <w:t>lives</w:t>
      </w:r>
      <w:r w:rsidRPr="00FF3D15">
        <w:rPr>
          <w:spacing w:val="-6"/>
        </w:rPr>
        <w:t xml:space="preserve"> </w:t>
      </w:r>
      <w:r w:rsidRPr="00FF3D15">
        <w:t>of</w:t>
      </w:r>
      <w:r w:rsidRPr="00FF3D15">
        <w:rPr>
          <w:spacing w:val="-6"/>
        </w:rPr>
        <w:t xml:space="preserve"> </w:t>
      </w:r>
      <w:r w:rsidRPr="00FF3D15">
        <w:t>current</w:t>
      </w:r>
      <w:r w:rsidRPr="00FF3D15">
        <w:rPr>
          <w:spacing w:val="-5"/>
        </w:rPr>
        <w:t xml:space="preserve"> </w:t>
      </w:r>
      <w:r w:rsidRPr="00FF3D15">
        <w:t>and</w:t>
      </w:r>
      <w:r w:rsidRPr="00FF3D15">
        <w:rPr>
          <w:spacing w:val="-7"/>
        </w:rPr>
        <w:t xml:space="preserve"> </w:t>
      </w:r>
      <w:r w:rsidRPr="00FF3D15">
        <w:t>future</w:t>
      </w:r>
      <w:r w:rsidRPr="00FF3D15">
        <w:rPr>
          <w:spacing w:val="-5"/>
        </w:rPr>
        <w:t xml:space="preserve"> </w:t>
      </w:r>
      <w:r w:rsidRPr="00FF3D15">
        <w:t>generations</w:t>
      </w:r>
      <w:r w:rsidRPr="00FF3D15">
        <w:rPr>
          <w:spacing w:val="-6"/>
        </w:rPr>
        <w:t xml:space="preserve"> </w:t>
      </w:r>
      <w:r w:rsidRPr="00FF3D15">
        <w:t>of</w:t>
      </w:r>
      <w:r w:rsidRPr="00FF3D15">
        <w:rPr>
          <w:spacing w:val="-6"/>
        </w:rPr>
        <w:t xml:space="preserve"> </w:t>
      </w:r>
      <w:r w:rsidRPr="00FF3D15">
        <w:t>Indigenous</w:t>
      </w:r>
      <w:r w:rsidRPr="00FF3D15">
        <w:rPr>
          <w:spacing w:val="-6"/>
        </w:rPr>
        <w:t xml:space="preserve"> </w:t>
      </w:r>
      <w:r w:rsidRPr="00FF3D15">
        <w:t>Australians.</w:t>
      </w:r>
    </w:p>
    <w:p w14:paraId="77536EF9" w14:textId="055C45AF" w:rsidR="00E15083" w:rsidRDefault="000816F4" w:rsidP="00305B4B">
      <w:pPr>
        <w:pStyle w:val="BodyText"/>
        <w:ind w:right="3"/>
      </w:pPr>
      <w:r>
        <w:t xml:space="preserve">The IAS Evaluation Framework outlines that </w:t>
      </w:r>
      <w:r w:rsidRPr="00EB4BFE">
        <w:t>all</w:t>
      </w:r>
      <w:r>
        <w:t xml:space="preserve"> Commonwealth-funded programs, services and policies affecting Aboriginal and Torres Strait Islander peoples and communities should be evaluated</w:t>
      </w:r>
      <w:r w:rsidR="00857674">
        <w:t xml:space="preserve"> against these values. </w:t>
      </w:r>
      <w:r w:rsidR="00E15083">
        <w:t xml:space="preserve">The evaluation considered </w:t>
      </w:r>
      <w:r w:rsidR="00F70F63">
        <w:t>the extent to which these core values were embodied in</w:t>
      </w:r>
      <w:r w:rsidR="003B6291">
        <w:t xml:space="preserve"> </w:t>
      </w:r>
      <w:r w:rsidR="0088132E">
        <w:t xml:space="preserve">1) </w:t>
      </w:r>
      <w:r w:rsidR="002257F3">
        <w:t xml:space="preserve">collaboration with </w:t>
      </w:r>
      <w:r w:rsidR="00E96AFA">
        <w:t>Aboriginal and Torres Strait Isl</w:t>
      </w:r>
      <w:r w:rsidR="002257F3">
        <w:t>an</w:t>
      </w:r>
      <w:r w:rsidR="00E96AFA">
        <w:t xml:space="preserve">der stakeholders </w:t>
      </w:r>
      <w:r w:rsidR="00D45364">
        <w:t xml:space="preserve">during the </w:t>
      </w:r>
      <w:r w:rsidR="002257F3">
        <w:t xml:space="preserve">design of TWES, 2) </w:t>
      </w:r>
      <w:r w:rsidR="00D45364">
        <w:t xml:space="preserve">whether the </w:t>
      </w:r>
      <w:r w:rsidR="003353BD">
        <w:t>components of TWES reflect these values, and 3) whether the deliver</w:t>
      </w:r>
      <w:r w:rsidR="002A34D3">
        <w:t>y</w:t>
      </w:r>
      <w:r w:rsidR="003353BD">
        <w:t xml:space="preserve"> of TWES reflects these values. </w:t>
      </w:r>
    </w:p>
    <w:p w14:paraId="43514B38" w14:textId="7774A10A" w:rsidR="00751EEF" w:rsidRDefault="006D5E8F" w:rsidP="00B4730A">
      <w:pPr>
        <w:pStyle w:val="Heading4"/>
      </w:pPr>
      <w:r>
        <w:t xml:space="preserve">1. </w:t>
      </w:r>
      <w:r w:rsidR="005221B7">
        <w:t xml:space="preserve">Was TWES designed in collaboration with </w:t>
      </w:r>
      <w:r w:rsidR="00751EEF">
        <w:t xml:space="preserve">Aboriginal and Torres Strait Islander </w:t>
      </w:r>
      <w:r w:rsidR="00592A64">
        <w:t>s</w:t>
      </w:r>
      <w:r w:rsidR="00751EEF">
        <w:t>takeholders</w:t>
      </w:r>
      <w:r w:rsidR="00592A64">
        <w:t>?</w:t>
      </w:r>
    </w:p>
    <w:p w14:paraId="38C23459" w14:textId="33AD16F0" w:rsidR="00F27959" w:rsidRPr="00354373" w:rsidRDefault="0006701A" w:rsidP="00305B4B">
      <w:pPr>
        <w:pStyle w:val="BodyText"/>
        <w:ind w:right="3"/>
      </w:pPr>
      <w:r w:rsidRPr="00A55BDC">
        <w:t>T</w:t>
      </w:r>
      <w:r w:rsidR="00F27959" w:rsidRPr="00A55BDC">
        <w:t>WES wa</w:t>
      </w:r>
      <w:r w:rsidR="00F27959" w:rsidRPr="00D9522A">
        <w:t xml:space="preserve">s designed </w:t>
      </w:r>
      <w:r w:rsidR="00FD3F60">
        <w:t xml:space="preserve">to address findings of the </w:t>
      </w:r>
      <w:r w:rsidR="00FD3F60" w:rsidRPr="0032373C">
        <w:rPr>
          <w:i/>
        </w:rPr>
        <w:t>Prison to Work</w:t>
      </w:r>
      <w:r w:rsidR="00FD3F60">
        <w:t xml:space="preserve"> </w:t>
      </w:r>
      <w:r w:rsidR="00904869">
        <w:t>r</w:t>
      </w:r>
      <w:r w:rsidR="00FD3F60">
        <w:t xml:space="preserve">eport. This report was developed based on extensive consultation with </w:t>
      </w:r>
      <w:r w:rsidR="00F27959" w:rsidRPr="00D9522A">
        <w:t>Aboriginal and Torres Strait Islander stakeholder</w:t>
      </w:r>
      <w:r w:rsidR="00C203A5">
        <w:t>s</w:t>
      </w:r>
      <w:r w:rsidR="00F27959">
        <w:rPr>
          <w:iCs/>
        </w:rPr>
        <w:t xml:space="preserve">. </w:t>
      </w:r>
      <w:r w:rsidR="00F27959">
        <w:t xml:space="preserve">TWES was designed specifically in response to Finding 5 of </w:t>
      </w:r>
      <w:r w:rsidR="00F27959">
        <w:rPr>
          <w:i/>
          <w:iCs/>
        </w:rPr>
        <w:t>Prison to</w:t>
      </w:r>
      <w:r w:rsidR="00F27959" w:rsidRPr="00EC65EA">
        <w:rPr>
          <w:i/>
          <w:iCs/>
        </w:rPr>
        <w:t xml:space="preserve"> Work</w:t>
      </w:r>
      <w:r w:rsidR="00F27959">
        <w:t xml:space="preserve">, and the actions identified for Commonwealth and </w:t>
      </w:r>
      <w:r w:rsidR="00B63B84">
        <w:t>state</w:t>
      </w:r>
      <w:r w:rsidR="00F27959">
        <w:t>/</w:t>
      </w:r>
      <w:r w:rsidR="00B63B84">
        <w:t xml:space="preserve">territory </w:t>
      </w:r>
      <w:r w:rsidR="00856FC4">
        <w:t>g</w:t>
      </w:r>
      <w:r w:rsidR="00F27959">
        <w:t>overnments under that finding.</w:t>
      </w:r>
      <w:r w:rsidR="00826D53">
        <w:t xml:space="preserve"> </w:t>
      </w:r>
      <w:r w:rsidR="00826D53" w:rsidRPr="00826D53">
        <w:rPr>
          <w:i/>
          <w:iCs/>
        </w:rPr>
        <w:t>Prison to Work</w:t>
      </w:r>
      <w:r w:rsidR="00904869">
        <w:rPr>
          <w:i/>
          <w:iCs/>
        </w:rPr>
        <w:t>’s</w:t>
      </w:r>
      <w:r w:rsidR="00826D53">
        <w:t xml:space="preserve"> findings and actions were </w:t>
      </w:r>
      <w:r w:rsidR="003C56F7" w:rsidRPr="003C56F7">
        <w:t>developed after extensive national consultation with Aboriginal and Torres Strait Islander stakeholders and experts including service providers, peak bodies, academics, and prisoners</w:t>
      </w:r>
      <w:r w:rsidR="003C56F7">
        <w:t xml:space="preserve">. Consultations </w:t>
      </w:r>
      <w:r w:rsidR="00F27959">
        <w:t>were</w:t>
      </w:r>
      <w:r w:rsidR="00F27959" w:rsidRPr="00FF3D15">
        <w:rPr>
          <w:spacing w:val="-6"/>
        </w:rPr>
        <w:t xml:space="preserve"> </w:t>
      </w:r>
      <w:r w:rsidR="00F27959">
        <w:t>led</w:t>
      </w:r>
      <w:r w:rsidR="00F27959" w:rsidRPr="00FF3D15">
        <w:rPr>
          <w:spacing w:val="-6"/>
        </w:rPr>
        <w:t xml:space="preserve"> </w:t>
      </w:r>
      <w:r w:rsidR="00F27959" w:rsidRPr="00FF3D15">
        <w:t>by</w:t>
      </w:r>
      <w:r w:rsidR="00F27959" w:rsidRPr="00FF3D15">
        <w:rPr>
          <w:spacing w:val="-5"/>
        </w:rPr>
        <w:t xml:space="preserve"> </w:t>
      </w:r>
      <w:r w:rsidR="00F27959">
        <w:t>Jeremy</w:t>
      </w:r>
      <w:r w:rsidR="00F27959" w:rsidRPr="00FF3D15">
        <w:rPr>
          <w:spacing w:val="-6"/>
        </w:rPr>
        <w:t xml:space="preserve"> </w:t>
      </w:r>
      <w:r w:rsidR="00F27959">
        <w:t>Donovan,</w:t>
      </w:r>
      <w:r w:rsidR="00F27959" w:rsidRPr="00FF3D15">
        <w:rPr>
          <w:spacing w:val="-5"/>
        </w:rPr>
        <w:t xml:space="preserve"> </w:t>
      </w:r>
      <w:r w:rsidR="00F27959">
        <w:t>a</w:t>
      </w:r>
      <w:r w:rsidR="00F27959" w:rsidRPr="00FF3D15">
        <w:rPr>
          <w:spacing w:val="-3"/>
        </w:rPr>
        <w:t xml:space="preserve"> </w:t>
      </w:r>
      <w:r w:rsidR="00F27959" w:rsidRPr="00FF3D15">
        <w:t>Kuku-Yalanji</w:t>
      </w:r>
      <w:r w:rsidR="00F27959" w:rsidRPr="00FF3D15">
        <w:rPr>
          <w:spacing w:val="-7"/>
        </w:rPr>
        <w:t xml:space="preserve"> </w:t>
      </w:r>
      <w:r w:rsidR="00F27959">
        <w:t>artist,</w:t>
      </w:r>
      <w:r w:rsidR="00F27959" w:rsidRPr="00FF3D15">
        <w:rPr>
          <w:spacing w:val="-7"/>
        </w:rPr>
        <w:t xml:space="preserve"> </w:t>
      </w:r>
      <w:r w:rsidR="00F27959">
        <w:t>leader</w:t>
      </w:r>
      <w:r w:rsidR="00F27959" w:rsidRPr="00FF3D15">
        <w:rPr>
          <w:spacing w:val="-6"/>
        </w:rPr>
        <w:t xml:space="preserve"> </w:t>
      </w:r>
      <w:r w:rsidR="00F27959">
        <w:t>and</w:t>
      </w:r>
      <w:r w:rsidR="00F27959" w:rsidRPr="00FF3D15">
        <w:rPr>
          <w:spacing w:val="-7"/>
        </w:rPr>
        <w:t xml:space="preserve"> </w:t>
      </w:r>
      <w:r w:rsidR="00F27959">
        <w:t>consultant,</w:t>
      </w:r>
      <w:r w:rsidR="00F27959" w:rsidRPr="00FF3D15">
        <w:rPr>
          <w:spacing w:val="-6"/>
        </w:rPr>
        <w:t xml:space="preserve"> </w:t>
      </w:r>
      <w:r w:rsidR="00F27959">
        <w:t>and</w:t>
      </w:r>
      <w:r w:rsidR="00F27959" w:rsidRPr="00FF3D15">
        <w:rPr>
          <w:spacing w:val="-7"/>
        </w:rPr>
        <w:t xml:space="preserve"> </w:t>
      </w:r>
      <w:r w:rsidR="00F27959">
        <w:t xml:space="preserve">the </w:t>
      </w:r>
      <w:r w:rsidR="00F27959" w:rsidRPr="0032373C">
        <w:rPr>
          <w:i/>
          <w:iCs/>
        </w:rPr>
        <w:t>Prison</w:t>
      </w:r>
      <w:r w:rsidR="00F27959" w:rsidRPr="0032373C">
        <w:rPr>
          <w:i/>
          <w:iCs/>
          <w:spacing w:val="-5"/>
        </w:rPr>
        <w:t xml:space="preserve"> </w:t>
      </w:r>
      <w:r w:rsidR="00F27959" w:rsidRPr="0032373C">
        <w:rPr>
          <w:i/>
          <w:iCs/>
        </w:rPr>
        <w:t>to</w:t>
      </w:r>
      <w:r w:rsidR="00F27959" w:rsidRPr="0032373C">
        <w:rPr>
          <w:i/>
          <w:iCs/>
          <w:spacing w:val="-4"/>
        </w:rPr>
        <w:t xml:space="preserve"> </w:t>
      </w:r>
      <w:r w:rsidR="00F27959" w:rsidRPr="0032373C">
        <w:rPr>
          <w:i/>
          <w:iCs/>
        </w:rPr>
        <w:t>Work</w:t>
      </w:r>
      <w:r w:rsidR="00904869">
        <w:t xml:space="preserve"> project team</w:t>
      </w:r>
      <w:r w:rsidR="00F27959">
        <w:t>,</w:t>
      </w:r>
      <w:r w:rsidR="00F27959" w:rsidRPr="00FF3D15">
        <w:rPr>
          <w:spacing w:val="-4"/>
        </w:rPr>
        <w:t xml:space="preserve"> </w:t>
      </w:r>
      <w:r w:rsidR="00F27959">
        <w:t>which</w:t>
      </w:r>
      <w:r w:rsidR="00F27959" w:rsidRPr="00FF3D15">
        <w:rPr>
          <w:spacing w:val="-6"/>
        </w:rPr>
        <w:t xml:space="preserve"> </w:t>
      </w:r>
      <w:r w:rsidR="00F27959" w:rsidRPr="00FF3D15">
        <w:t>was</w:t>
      </w:r>
      <w:r w:rsidR="00F27959" w:rsidRPr="00FF3D15">
        <w:rPr>
          <w:spacing w:val="-2"/>
        </w:rPr>
        <w:t xml:space="preserve"> </w:t>
      </w:r>
      <w:r w:rsidR="00F27959">
        <w:t>based</w:t>
      </w:r>
      <w:r w:rsidR="00F27959" w:rsidRPr="00FF3D15">
        <w:rPr>
          <w:spacing w:val="-5"/>
        </w:rPr>
        <w:t xml:space="preserve"> </w:t>
      </w:r>
      <w:r w:rsidR="00F27959">
        <w:t>at</w:t>
      </w:r>
      <w:r w:rsidR="00F27959" w:rsidRPr="00FF3D15">
        <w:rPr>
          <w:spacing w:val="-5"/>
        </w:rPr>
        <w:t xml:space="preserve"> </w:t>
      </w:r>
      <w:r w:rsidR="00F27959">
        <w:t>NIAA.</w:t>
      </w:r>
    </w:p>
    <w:p w14:paraId="16F080F7" w14:textId="77777777" w:rsidR="007000F6" w:rsidRDefault="00F27959" w:rsidP="00305B4B">
      <w:pPr>
        <w:pStyle w:val="BodyText"/>
        <w:ind w:right="3"/>
      </w:pPr>
      <w:r>
        <w:t xml:space="preserve">However, </w:t>
      </w:r>
      <w:bookmarkStart w:id="58" w:name="_Hlk72148449"/>
      <w:r>
        <w:t xml:space="preserve">the evaluation found limited evidence about how Aboriginal and Torres Strait Islander stakeholders were consulted at the implementation phase of TWES – for example, to help take the findings of </w:t>
      </w:r>
      <w:r>
        <w:rPr>
          <w:i/>
          <w:iCs/>
        </w:rPr>
        <w:t xml:space="preserve">Prison to Work </w:t>
      </w:r>
      <w:r>
        <w:t>and design the specifics of the TWES model, or to implement the TWES model to the unique operating context of correctional facilities.</w:t>
      </w:r>
      <w:bookmarkEnd w:id="58"/>
      <w:r>
        <w:t xml:space="preserve"> </w:t>
      </w:r>
    </w:p>
    <w:p w14:paraId="0D5EF9F3" w14:textId="7F8F7440" w:rsidR="00F27959" w:rsidRDefault="004C3E21" w:rsidP="00305B4B">
      <w:pPr>
        <w:pStyle w:val="BodyText"/>
        <w:ind w:right="3"/>
      </w:pPr>
      <w:r>
        <w:t xml:space="preserve">Furthermore, </w:t>
      </w:r>
      <w:r w:rsidR="001A3715">
        <w:t xml:space="preserve">the evaluation did not find evidence that TWES had established </w:t>
      </w:r>
      <w:r w:rsidR="004C3B6A">
        <w:t xml:space="preserve">a </w:t>
      </w:r>
      <w:r w:rsidR="001A3715">
        <w:t xml:space="preserve">mechanism to </w:t>
      </w:r>
      <w:r w:rsidR="00352A53">
        <w:t xml:space="preserve">continue </w:t>
      </w:r>
      <w:r w:rsidR="005526C7">
        <w:t>gather</w:t>
      </w:r>
      <w:r w:rsidR="001C7625">
        <w:t>ing</w:t>
      </w:r>
      <w:r w:rsidR="005526C7">
        <w:t xml:space="preserve"> independent advice and input from Aboriginal and Torres Strait Islander stakeholders and experts on the ongoing delivery and improvement of the service – such as a cultural</w:t>
      </w:r>
      <w:r w:rsidR="00EF53A6">
        <w:t xml:space="preserve"> reference group. </w:t>
      </w:r>
    </w:p>
    <w:p w14:paraId="5CE3A415" w14:textId="2AB0C421" w:rsidR="00EB4BFE" w:rsidRPr="00EB4BFE" w:rsidRDefault="006D5E8F" w:rsidP="00305B4B">
      <w:pPr>
        <w:pStyle w:val="Heading4"/>
        <w:ind w:right="3"/>
      </w:pPr>
      <w:r>
        <w:t xml:space="preserve">2. </w:t>
      </w:r>
      <w:r w:rsidR="003F6247">
        <w:t>D</w:t>
      </w:r>
      <w:r w:rsidR="004E0D7F">
        <w:t xml:space="preserve">oes the design of TWES embody the core IAS values? </w:t>
      </w:r>
    </w:p>
    <w:p w14:paraId="073A2E5D" w14:textId="5A17C4BE" w:rsidR="005D6753" w:rsidRPr="00EB4BFE" w:rsidRDefault="00DB5E95" w:rsidP="00305B4B">
      <w:pPr>
        <w:pStyle w:val="BodyText"/>
        <w:ind w:right="3"/>
      </w:pPr>
      <w:r w:rsidRPr="00EB4BFE">
        <w:t xml:space="preserve">The evaluation found that </w:t>
      </w:r>
      <w:r w:rsidR="00D366A3" w:rsidRPr="00EB4BFE">
        <w:t xml:space="preserve">the design of </w:t>
      </w:r>
      <w:r w:rsidRPr="00EB4BFE">
        <w:t xml:space="preserve">TWES </w:t>
      </w:r>
      <w:r w:rsidR="00D366A3" w:rsidRPr="00EB4BFE">
        <w:t xml:space="preserve">enabled </w:t>
      </w:r>
      <w:r w:rsidR="00BB3A68" w:rsidRPr="00EB4BFE">
        <w:t xml:space="preserve">service provision </w:t>
      </w:r>
      <w:r w:rsidR="0055613B" w:rsidRPr="00EB4BFE">
        <w:t xml:space="preserve">to align </w:t>
      </w:r>
      <w:r w:rsidR="00CC2C2E" w:rsidRPr="00EB4BFE">
        <w:t>with the</w:t>
      </w:r>
      <w:r w:rsidR="005A6E94" w:rsidRPr="00EB4BFE">
        <w:t xml:space="preserve"> IAS</w:t>
      </w:r>
      <w:r w:rsidR="00CC2C2E" w:rsidRPr="00EB4BFE">
        <w:t xml:space="preserve"> </w:t>
      </w:r>
      <w:r w:rsidR="003E34DC" w:rsidRPr="00EB4BFE">
        <w:t>core values</w:t>
      </w:r>
      <w:r w:rsidR="00CC2C2E" w:rsidRPr="00EB4BFE">
        <w:t xml:space="preserve"> through</w:t>
      </w:r>
      <w:r w:rsidR="00BB3A68" w:rsidRPr="00EB4BFE">
        <w:t xml:space="preserve"> </w:t>
      </w:r>
      <w:r w:rsidR="005A6E94" w:rsidRPr="00EB4BFE">
        <w:t xml:space="preserve">several </w:t>
      </w:r>
      <w:r w:rsidR="00D058B9" w:rsidRPr="00EB4BFE">
        <w:t>mechanisms</w:t>
      </w:r>
      <w:r w:rsidR="0055613B" w:rsidRPr="00EB4BFE">
        <w:t xml:space="preserve">. </w:t>
      </w:r>
      <w:r w:rsidR="00525533" w:rsidRPr="00EB4BFE">
        <w:t xml:space="preserve">First, the JSCI </w:t>
      </w:r>
      <w:r w:rsidR="005D6753" w:rsidRPr="00EB4BFE">
        <w:t xml:space="preserve">process was </w:t>
      </w:r>
      <w:r w:rsidR="00525533" w:rsidRPr="00EB4BFE">
        <w:t>adapted by DESE</w:t>
      </w:r>
      <w:r w:rsidR="005D6753" w:rsidRPr="00EB4BFE">
        <w:t xml:space="preserve"> and </w:t>
      </w:r>
      <w:r w:rsidR="00525533" w:rsidRPr="00EB4BFE">
        <w:t xml:space="preserve">NIAA to </w:t>
      </w:r>
      <w:r w:rsidR="00532DD1" w:rsidRPr="00EB4BFE">
        <w:t xml:space="preserve">be </w:t>
      </w:r>
      <w:r w:rsidR="00525533" w:rsidRPr="00EB4BFE">
        <w:t>more culturally appropriate for use with Aboriginal and Torres Strait Islander p</w:t>
      </w:r>
      <w:r w:rsidR="00532DD1" w:rsidRPr="00EB4BFE">
        <w:t>risoners</w:t>
      </w:r>
      <w:r w:rsidR="00525533" w:rsidRPr="00EB4BFE">
        <w:t xml:space="preserve">. </w:t>
      </w:r>
      <w:r w:rsidR="00B544D0" w:rsidRPr="00EB4BFE">
        <w:t>In mainstream contexts, the JSCI is delivered as a highly structured questionnaire in a single sitting</w:t>
      </w:r>
      <w:r w:rsidR="00BE52A7" w:rsidRPr="00EB4BFE">
        <w:t xml:space="preserve"> with a client</w:t>
      </w:r>
      <w:r w:rsidR="00B544D0" w:rsidRPr="00EB4BFE">
        <w:t xml:space="preserve">. </w:t>
      </w:r>
      <w:r w:rsidR="00BE52A7" w:rsidRPr="00EB4BFE">
        <w:t xml:space="preserve">TWES </w:t>
      </w:r>
      <w:r w:rsidR="00BC1946" w:rsidRPr="00EB4BFE">
        <w:t xml:space="preserve">providers </w:t>
      </w:r>
      <w:r w:rsidR="00BE52A7" w:rsidRPr="00EB4BFE">
        <w:t xml:space="preserve">were required to adapt </w:t>
      </w:r>
      <w:r w:rsidR="00DD7607" w:rsidRPr="00EB4BFE">
        <w:t xml:space="preserve">the JSCI to </w:t>
      </w:r>
      <w:r w:rsidR="00B64CDD" w:rsidRPr="00EB4BFE">
        <w:t>be more culturally appropriate</w:t>
      </w:r>
      <w:r w:rsidR="00492B3C" w:rsidRPr="00EB4BFE">
        <w:t xml:space="preserve">. This included </w:t>
      </w:r>
      <w:r w:rsidR="00B64CDD" w:rsidRPr="00EB4BFE">
        <w:t>using more accessible language and plain En</w:t>
      </w:r>
      <w:r w:rsidR="00950742" w:rsidRPr="00EB4BFE">
        <w:t>g</w:t>
      </w:r>
      <w:r w:rsidR="00B64CDD" w:rsidRPr="00EB4BFE">
        <w:t>li</w:t>
      </w:r>
      <w:r w:rsidR="00950742" w:rsidRPr="00EB4BFE">
        <w:t>s</w:t>
      </w:r>
      <w:r w:rsidR="00B64CDD" w:rsidRPr="00EB4BFE">
        <w:t>h</w:t>
      </w:r>
      <w:r w:rsidR="00950742" w:rsidRPr="00EB4BFE">
        <w:t xml:space="preserve">, </w:t>
      </w:r>
      <w:r w:rsidR="00492B3C" w:rsidRPr="00EB4BFE">
        <w:t xml:space="preserve">asking questions sensitively, </w:t>
      </w:r>
      <w:r w:rsidR="00950742" w:rsidRPr="00EB4BFE">
        <w:t xml:space="preserve">and gathering the required information </w:t>
      </w:r>
      <w:r w:rsidR="00492B3C" w:rsidRPr="00EB4BFE">
        <w:t xml:space="preserve">through a conversational style </w:t>
      </w:r>
      <w:r w:rsidR="00950742" w:rsidRPr="00EB4BFE">
        <w:t>over multiple conversations</w:t>
      </w:r>
      <w:r w:rsidR="00492B3C" w:rsidRPr="00EB4BFE">
        <w:t xml:space="preserve"> as appropriate. </w:t>
      </w:r>
    </w:p>
    <w:p w14:paraId="22E22861" w14:textId="06B8EE38" w:rsidR="00525533" w:rsidRPr="00EB4BFE" w:rsidRDefault="005D6753" w:rsidP="00305B4B">
      <w:pPr>
        <w:pStyle w:val="BodyText"/>
        <w:ind w:right="3"/>
      </w:pPr>
      <w:r w:rsidRPr="00EB4BFE">
        <w:t>Second, while t</w:t>
      </w:r>
      <w:r w:rsidR="00525533" w:rsidRPr="00EB4BFE">
        <w:t xml:space="preserve">he ESAt format was not changed, Services Australia reported that they allocated dedicated staff to conducting ESAts with TWES </w:t>
      </w:r>
      <w:r w:rsidR="00DB7649" w:rsidRPr="00EB4BFE">
        <w:t>participant</w:t>
      </w:r>
      <w:r w:rsidR="00525533" w:rsidRPr="00EB4BFE">
        <w:t xml:space="preserve">s who are more experienced, have received additional training around cultural </w:t>
      </w:r>
      <w:r w:rsidR="00C22B36" w:rsidRPr="00EB4BFE">
        <w:t>competency</w:t>
      </w:r>
      <w:r w:rsidR="00525533" w:rsidRPr="00EB4BFE">
        <w:t xml:space="preserve">, and have a better understanding of the context, language barriers, and </w:t>
      </w:r>
      <w:r w:rsidR="00C22B36" w:rsidRPr="00EB4BFE">
        <w:t xml:space="preserve">post-release employment pathways </w:t>
      </w:r>
      <w:r w:rsidR="00525533" w:rsidRPr="00EB4BFE">
        <w:t>for Aboriginal and Torres Strait Islander prisoners.</w:t>
      </w:r>
      <w:r w:rsidR="00AB5836" w:rsidRPr="00EB4BFE">
        <w:t xml:space="preserve"> </w:t>
      </w:r>
    </w:p>
    <w:p w14:paraId="7B7C31AC" w14:textId="476D0575" w:rsidR="00F50B84" w:rsidRPr="00EB4BFE" w:rsidRDefault="00AB5836" w:rsidP="00305B4B">
      <w:pPr>
        <w:pStyle w:val="BodyText"/>
        <w:ind w:right="3"/>
      </w:pPr>
      <w:r w:rsidRPr="00EB4BFE">
        <w:t>Third</w:t>
      </w:r>
      <w:r w:rsidR="002A1642" w:rsidRPr="00EB4BFE">
        <w:t xml:space="preserve">, the tendering process aimed to select TWES </w:t>
      </w:r>
      <w:r w:rsidR="00BC1946" w:rsidRPr="00EB4BFE">
        <w:t xml:space="preserve">providers </w:t>
      </w:r>
      <w:r w:rsidR="002A1642" w:rsidRPr="00EB4BFE">
        <w:t xml:space="preserve">who aligned </w:t>
      </w:r>
      <w:r w:rsidR="00A410FC" w:rsidRPr="00EB4BFE">
        <w:t xml:space="preserve">with the IAS core values. </w:t>
      </w:r>
      <w:r w:rsidR="00447EDA" w:rsidRPr="00EB4BFE">
        <w:t>This</w:t>
      </w:r>
      <w:r w:rsidR="00B20E39" w:rsidRPr="00EB4BFE">
        <w:t xml:space="preserve"> included: </w:t>
      </w:r>
      <w:r w:rsidR="00F50B84" w:rsidRPr="00EB4BFE">
        <w:t xml:space="preserve">giving priority to Indigenous-led organisations; requiring non-Indigenous organisations </w:t>
      </w:r>
      <w:r w:rsidR="00271057" w:rsidRPr="00EB4BFE">
        <w:t>to</w:t>
      </w:r>
      <w:r w:rsidR="00F50B84" w:rsidRPr="00EB4BFE">
        <w:t xml:space="preserve"> demonstrate </w:t>
      </w:r>
      <w:r w:rsidR="00F50B84" w:rsidRPr="00EB4BFE">
        <w:lastRenderedPageBreak/>
        <w:t>a connection with Indigenous communities; requiring successful providers to demonstrate cultural competence and a commitment to continued investment in cultural competence; and requiring successful providers to demonstrate a solid understanding of the justice system and the issues Aboriginal and Torres Strait Islander prisoners might face</w:t>
      </w:r>
      <w:r w:rsidR="00650B9D" w:rsidRPr="00EB4BFE">
        <w:t xml:space="preserve"> (including </w:t>
      </w:r>
      <w:r w:rsidR="00F50B84" w:rsidRPr="00EB4BFE">
        <w:t>specific issues that may relate to Aboriginal and Torres Strait Islander women</w:t>
      </w:r>
      <w:r w:rsidR="00650B9D" w:rsidRPr="00EB4BFE">
        <w:t xml:space="preserve"> </w:t>
      </w:r>
      <w:r w:rsidR="00F50B84" w:rsidRPr="00EB4BFE">
        <w:t>in</w:t>
      </w:r>
      <w:r w:rsidR="00650B9D" w:rsidRPr="00EB4BFE">
        <w:t xml:space="preserve"> </w:t>
      </w:r>
      <w:r w:rsidR="00F50B84" w:rsidRPr="00EB4BFE">
        <w:t>prison and after release</w:t>
      </w:r>
      <w:r w:rsidR="00650B9D" w:rsidRPr="00EB4BFE">
        <w:t>)</w:t>
      </w:r>
      <w:r w:rsidR="00F50B84" w:rsidRPr="00EB4BFE">
        <w:t>.</w:t>
      </w:r>
      <w:r w:rsidR="00A930C7" w:rsidRPr="00EB4BFE">
        <w:t xml:space="preserve"> </w:t>
      </w:r>
    </w:p>
    <w:p w14:paraId="3291372B" w14:textId="6F03BF5D" w:rsidR="00915F53" w:rsidRDefault="00A20470" w:rsidP="00305B4B">
      <w:pPr>
        <w:pStyle w:val="BodyText"/>
        <w:ind w:right="3"/>
      </w:pPr>
      <w:r>
        <w:t>Finally, the</w:t>
      </w:r>
      <w:r w:rsidRPr="00FF3D15">
        <w:rPr>
          <w:spacing w:val="-9"/>
        </w:rPr>
        <w:t xml:space="preserve"> </w:t>
      </w:r>
      <w:r>
        <w:t>TWES</w:t>
      </w:r>
      <w:r w:rsidRPr="00FF3D15">
        <w:rPr>
          <w:spacing w:val="-9"/>
        </w:rPr>
        <w:t xml:space="preserve"> </w:t>
      </w:r>
      <w:r>
        <w:t>Guidelines</w:t>
      </w:r>
      <w:r w:rsidRPr="00FF3D15">
        <w:rPr>
          <w:spacing w:val="-9"/>
        </w:rPr>
        <w:t xml:space="preserve"> </w:t>
      </w:r>
      <w:r>
        <w:t>Performance</w:t>
      </w:r>
      <w:r w:rsidRPr="00FF3D15">
        <w:rPr>
          <w:spacing w:val="-9"/>
        </w:rPr>
        <w:t xml:space="preserve"> </w:t>
      </w:r>
      <w:r>
        <w:t>Framework</w:t>
      </w:r>
      <w:r w:rsidRPr="00FF3D15">
        <w:rPr>
          <w:spacing w:val="-6"/>
        </w:rPr>
        <w:t xml:space="preserve"> </w:t>
      </w:r>
      <w:r>
        <w:t>outlines</w:t>
      </w:r>
      <w:r w:rsidRPr="00FF3D15">
        <w:rPr>
          <w:spacing w:val="-9"/>
        </w:rPr>
        <w:t xml:space="preserve"> </w:t>
      </w:r>
      <w:r>
        <w:t>performance</w:t>
      </w:r>
      <w:r w:rsidRPr="00FF3D15">
        <w:rPr>
          <w:spacing w:val="-9"/>
        </w:rPr>
        <w:t xml:space="preserve"> </w:t>
      </w:r>
      <w:r>
        <w:t>requirements</w:t>
      </w:r>
      <w:r w:rsidRPr="00FF3D15">
        <w:rPr>
          <w:spacing w:val="-8"/>
        </w:rPr>
        <w:t xml:space="preserve"> </w:t>
      </w:r>
      <w:r w:rsidRPr="00FF3D15">
        <w:rPr>
          <w:spacing w:val="-1"/>
        </w:rPr>
        <w:t>that</w:t>
      </w:r>
      <w:r w:rsidRPr="00FF3D15">
        <w:rPr>
          <w:spacing w:val="-8"/>
        </w:rPr>
        <w:t xml:space="preserve"> </w:t>
      </w:r>
      <w:r>
        <w:t>TWES</w:t>
      </w:r>
      <w:r w:rsidRPr="00FF3D15">
        <w:rPr>
          <w:spacing w:val="30"/>
          <w:w w:val="99"/>
        </w:rPr>
        <w:t xml:space="preserve"> </w:t>
      </w:r>
      <w:r w:rsidR="00BC1946">
        <w:rPr>
          <w:spacing w:val="-1"/>
        </w:rPr>
        <w:t>p</w:t>
      </w:r>
      <w:r w:rsidR="00BC1946" w:rsidRPr="00FF3D15">
        <w:rPr>
          <w:spacing w:val="-1"/>
        </w:rPr>
        <w:t>roviders</w:t>
      </w:r>
      <w:r w:rsidR="00BC1946" w:rsidRPr="00FF3D15">
        <w:rPr>
          <w:spacing w:val="-8"/>
        </w:rPr>
        <w:t xml:space="preserve"> </w:t>
      </w:r>
      <w:r>
        <w:t>maintain</w:t>
      </w:r>
      <w:r w:rsidRPr="00FF3D15">
        <w:rPr>
          <w:spacing w:val="-7"/>
        </w:rPr>
        <w:t xml:space="preserve"> </w:t>
      </w:r>
      <w:r w:rsidRPr="00FF3D15">
        <w:t>high</w:t>
      </w:r>
      <w:r w:rsidRPr="00FF3D15">
        <w:rPr>
          <w:spacing w:val="-9"/>
        </w:rPr>
        <w:t xml:space="preserve"> </w:t>
      </w:r>
      <w:r w:rsidRPr="00FF3D15">
        <w:t>levels</w:t>
      </w:r>
      <w:r w:rsidRPr="00FF3D15">
        <w:rPr>
          <w:spacing w:val="-8"/>
        </w:rPr>
        <w:t xml:space="preserve"> </w:t>
      </w:r>
      <w:r w:rsidRPr="00FF3D15">
        <w:t>of</w:t>
      </w:r>
      <w:r w:rsidRPr="00FF3D15">
        <w:rPr>
          <w:spacing w:val="-9"/>
        </w:rPr>
        <w:t xml:space="preserve"> </w:t>
      </w:r>
      <w:r w:rsidRPr="00FF3D15">
        <w:t>cultural</w:t>
      </w:r>
      <w:r w:rsidRPr="00FF3D15">
        <w:rPr>
          <w:spacing w:val="-10"/>
        </w:rPr>
        <w:t xml:space="preserve"> </w:t>
      </w:r>
      <w:r w:rsidRPr="00EB4BFE">
        <w:t>competence</w:t>
      </w:r>
      <w:r>
        <w:t>.</w:t>
      </w:r>
      <w:r>
        <w:rPr>
          <w:rStyle w:val="FootnoteReference"/>
        </w:rPr>
        <w:footnoteReference w:id="14"/>
      </w:r>
      <w:r w:rsidRPr="00FF3D15">
        <w:rPr>
          <w:spacing w:val="11"/>
          <w:position w:val="6"/>
          <w:sz w:val="13"/>
        </w:rPr>
        <w:t xml:space="preserve"> </w:t>
      </w:r>
      <w:r>
        <w:t>The</w:t>
      </w:r>
      <w:r w:rsidRPr="00FF3D15">
        <w:rPr>
          <w:spacing w:val="-9"/>
        </w:rPr>
        <w:t xml:space="preserve"> </w:t>
      </w:r>
      <w:r>
        <w:t>Performance</w:t>
      </w:r>
      <w:r w:rsidRPr="00FF3D15">
        <w:rPr>
          <w:spacing w:val="-9"/>
        </w:rPr>
        <w:t xml:space="preserve"> </w:t>
      </w:r>
      <w:r>
        <w:t>Framework</w:t>
      </w:r>
      <w:r w:rsidRPr="00FF3D15">
        <w:rPr>
          <w:spacing w:val="-9"/>
        </w:rPr>
        <w:t xml:space="preserve"> </w:t>
      </w:r>
      <w:r>
        <w:t>recommends that</w:t>
      </w:r>
      <w:r w:rsidRPr="00FF3D15">
        <w:rPr>
          <w:spacing w:val="-8"/>
        </w:rPr>
        <w:t xml:space="preserve"> </w:t>
      </w:r>
      <w:r>
        <w:t>TWES</w:t>
      </w:r>
      <w:r w:rsidRPr="00FF3D15">
        <w:rPr>
          <w:spacing w:val="-6"/>
        </w:rPr>
        <w:t xml:space="preserve"> </w:t>
      </w:r>
      <w:r w:rsidR="00BC1946">
        <w:rPr>
          <w:spacing w:val="-1"/>
        </w:rPr>
        <w:t>p</w:t>
      </w:r>
      <w:r w:rsidR="00BC1946" w:rsidRPr="00FF3D15">
        <w:rPr>
          <w:spacing w:val="-1"/>
        </w:rPr>
        <w:t>roviders</w:t>
      </w:r>
      <w:r w:rsidR="00BC1946" w:rsidRPr="00FF3D15">
        <w:rPr>
          <w:spacing w:val="-5"/>
        </w:rPr>
        <w:t xml:space="preserve"> </w:t>
      </w:r>
      <w:r w:rsidRPr="00FF3D15">
        <w:rPr>
          <w:spacing w:val="-1"/>
        </w:rPr>
        <w:t>invest</w:t>
      </w:r>
      <w:r w:rsidRPr="00FF3D15">
        <w:rPr>
          <w:spacing w:val="-6"/>
        </w:rPr>
        <w:t xml:space="preserve"> </w:t>
      </w:r>
      <w:r w:rsidRPr="00FF3D15">
        <w:rPr>
          <w:spacing w:val="-1"/>
        </w:rPr>
        <w:t>in</w:t>
      </w:r>
      <w:r w:rsidRPr="00FF3D15">
        <w:rPr>
          <w:spacing w:val="-7"/>
        </w:rPr>
        <w:t xml:space="preserve"> </w:t>
      </w:r>
      <w:r>
        <w:t>their</w:t>
      </w:r>
      <w:r w:rsidRPr="00FF3D15">
        <w:rPr>
          <w:spacing w:val="-6"/>
        </w:rPr>
        <w:t xml:space="preserve"> </w:t>
      </w:r>
      <w:r>
        <w:t>cultural</w:t>
      </w:r>
      <w:r w:rsidRPr="00FF3D15">
        <w:rPr>
          <w:spacing w:val="-8"/>
        </w:rPr>
        <w:t xml:space="preserve"> </w:t>
      </w:r>
      <w:r>
        <w:t>competence</w:t>
      </w:r>
      <w:r w:rsidRPr="00FF3D15">
        <w:rPr>
          <w:spacing w:val="-3"/>
        </w:rPr>
        <w:t xml:space="preserve"> </w:t>
      </w:r>
      <w:r>
        <w:t>continually</w:t>
      </w:r>
      <w:r w:rsidRPr="00FF3D15">
        <w:rPr>
          <w:spacing w:val="-6"/>
        </w:rPr>
        <w:t xml:space="preserve"> </w:t>
      </w:r>
      <w:r>
        <w:t>through</w:t>
      </w:r>
      <w:r w:rsidRPr="00FF3D15">
        <w:rPr>
          <w:spacing w:val="-6"/>
        </w:rPr>
        <w:t xml:space="preserve"> </w:t>
      </w:r>
      <w:r>
        <w:t>staff</w:t>
      </w:r>
      <w:r w:rsidRPr="00FF3D15">
        <w:rPr>
          <w:spacing w:val="-7"/>
        </w:rPr>
        <w:t xml:space="preserve"> </w:t>
      </w:r>
      <w:r w:rsidRPr="00FF3D15">
        <w:rPr>
          <w:spacing w:val="-1"/>
        </w:rPr>
        <w:t>training</w:t>
      </w:r>
      <w:r w:rsidRPr="00FF3D15">
        <w:rPr>
          <w:spacing w:val="-4"/>
        </w:rPr>
        <w:t xml:space="preserve"> </w:t>
      </w:r>
      <w:r w:rsidRPr="00FF3D15">
        <w:rPr>
          <w:spacing w:val="-1"/>
        </w:rPr>
        <w:t>and</w:t>
      </w:r>
      <w:r>
        <w:rPr>
          <w:spacing w:val="-1"/>
        </w:rPr>
        <w:t xml:space="preserve"> implementing</w:t>
      </w:r>
      <w:r w:rsidRPr="00FF3D15">
        <w:rPr>
          <w:spacing w:val="-17"/>
        </w:rPr>
        <w:t xml:space="preserve"> </w:t>
      </w:r>
      <w:r>
        <w:t>organisational</w:t>
      </w:r>
      <w:r w:rsidRPr="00FF3D15">
        <w:rPr>
          <w:spacing w:val="-16"/>
        </w:rPr>
        <w:t xml:space="preserve"> </w:t>
      </w:r>
      <w:r>
        <w:t>policies.</w:t>
      </w:r>
    </w:p>
    <w:p w14:paraId="0FCAF7AB" w14:textId="3A7EBD43" w:rsidR="004E0D7F" w:rsidRPr="004E0D7F" w:rsidRDefault="006D5E8F" w:rsidP="00305B4B">
      <w:pPr>
        <w:pStyle w:val="Heading4"/>
        <w:ind w:right="3"/>
      </w:pPr>
      <w:r>
        <w:t xml:space="preserve">3. </w:t>
      </w:r>
      <w:r w:rsidR="004E0D7F" w:rsidRPr="004E0D7F">
        <w:t xml:space="preserve">Does the delivery of TWES embody the core IAS values? </w:t>
      </w:r>
    </w:p>
    <w:p w14:paraId="0E64622F" w14:textId="126B9724" w:rsidR="00410ECD" w:rsidRPr="00C03373" w:rsidRDefault="004A0777" w:rsidP="00305B4B">
      <w:pPr>
        <w:pStyle w:val="BodyText"/>
        <w:ind w:right="3"/>
      </w:pPr>
      <w:r w:rsidRPr="00C03373">
        <w:t xml:space="preserve">The evaluation found that </w:t>
      </w:r>
      <w:r w:rsidR="00E813B4" w:rsidRPr="00C03373">
        <w:t xml:space="preserve">TWES </w:t>
      </w:r>
      <w:r w:rsidR="00BC1946" w:rsidRPr="00C03373">
        <w:t xml:space="preserve">providers </w:t>
      </w:r>
      <w:r w:rsidR="00E813B4" w:rsidRPr="00C03373">
        <w:t xml:space="preserve">could strengthen </w:t>
      </w:r>
      <w:r w:rsidR="00EC7E33" w:rsidRPr="00C03373">
        <w:t>cul</w:t>
      </w:r>
      <w:r w:rsidR="00C11744" w:rsidRPr="00C03373">
        <w:t xml:space="preserve">tural appropriateness </w:t>
      </w:r>
      <w:r w:rsidR="001603B8" w:rsidRPr="00C03373">
        <w:t>in the delivery of TWES by improving how the service is communicated to participants</w:t>
      </w:r>
      <w:r w:rsidR="000A6ABD" w:rsidRPr="00C03373">
        <w:t xml:space="preserve">, and increasing the role of Aboriginal and Torres Strait Islander staff. </w:t>
      </w:r>
    </w:p>
    <w:p w14:paraId="662A181C" w14:textId="75E6766F" w:rsidR="00013A9C" w:rsidRPr="00C03373" w:rsidRDefault="00013A9C" w:rsidP="00305B4B">
      <w:pPr>
        <w:pStyle w:val="BodyText"/>
        <w:ind w:right="3"/>
      </w:pPr>
      <w:r w:rsidRPr="00C03373">
        <w:t xml:space="preserve">None of the participants interviewed for the evaluation reported that their TWES </w:t>
      </w:r>
      <w:r w:rsidR="00BC1946" w:rsidRPr="00C03373">
        <w:t xml:space="preserve">provider </w:t>
      </w:r>
      <w:r w:rsidRPr="00C03373">
        <w:t xml:space="preserve">demonstrated disrespectful or inappropriate behaviour or attitudes in terms of gender or cultural respect. However, there was evidence that higher levels of cultural competency would improve the communication of program intent, improve participants trust in the process and capacity to engage. For example, some participants said that their TWES </w:t>
      </w:r>
      <w:r w:rsidR="00BC1946" w:rsidRPr="00C03373">
        <w:t xml:space="preserve">provider </w:t>
      </w:r>
      <w:r w:rsidRPr="00C03373">
        <w:t>did not explain what the service was about, or spoke t</w:t>
      </w:r>
      <w:r w:rsidR="005058E4" w:rsidRPr="00C03373">
        <w:t>o</w:t>
      </w:r>
      <w:r w:rsidRPr="00C03373">
        <w:t>o fast or unclearly.</w:t>
      </w:r>
      <w:r w:rsidR="00682A47" w:rsidRPr="00C03373">
        <w:t xml:space="preserve"> Some participants said that they would have liked an Aboriginal Liaison Officer (ALO) present in the meetings, and others said </w:t>
      </w:r>
      <w:r w:rsidR="00E254F8" w:rsidRPr="00C03373">
        <w:t xml:space="preserve">that </w:t>
      </w:r>
      <w:r w:rsidR="00682A47" w:rsidRPr="00C03373">
        <w:t xml:space="preserve">they were glad that their TWES </w:t>
      </w:r>
      <w:r w:rsidR="00BC1946" w:rsidRPr="00C03373">
        <w:t xml:space="preserve">provider </w:t>
      </w:r>
      <w:r w:rsidR="00682A47" w:rsidRPr="00C03373">
        <w:t>was Aboriginal or Torres Strait Islander.</w:t>
      </w:r>
      <w:r w:rsidR="00995174" w:rsidRPr="00C03373">
        <w:t xml:space="preserve"> </w:t>
      </w:r>
      <w:r w:rsidR="00EE7DF0" w:rsidRPr="00C03373">
        <w:t xml:space="preserve">See </w:t>
      </w:r>
      <w:r w:rsidR="00D43924" w:rsidRPr="00C03373">
        <w:t xml:space="preserve">page </w:t>
      </w:r>
      <w:r w:rsidR="00D43924" w:rsidRPr="00C03373">
        <w:fldChar w:fldCharType="begin"/>
      </w:r>
      <w:r w:rsidR="00D43924" w:rsidRPr="00C03373">
        <w:instrText xml:space="preserve"> PAGEREF _Ref72757641 \h </w:instrText>
      </w:r>
      <w:r w:rsidR="00D43924" w:rsidRPr="00C03373">
        <w:fldChar w:fldCharType="separate"/>
      </w:r>
      <w:r w:rsidR="00AE0EDD" w:rsidRPr="00C03373">
        <w:t>50</w:t>
      </w:r>
      <w:r w:rsidR="00D43924" w:rsidRPr="00C03373">
        <w:fldChar w:fldCharType="end"/>
      </w:r>
      <w:r w:rsidR="00D43924" w:rsidRPr="00C03373">
        <w:t xml:space="preserve"> </w:t>
      </w:r>
      <w:r w:rsidR="00EE7DF0" w:rsidRPr="00C03373">
        <w:t>for additional findings on TWES participants’ experience of the cultural competence of TWES.</w:t>
      </w:r>
    </w:p>
    <w:p w14:paraId="5924E360" w14:textId="48A9DDB7" w:rsidR="001D52BD" w:rsidRPr="00C03373" w:rsidRDefault="00682A47" w:rsidP="00305B4B">
      <w:pPr>
        <w:pStyle w:val="BodyText"/>
        <w:ind w:right="3"/>
      </w:pPr>
      <w:r w:rsidRPr="00C03373">
        <w:t>The v</w:t>
      </w:r>
      <w:r w:rsidR="00EF288C" w:rsidRPr="00C03373">
        <w:t xml:space="preserve">ast majority of TWES </w:t>
      </w:r>
      <w:r w:rsidR="00BC1946" w:rsidRPr="00C03373">
        <w:t xml:space="preserve">provider </w:t>
      </w:r>
      <w:r w:rsidR="00967D20" w:rsidRPr="00C03373">
        <w:t xml:space="preserve">staff </w:t>
      </w:r>
      <w:r w:rsidR="00540E2D" w:rsidRPr="00C03373">
        <w:t xml:space="preserve">appeared </w:t>
      </w:r>
      <w:r w:rsidR="007C5E3F" w:rsidRPr="00C03373">
        <w:t xml:space="preserve">to demonstrate cultural </w:t>
      </w:r>
      <w:r w:rsidR="00967D20" w:rsidRPr="00C03373">
        <w:t>competence in the interviews</w:t>
      </w:r>
      <w:r w:rsidR="000D737F" w:rsidRPr="00C03373">
        <w:t xml:space="preserve">. </w:t>
      </w:r>
      <w:r w:rsidR="008C2EFC" w:rsidRPr="00C03373">
        <w:t>S</w:t>
      </w:r>
      <w:r w:rsidR="00E56E73" w:rsidRPr="00C03373">
        <w:t xml:space="preserve">taff from </w:t>
      </w:r>
      <w:r w:rsidR="0099243E" w:rsidRPr="00C03373">
        <w:t xml:space="preserve">17 </w:t>
      </w:r>
      <w:r w:rsidR="001E4F1F" w:rsidRPr="00C03373">
        <w:t xml:space="preserve">TWES </w:t>
      </w:r>
      <w:r w:rsidR="00BC1946" w:rsidRPr="00C03373">
        <w:t xml:space="preserve">providers </w:t>
      </w:r>
      <w:r w:rsidR="008C2EFC" w:rsidRPr="00C03373">
        <w:t xml:space="preserve">were interviewed for the evaluation. The </w:t>
      </w:r>
      <w:r w:rsidR="006F233E" w:rsidRPr="00C03373">
        <w:t>Evaluation Team</w:t>
      </w:r>
      <w:r w:rsidR="00FB08F6" w:rsidRPr="00C03373">
        <w:t xml:space="preserve">’s perspective during these interviews was that </w:t>
      </w:r>
      <w:r w:rsidR="00B646B4" w:rsidRPr="00C03373">
        <w:t xml:space="preserve">the vast majority of </w:t>
      </w:r>
      <w:r w:rsidR="00C53C98" w:rsidRPr="00C03373">
        <w:t>interview</w:t>
      </w:r>
      <w:r w:rsidR="000D737F" w:rsidRPr="00C03373">
        <w:t>ee</w:t>
      </w:r>
      <w:r w:rsidR="00C53C98" w:rsidRPr="00C03373">
        <w:t>s used language</w:t>
      </w:r>
      <w:r w:rsidR="002A087E" w:rsidRPr="00C03373">
        <w:t xml:space="preserve"> </w:t>
      </w:r>
      <w:r w:rsidR="00967A34" w:rsidRPr="00C03373">
        <w:t>that reflected cultural competency, cultural respect and strengths</w:t>
      </w:r>
      <w:r w:rsidR="00BB3A2F" w:rsidRPr="00C03373">
        <w:t>-</w:t>
      </w:r>
      <w:r w:rsidR="00967A34" w:rsidRPr="00C03373">
        <w:t>based attitudes</w:t>
      </w:r>
      <w:r w:rsidR="00B872A8" w:rsidRPr="00C03373">
        <w:t xml:space="preserve"> towards TWES participants and Aboriginal and Torres Strait Islander prisoners and ex-offenders more broadly</w:t>
      </w:r>
      <w:r w:rsidR="00967A34" w:rsidRPr="00C03373">
        <w:t xml:space="preserve">. </w:t>
      </w:r>
      <w:r w:rsidR="00EC17A8" w:rsidRPr="00C03373">
        <w:t xml:space="preserve">One interviewee </w:t>
      </w:r>
      <w:r w:rsidR="008D5B22" w:rsidRPr="00C03373">
        <w:t xml:space="preserve">used language </w:t>
      </w:r>
      <w:r w:rsidR="00B872A8" w:rsidRPr="00C03373">
        <w:t xml:space="preserve">that the </w:t>
      </w:r>
      <w:r w:rsidR="006F233E" w:rsidRPr="00C03373">
        <w:t>Evaluation Team</w:t>
      </w:r>
      <w:r w:rsidR="00B872A8" w:rsidRPr="00C03373">
        <w:t xml:space="preserve"> </w:t>
      </w:r>
      <w:r w:rsidR="00255DA1" w:rsidRPr="00C03373">
        <w:t xml:space="preserve">viewed as </w:t>
      </w:r>
      <w:r w:rsidR="00DD1963" w:rsidRPr="00C03373">
        <w:t xml:space="preserve">disrespectful and deficit-based and </w:t>
      </w:r>
      <w:r w:rsidR="00255DA1" w:rsidRPr="00C03373">
        <w:t xml:space="preserve">not aligned with </w:t>
      </w:r>
      <w:r w:rsidR="00D8083B" w:rsidRPr="00C03373">
        <w:t xml:space="preserve">IAS </w:t>
      </w:r>
      <w:r w:rsidR="00255DA1" w:rsidRPr="00C03373">
        <w:t>core values</w:t>
      </w:r>
      <w:r w:rsidR="009C13A1" w:rsidRPr="00C03373">
        <w:t>, h</w:t>
      </w:r>
      <w:r w:rsidR="003A4940" w:rsidRPr="00C03373">
        <w:t xml:space="preserve">owever it should be noted that </w:t>
      </w:r>
      <w:r w:rsidR="00255DA1" w:rsidRPr="00C03373">
        <w:t xml:space="preserve">this interviewee does not necessarily represent their organisation, and </w:t>
      </w:r>
      <w:r w:rsidR="00B32BE7" w:rsidRPr="00C03373">
        <w:t>the evaluation methods did not include a review of T</w:t>
      </w:r>
      <w:r w:rsidR="00752A99" w:rsidRPr="00C03373">
        <w:t>WE</w:t>
      </w:r>
      <w:r w:rsidR="00B32BE7" w:rsidRPr="00C03373">
        <w:t xml:space="preserve">S </w:t>
      </w:r>
      <w:r w:rsidR="00BC1946" w:rsidRPr="00C03373">
        <w:t xml:space="preserve">providers’ </w:t>
      </w:r>
      <w:r w:rsidR="00B32BE7" w:rsidRPr="00C03373">
        <w:t xml:space="preserve">cultural </w:t>
      </w:r>
      <w:r w:rsidR="00DB1142" w:rsidRPr="00C03373">
        <w:t>policies or procedures</w:t>
      </w:r>
      <w:r w:rsidR="009C13A1" w:rsidRPr="00C03373">
        <w:t xml:space="preserve">. </w:t>
      </w:r>
    </w:p>
    <w:p w14:paraId="47693003" w14:textId="1C98064C" w:rsidR="003F6247" w:rsidRPr="00C03373" w:rsidRDefault="001D52BD" w:rsidP="00305B4B">
      <w:pPr>
        <w:pStyle w:val="BodyText"/>
        <w:ind w:right="3"/>
      </w:pPr>
      <w:r w:rsidRPr="00C03373">
        <w:t xml:space="preserve">The evaluation identified two options for NIAA and DESE to </w:t>
      </w:r>
      <w:r w:rsidR="00EA1C68" w:rsidRPr="00C03373">
        <w:t>improve collaboration and consultation with Aboriginal and Torres Strait Islander stakeholders and experts in the design and delivery of TWES and similar programs (see above).</w:t>
      </w:r>
    </w:p>
    <w:p w14:paraId="4AD7D94B" w14:textId="7FAC722E" w:rsidR="002017A4" w:rsidRPr="00FF3D15" w:rsidRDefault="006D5E8F" w:rsidP="00305B4B">
      <w:pPr>
        <w:pStyle w:val="Heading4"/>
        <w:ind w:right="3"/>
      </w:pPr>
      <w:r>
        <w:t xml:space="preserve">4. </w:t>
      </w:r>
      <w:bookmarkStart w:id="59" w:name="_Ref72781022"/>
      <w:r w:rsidR="007C01D0" w:rsidRPr="007C01D0">
        <w:t xml:space="preserve">When did TWES roll out across </w:t>
      </w:r>
      <w:r w:rsidR="002043D1">
        <w:t>s</w:t>
      </w:r>
      <w:r w:rsidR="002043D1" w:rsidRPr="007C01D0">
        <w:t xml:space="preserve">tates </w:t>
      </w:r>
      <w:r w:rsidR="007C01D0" w:rsidRPr="007C01D0">
        <w:t xml:space="preserve">and </w:t>
      </w:r>
      <w:r w:rsidR="002043D1">
        <w:t>t</w:t>
      </w:r>
      <w:r w:rsidR="002043D1" w:rsidRPr="007C01D0">
        <w:t xml:space="preserve">erritories </w:t>
      </w:r>
      <w:r w:rsidR="007C01D0" w:rsidRPr="007C01D0">
        <w:t>and remote and non-remote locations?</w:t>
      </w:r>
      <w:r w:rsidR="007C01D0">
        <w:t xml:space="preserve"> </w:t>
      </w:r>
      <w:bookmarkEnd w:id="59"/>
    </w:p>
    <w:p w14:paraId="795C67DB" w14:textId="347D6138" w:rsidR="00193F02" w:rsidRPr="006D5E8F" w:rsidRDefault="00DE1F91" w:rsidP="00305B4B">
      <w:pPr>
        <w:pStyle w:val="BodyText"/>
        <w:ind w:right="3"/>
        <w:rPr>
          <w:b/>
          <w:bCs/>
        </w:rPr>
      </w:pPr>
      <w:r w:rsidRPr="006D5E8F">
        <w:rPr>
          <w:b/>
          <w:bCs/>
        </w:rPr>
        <w:t xml:space="preserve">TWES was </w:t>
      </w:r>
      <w:r w:rsidR="00DE6989" w:rsidRPr="006D5E8F">
        <w:rPr>
          <w:b/>
          <w:bCs/>
        </w:rPr>
        <w:t xml:space="preserve">successfully rolled out </w:t>
      </w:r>
      <w:r w:rsidR="009271FE" w:rsidRPr="006D5E8F">
        <w:rPr>
          <w:b/>
          <w:bCs/>
        </w:rPr>
        <w:t>to 73 prisons</w:t>
      </w:r>
      <w:r w:rsidR="00F23043" w:rsidRPr="006D5E8F">
        <w:rPr>
          <w:b/>
          <w:bCs/>
        </w:rPr>
        <w:t>,</w:t>
      </w:r>
      <w:r w:rsidR="009271FE" w:rsidRPr="006D5E8F">
        <w:rPr>
          <w:b/>
          <w:bCs/>
        </w:rPr>
        <w:t xml:space="preserve"> in non-remote and remote locations</w:t>
      </w:r>
      <w:r w:rsidR="00F23043" w:rsidRPr="006D5E8F">
        <w:rPr>
          <w:b/>
          <w:bCs/>
        </w:rPr>
        <w:t>,</w:t>
      </w:r>
      <w:r w:rsidR="009271FE" w:rsidRPr="006D5E8F">
        <w:rPr>
          <w:b/>
          <w:bCs/>
        </w:rPr>
        <w:t xml:space="preserve"> across all </w:t>
      </w:r>
      <w:r w:rsidR="00467A51" w:rsidRPr="006D5E8F">
        <w:rPr>
          <w:b/>
          <w:bCs/>
        </w:rPr>
        <w:t>states</w:t>
      </w:r>
      <w:r w:rsidR="009271FE" w:rsidRPr="006D5E8F">
        <w:rPr>
          <w:b/>
          <w:bCs/>
        </w:rPr>
        <w:t xml:space="preserve"> and </w:t>
      </w:r>
      <w:r w:rsidR="00467A51" w:rsidRPr="006D5E8F">
        <w:rPr>
          <w:b/>
          <w:bCs/>
        </w:rPr>
        <w:t>territories</w:t>
      </w:r>
      <w:r w:rsidR="00FB0636" w:rsidRPr="006D5E8F">
        <w:rPr>
          <w:b/>
          <w:bCs/>
        </w:rPr>
        <w:t>. COVID-19</w:t>
      </w:r>
      <w:r w:rsidR="006E4191" w:rsidRPr="006D5E8F">
        <w:rPr>
          <w:b/>
          <w:bCs/>
        </w:rPr>
        <w:t xml:space="preserve"> had a significant impact on </w:t>
      </w:r>
      <w:r w:rsidR="002F49A6" w:rsidRPr="006D5E8F">
        <w:rPr>
          <w:b/>
          <w:bCs/>
        </w:rPr>
        <w:t xml:space="preserve">the ability of TWES </w:t>
      </w:r>
      <w:r w:rsidR="00BC1946" w:rsidRPr="006D5E8F">
        <w:rPr>
          <w:b/>
          <w:bCs/>
        </w:rPr>
        <w:t xml:space="preserve">providers </w:t>
      </w:r>
      <w:r w:rsidR="002F49A6" w:rsidRPr="006D5E8F">
        <w:rPr>
          <w:b/>
          <w:bCs/>
        </w:rPr>
        <w:t>to promote and deliver the service</w:t>
      </w:r>
      <w:r w:rsidR="00DC3CDA" w:rsidRPr="006D5E8F">
        <w:rPr>
          <w:b/>
          <w:bCs/>
        </w:rPr>
        <w:t>. However, overall new participants did continue to commence the service, and delivery has increased with the easing of restrictions</w:t>
      </w:r>
      <w:r w:rsidR="009B07B3" w:rsidRPr="006D5E8F">
        <w:rPr>
          <w:b/>
          <w:bCs/>
        </w:rPr>
        <w:t>.</w:t>
      </w:r>
    </w:p>
    <w:p w14:paraId="55B7FA65" w14:textId="3369479C" w:rsidR="002017A4" w:rsidRPr="00C03373" w:rsidRDefault="002017A4" w:rsidP="00305B4B">
      <w:pPr>
        <w:pStyle w:val="BodyText"/>
        <w:ind w:right="3"/>
      </w:pPr>
      <w:r w:rsidRPr="00C03373">
        <w:t xml:space="preserve">The TWES program was rolled out across </w:t>
      </w:r>
      <w:r w:rsidR="00467A51" w:rsidRPr="00C03373">
        <w:t>states</w:t>
      </w:r>
      <w:r w:rsidRPr="00C03373">
        <w:t xml:space="preserve"> and </w:t>
      </w:r>
      <w:r w:rsidR="00467A51" w:rsidRPr="00C03373">
        <w:t>territories</w:t>
      </w:r>
      <w:r w:rsidRPr="00C03373">
        <w:t xml:space="preserve"> in a staggered approach. Non-remote sites were the first to be established with remote sites not commencing until mid-2019 (</w:t>
      </w:r>
      <w:r w:rsidR="00DE1F91" w:rsidRPr="00C03373">
        <w:t xml:space="preserve">See </w:t>
      </w:r>
      <w:r w:rsidR="00EA1C68" w:rsidRPr="00C03373">
        <w:fldChar w:fldCharType="begin"/>
      </w:r>
      <w:r w:rsidR="00EA1C68" w:rsidRPr="00C03373">
        <w:instrText xml:space="preserve"> REF _Ref71637931 \h </w:instrText>
      </w:r>
      <w:r w:rsidR="00C03373">
        <w:instrText xml:space="preserve"> \* MERGEFORMAT </w:instrText>
      </w:r>
      <w:r w:rsidR="00EA1C68" w:rsidRPr="00C03373">
        <w:fldChar w:fldCharType="separate"/>
      </w:r>
      <w:r w:rsidR="00AE0EDD" w:rsidRPr="00C03373">
        <w:t>Figure 3</w:t>
      </w:r>
      <w:r w:rsidR="00EA1C68" w:rsidRPr="00C03373">
        <w:fldChar w:fldCharType="end"/>
      </w:r>
      <w:r w:rsidR="00EA1C68" w:rsidRPr="00C03373">
        <w:t xml:space="preserve"> and </w:t>
      </w:r>
      <w:r w:rsidR="00EA1C68" w:rsidRPr="00C03373">
        <w:fldChar w:fldCharType="begin"/>
      </w:r>
      <w:r w:rsidR="00EA1C68" w:rsidRPr="00C03373">
        <w:instrText xml:space="preserve"> REF _Ref72957957 \h </w:instrText>
      </w:r>
      <w:r w:rsidR="00C03373">
        <w:instrText xml:space="preserve"> \* MERGEFORMAT </w:instrText>
      </w:r>
      <w:r w:rsidR="00EA1C68" w:rsidRPr="00C03373">
        <w:fldChar w:fldCharType="separate"/>
      </w:r>
      <w:r w:rsidR="00AE0EDD" w:rsidRPr="00C03373">
        <w:t>Figure 4</w:t>
      </w:r>
      <w:r w:rsidR="00EA1C68" w:rsidRPr="00C03373">
        <w:fldChar w:fldCharType="end"/>
      </w:r>
      <w:r w:rsidRPr="00C03373">
        <w:t xml:space="preserve">). </w:t>
      </w:r>
      <w:r w:rsidR="00DB7649" w:rsidRPr="00C03373">
        <w:t>participant</w:t>
      </w:r>
      <w:r w:rsidR="00B4596A" w:rsidRPr="00C03373">
        <w:t xml:space="preserve">s began commencing </w:t>
      </w:r>
      <w:r w:rsidRPr="00C03373">
        <w:t>TWES in all jurisdictions before the impact of COVID-19 on service delivery in corrections facilities in March 2021.</w:t>
      </w:r>
      <w:r w:rsidR="00DE1F91" w:rsidRPr="00C03373">
        <w:t xml:space="preserve"> </w:t>
      </w:r>
      <w:r w:rsidRPr="00C03373">
        <w:t xml:space="preserve">As of February 2021, TWES had been rolled out in non-remote sites within all six states and both territories, and in remote sites within three states and one territory (WA, QLD, SA and NT). The rollout of TWES first involved a ‘Memorandum of Understanding’ (MOU) agreed with each state and </w:t>
      </w:r>
      <w:r w:rsidRPr="00C03373">
        <w:lastRenderedPageBreak/>
        <w:t xml:space="preserve">territory, then a ‘Contracted Service Start Date’ with each TWES </w:t>
      </w:r>
      <w:r w:rsidR="00BC1946" w:rsidRPr="00C03373">
        <w:t>provider</w:t>
      </w:r>
      <w:r w:rsidRPr="00C03373">
        <w:t xml:space="preserve">. Each prison has one contracted TWES </w:t>
      </w:r>
      <w:r w:rsidR="00BC1946" w:rsidRPr="00C03373">
        <w:t xml:space="preserve">provider </w:t>
      </w:r>
      <w:r w:rsidRPr="00C03373">
        <w:t>to deliver the TWES service.</w:t>
      </w:r>
    </w:p>
    <w:p w14:paraId="2BB4607B" w14:textId="5CAC8599" w:rsidR="00C03373" w:rsidRPr="00C03373" w:rsidRDefault="00636CA2" w:rsidP="00305B4B">
      <w:pPr>
        <w:pStyle w:val="BodyText"/>
        <w:ind w:right="3"/>
      </w:pPr>
      <w:r w:rsidRPr="00C03373">
        <w:t xml:space="preserve">After two years of implementation (May 2018 to February 2021) TWES was being implemented in 73 prisons (65 non-remote and 8 remote), supported by 21 TWES </w:t>
      </w:r>
      <w:r w:rsidR="00BC1946" w:rsidRPr="00C03373">
        <w:t xml:space="preserve">providers </w:t>
      </w:r>
      <w:r w:rsidRPr="00C03373">
        <w:t>(13 non-remote, 8 remote). TWES was initially rolled out to 70 non-remote prisons but this decreased to 65 by February 2021. TWES ceased being delivered in some non-remote prisons because those prisons became transit centres or were closed, or eligible prisoner numbers were too small to sustain TWES delivery.</w:t>
      </w:r>
    </w:p>
    <w:p w14:paraId="0E0DE0F7" w14:textId="37BCE1F8" w:rsidR="002017A4" w:rsidRPr="00C03373" w:rsidRDefault="002017A4" w:rsidP="00D94610">
      <w:pPr>
        <w:pStyle w:val="Caption"/>
      </w:pPr>
      <w:bookmarkStart w:id="60" w:name="_Ref71637931"/>
      <w:bookmarkStart w:id="61" w:name="_Ref75205767"/>
      <w:r w:rsidRPr="00C03373">
        <w:t xml:space="preserve">Figure </w:t>
      </w:r>
      <w:r w:rsidRPr="00C03373">
        <w:fldChar w:fldCharType="begin"/>
      </w:r>
      <w:r w:rsidRPr="00C03373">
        <w:instrText xml:space="preserve"> SEQ Figure \* ARABIC </w:instrText>
      </w:r>
      <w:r w:rsidRPr="00C03373">
        <w:fldChar w:fldCharType="separate"/>
      </w:r>
      <w:r w:rsidR="00AE0EDD" w:rsidRPr="00C03373">
        <w:t>3</w:t>
      </w:r>
      <w:r w:rsidRPr="00C03373">
        <w:fldChar w:fldCharType="end"/>
      </w:r>
      <w:bookmarkEnd w:id="60"/>
      <w:r w:rsidRPr="00C03373">
        <w:t xml:space="preserve">: Roll-out of TWES across </w:t>
      </w:r>
      <w:r w:rsidR="00467A51" w:rsidRPr="00C03373">
        <w:t>states</w:t>
      </w:r>
      <w:r w:rsidRPr="00C03373">
        <w:t xml:space="preserve"> and </w:t>
      </w:r>
      <w:r w:rsidR="00467A51" w:rsidRPr="00D94610">
        <w:t>territories</w:t>
      </w:r>
      <w:r w:rsidRPr="00C03373">
        <w:t xml:space="preserve"> (Non-remote)</w:t>
      </w:r>
      <w:bookmarkEnd w:id="61"/>
    </w:p>
    <w:p w14:paraId="457C2944" w14:textId="372A67B2" w:rsidR="002017A4" w:rsidRDefault="002017A4" w:rsidP="00305B4B">
      <w:pPr>
        <w:pStyle w:val="BodyText"/>
        <w:ind w:right="3"/>
      </w:pPr>
      <w:bookmarkStart w:id="62" w:name="bookmark7"/>
      <w:bookmarkEnd w:id="62"/>
      <w:r>
        <w:rPr>
          <w:noProof/>
        </w:rPr>
        <w:drawing>
          <wp:inline distT="0" distB="0" distL="0" distR="0" wp14:anchorId="39FB727B" wp14:editId="3ABB8CE4">
            <wp:extent cx="6515100" cy="3604883"/>
            <wp:effectExtent l="0" t="0" r="0" b="0"/>
            <wp:docPr id="5" name="Picture 5" descr="A bar chart showing the timing of the rollout of the TWES program across non-remote sites starting in May and June 2018 in ACT, NSW and Tasmania, with all remaining states and territories on board by January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r chart showing the timing of the rollout of the TWES program across non-remote sites starting in May and June 2018 in ACT, NSW and Tasmania, with all remaining states and territories on board by January 2019. "/>
                    <pic:cNvPicPr/>
                  </pic:nvPicPr>
                  <pic:blipFill>
                    <a:blip r:embed="rId20">
                      <a:extLst>
                        <a:ext uri="{28A0092B-C50C-407E-A947-70E740481C1C}">
                          <a14:useLocalDpi xmlns:a14="http://schemas.microsoft.com/office/drawing/2010/main" val="0"/>
                        </a:ext>
                      </a:extLst>
                    </a:blip>
                    <a:stretch>
                      <a:fillRect/>
                    </a:stretch>
                  </pic:blipFill>
                  <pic:spPr>
                    <a:xfrm>
                      <a:off x="0" y="0"/>
                      <a:ext cx="6515100" cy="3604883"/>
                    </a:xfrm>
                    <a:prstGeom prst="rect">
                      <a:avLst/>
                    </a:prstGeom>
                  </pic:spPr>
                </pic:pic>
              </a:graphicData>
            </a:graphic>
          </wp:inline>
        </w:drawing>
      </w:r>
    </w:p>
    <w:p w14:paraId="2B399623" w14:textId="1C8FDEF2" w:rsidR="002017A4" w:rsidRPr="00D17359" w:rsidRDefault="002017A4" w:rsidP="00305B4B">
      <w:pPr>
        <w:pStyle w:val="Caption"/>
        <w:ind w:right="3"/>
      </w:pPr>
      <w:bookmarkStart w:id="63" w:name="bookmark8"/>
      <w:bookmarkStart w:id="64" w:name="_Ref72957957"/>
      <w:bookmarkStart w:id="65" w:name="_Ref75205769"/>
      <w:bookmarkEnd w:id="63"/>
      <w:r w:rsidRPr="00D17359">
        <w:lastRenderedPageBreak/>
        <w:t xml:space="preserve">Figure </w:t>
      </w:r>
      <w:r w:rsidRPr="00D17359">
        <w:fldChar w:fldCharType="begin"/>
      </w:r>
      <w:r w:rsidRPr="00D17359">
        <w:instrText xml:space="preserve"> SEQ Figure \* ARABIC </w:instrText>
      </w:r>
      <w:r w:rsidRPr="00D17359">
        <w:fldChar w:fldCharType="separate"/>
      </w:r>
      <w:r w:rsidR="00AE0EDD">
        <w:rPr>
          <w:noProof/>
        </w:rPr>
        <w:t>4</w:t>
      </w:r>
      <w:r w:rsidRPr="00D17359">
        <w:fldChar w:fldCharType="end"/>
      </w:r>
      <w:bookmarkEnd w:id="64"/>
      <w:r w:rsidRPr="00D17359">
        <w:t xml:space="preserve">: Roll-out of TWES across </w:t>
      </w:r>
      <w:r w:rsidR="00467A51">
        <w:t>states</w:t>
      </w:r>
      <w:r w:rsidRPr="00D17359">
        <w:t xml:space="preserve"> and </w:t>
      </w:r>
      <w:r w:rsidR="00467A51">
        <w:t>territories</w:t>
      </w:r>
      <w:r w:rsidRPr="00D17359">
        <w:t xml:space="preserve"> (Remote)</w:t>
      </w:r>
      <w:bookmarkEnd w:id="65"/>
    </w:p>
    <w:p w14:paraId="5B419880" w14:textId="77777777" w:rsidR="002017A4" w:rsidRDefault="002017A4" w:rsidP="00305B4B">
      <w:pPr>
        <w:pStyle w:val="BodyText"/>
        <w:ind w:right="3"/>
      </w:pPr>
      <w:r>
        <w:rPr>
          <w:noProof/>
        </w:rPr>
        <w:drawing>
          <wp:inline distT="0" distB="0" distL="0" distR="0" wp14:anchorId="5065E021" wp14:editId="774E4971">
            <wp:extent cx="6477002" cy="3600104"/>
            <wp:effectExtent l="0" t="0" r="0" b="635"/>
            <wp:docPr id="1" name="Picture 1" descr="A bar chart showing the timing of the rollout of the TWES program across remote sites starting in May and July 2019 in SA and NT, with QLD and WA on board by September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r chart showing the timing of the rollout of the TWES program across remote sites starting in May and July 2019 in SA and NT, with QLD and WA on board by September 2019. "/>
                    <pic:cNvPicPr/>
                  </pic:nvPicPr>
                  <pic:blipFill>
                    <a:blip r:embed="rId21">
                      <a:extLst>
                        <a:ext uri="{28A0092B-C50C-407E-A947-70E740481C1C}">
                          <a14:useLocalDpi xmlns:a14="http://schemas.microsoft.com/office/drawing/2010/main" val="0"/>
                        </a:ext>
                      </a:extLst>
                    </a:blip>
                    <a:stretch>
                      <a:fillRect/>
                    </a:stretch>
                  </pic:blipFill>
                  <pic:spPr>
                    <a:xfrm>
                      <a:off x="0" y="0"/>
                      <a:ext cx="6477002" cy="3600104"/>
                    </a:xfrm>
                    <a:prstGeom prst="rect">
                      <a:avLst/>
                    </a:prstGeom>
                  </pic:spPr>
                </pic:pic>
              </a:graphicData>
            </a:graphic>
          </wp:inline>
        </w:drawing>
      </w:r>
    </w:p>
    <w:p w14:paraId="349E243A" w14:textId="77777777" w:rsidR="006D5E8F" w:rsidRDefault="006D5E8F" w:rsidP="00305B4B">
      <w:pPr>
        <w:pStyle w:val="BodyText"/>
        <w:ind w:right="3"/>
      </w:pPr>
    </w:p>
    <w:p w14:paraId="35935986" w14:textId="1116D961" w:rsidR="002017A4" w:rsidRPr="00C03373" w:rsidRDefault="00456851" w:rsidP="00305B4B">
      <w:pPr>
        <w:pStyle w:val="BodyText"/>
        <w:ind w:right="3"/>
      </w:pPr>
      <w:r w:rsidRPr="00C03373">
        <w:t xml:space="preserve">A total of 4,502 TWES participants commenced TWES since the service began. </w:t>
      </w:r>
      <w:r w:rsidR="002017A4" w:rsidRPr="00C03373">
        <w:t xml:space="preserve">The number of TWES participants commencing the program every month peaked at 265 in October 2019 (Figure 3). The number of TWES participants commencing every month increased greatly between April and May 2019 (270%) including </w:t>
      </w:r>
      <w:r w:rsidR="00B4596A" w:rsidRPr="00C03373">
        <w:t xml:space="preserve">large numbers of TWES participants commencing </w:t>
      </w:r>
      <w:r w:rsidR="002017A4" w:rsidRPr="00C03373">
        <w:t>in Queensland (141).</w:t>
      </w:r>
    </w:p>
    <w:p w14:paraId="70DE41B8" w14:textId="613A819D" w:rsidR="002017A4" w:rsidRPr="00C03373" w:rsidRDefault="002017A4" w:rsidP="00305B4B">
      <w:pPr>
        <w:pStyle w:val="BodyText"/>
        <w:ind w:right="3"/>
      </w:pPr>
      <w:r w:rsidRPr="00C03373">
        <w:t>COVID-19 has had a substantial impact on the level of delivery of TWES. The number of TWES participants commencing every month decreased by 47% after March 2020, coinciding with the impact of the COVID-19 pandemic (</w:t>
      </w:r>
      <w:r w:rsidR="00EA1C68" w:rsidRPr="00C03373">
        <w:fldChar w:fldCharType="begin"/>
      </w:r>
      <w:r w:rsidR="00EA1C68" w:rsidRPr="00C03373">
        <w:instrText xml:space="preserve"> REF _Ref71639475 \h  \* MERGEFORMAT </w:instrText>
      </w:r>
      <w:r w:rsidR="00EA1C68" w:rsidRPr="00C03373">
        <w:fldChar w:fldCharType="separate"/>
      </w:r>
      <w:r w:rsidR="00E93A98" w:rsidRPr="00C03373">
        <w:t>F</w:t>
      </w:r>
      <w:r w:rsidR="00E93A98" w:rsidRPr="00C03373">
        <w:rPr>
          <w:b/>
          <w:bCs/>
        </w:rPr>
        <w:t>igure 5</w:t>
      </w:r>
      <w:r w:rsidR="00EA1C68" w:rsidRPr="00C03373">
        <w:fldChar w:fldCharType="end"/>
      </w:r>
      <w:r w:rsidRPr="00C03373">
        <w:t>).</w:t>
      </w:r>
      <w:r w:rsidRPr="00C03373" w:rsidDel="002329A5">
        <w:t xml:space="preserve"> </w:t>
      </w:r>
      <w:r w:rsidRPr="00C03373">
        <w:t xml:space="preserve">Most prisons across Australia stopped almost all face-to-face visits, including from services such as TWES </w:t>
      </w:r>
      <w:r w:rsidR="00BC1946" w:rsidRPr="00C03373">
        <w:t>providers</w:t>
      </w:r>
      <w:r w:rsidRPr="00C03373">
        <w:t xml:space="preserve">. Of note, QLD </w:t>
      </w:r>
      <w:r w:rsidR="00CC4981" w:rsidRPr="00C03373">
        <w:t xml:space="preserve">locked down all prisons and prevented programs and services from accessing prisons </w:t>
      </w:r>
      <w:r w:rsidRPr="00C03373">
        <w:t xml:space="preserve">for approximately three months. This had an impact on the ability of TWES </w:t>
      </w:r>
      <w:r w:rsidR="00BC1946" w:rsidRPr="00C03373">
        <w:t xml:space="preserve">providers </w:t>
      </w:r>
      <w:r w:rsidRPr="00C03373">
        <w:t xml:space="preserve">to promote the service, build relationships with eligible prisoners and corrections staff, and encourage new </w:t>
      </w:r>
      <w:r w:rsidR="00E42F9F" w:rsidRPr="00C03373">
        <w:t>participants</w:t>
      </w:r>
      <w:r w:rsidRPr="00C03373">
        <w:t xml:space="preserve">. In some cases, where facilities were available TWES </w:t>
      </w:r>
      <w:r w:rsidR="00BC1946" w:rsidRPr="00C03373">
        <w:t xml:space="preserve">providers </w:t>
      </w:r>
      <w:r w:rsidRPr="00C03373">
        <w:t xml:space="preserve">moved their activities (including meetings and JSCI assessments) to telephone or videoconferencing. However, TWES </w:t>
      </w:r>
      <w:r w:rsidR="00BC1946" w:rsidRPr="00C03373">
        <w:t xml:space="preserve">providers </w:t>
      </w:r>
      <w:r w:rsidRPr="00C03373">
        <w:t>had to compete with other services for these facilities (some of which were given priority over TWES, such as legal services).</w:t>
      </w:r>
    </w:p>
    <w:p w14:paraId="51879E55" w14:textId="77777777" w:rsidR="002017A4" w:rsidRDefault="002017A4" w:rsidP="00305B4B">
      <w:pPr>
        <w:widowControl/>
        <w:autoSpaceDE/>
        <w:autoSpaceDN/>
        <w:adjustRightInd/>
        <w:ind w:right="3"/>
        <w:rPr>
          <w:rFonts w:ascii="Arial" w:hAnsi="Arial" w:cs="Arial"/>
          <w:sz w:val="20"/>
          <w:szCs w:val="20"/>
        </w:rPr>
      </w:pPr>
    </w:p>
    <w:p w14:paraId="2ED1D413" w14:textId="3AFC6416" w:rsidR="002017A4" w:rsidRPr="00D43C07" w:rsidRDefault="002017A4" w:rsidP="00D94610">
      <w:pPr>
        <w:pStyle w:val="Caption"/>
      </w:pPr>
      <w:bookmarkStart w:id="66" w:name="_Ref71639475"/>
      <w:r w:rsidRPr="00D43C07">
        <w:lastRenderedPageBreak/>
        <w:t xml:space="preserve">Figure </w:t>
      </w:r>
      <w:r w:rsidRPr="00D43C07">
        <w:fldChar w:fldCharType="begin"/>
      </w:r>
      <w:r w:rsidRPr="00D43C07">
        <w:instrText xml:space="preserve"> SEQ Figure \* ARABIC </w:instrText>
      </w:r>
      <w:r w:rsidRPr="00D43C07">
        <w:fldChar w:fldCharType="separate"/>
      </w:r>
      <w:r w:rsidR="00E93A98">
        <w:rPr>
          <w:noProof/>
        </w:rPr>
        <w:t>5</w:t>
      </w:r>
      <w:r w:rsidRPr="00D43C07">
        <w:fldChar w:fldCharType="end"/>
      </w:r>
      <w:bookmarkEnd w:id="66"/>
      <w:r w:rsidRPr="00D43C07">
        <w:t xml:space="preserve">: TWES </w:t>
      </w:r>
      <w:r w:rsidR="00BC1946">
        <w:t>p</w:t>
      </w:r>
      <w:r w:rsidR="00BC1946" w:rsidRPr="00D43C07">
        <w:t>articipant</w:t>
      </w:r>
      <w:r w:rsidR="00BC1946">
        <w:t>s</w:t>
      </w:r>
      <w:r w:rsidR="00BC1946" w:rsidRPr="00D43C07">
        <w:t xml:space="preserve"> </w:t>
      </w:r>
      <w:r w:rsidR="00E42F9F">
        <w:t>c</w:t>
      </w:r>
      <w:r w:rsidRPr="00D43C07">
        <w:t>ommenc</w:t>
      </w:r>
      <w:r w:rsidR="00E42F9F">
        <w:t>ing</w:t>
      </w:r>
      <w:r w:rsidRPr="00D43C07">
        <w:t xml:space="preserve"> over time (non-remote and remote)</w:t>
      </w:r>
    </w:p>
    <w:p w14:paraId="42C1B013" w14:textId="77777777" w:rsidR="002017A4" w:rsidRPr="00D43C07" w:rsidRDefault="002017A4" w:rsidP="00305B4B">
      <w:pPr>
        <w:pStyle w:val="BodyText"/>
        <w:ind w:right="3"/>
      </w:pPr>
      <w:r w:rsidRPr="00D43C07">
        <w:rPr>
          <w:noProof/>
        </w:rPr>
        <w:drawing>
          <wp:inline distT="0" distB="0" distL="0" distR="0" wp14:anchorId="0BAC2F7C" wp14:editId="56F83A2C">
            <wp:extent cx="6267448" cy="2646680"/>
            <wp:effectExtent l="0" t="0" r="0" b="1270"/>
            <wp:docPr id="13" name="Picture 13" descr="A bar chart showing how the number of TWES participants commencing every month decreased by 47% after March 2020, coinciding with the impact of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ar chart showing how the number of TWES participants commencing every month decreased by 47% after March 2020, coinciding with the impact of Covid-19."/>
                    <pic:cNvPicPr/>
                  </pic:nvPicPr>
                  <pic:blipFill>
                    <a:blip r:embed="rId22">
                      <a:extLst>
                        <a:ext uri="{28A0092B-C50C-407E-A947-70E740481C1C}">
                          <a14:useLocalDpi xmlns:a14="http://schemas.microsoft.com/office/drawing/2010/main" val="0"/>
                        </a:ext>
                      </a:extLst>
                    </a:blip>
                    <a:stretch>
                      <a:fillRect/>
                    </a:stretch>
                  </pic:blipFill>
                  <pic:spPr>
                    <a:xfrm>
                      <a:off x="0" y="0"/>
                      <a:ext cx="6267448" cy="2646680"/>
                    </a:xfrm>
                    <a:prstGeom prst="rect">
                      <a:avLst/>
                    </a:prstGeom>
                  </pic:spPr>
                </pic:pic>
              </a:graphicData>
            </a:graphic>
          </wp:inline>
        </w:drawing>
      </w:r>
    </w:p>
    <w:p w14:paraId="1B8C9435" w14:textId="77777777" w:rsidR="002017A4" w:rsidRPr="00D43C07" w:rsidRDefault="002017A4" w:rsidP="00305B4B">
      <w:pPr>
        <w:pStyle w:val="BodyText"/>
        <w:ind w:right="3"/>
      </w:pPr>
    </w:p>
    <w:p w14:paraId="3523E891" w14:textId="0CF033DA" w:rsidR="00EA1C68" w:rsidRPr="006D5E8F" w:rsidRDefault="00E42F9F" w:rsidP="006D5E8F">
      <w:pPr>
        <w:pStyle w:val="BodyText"/>
        <w:ind w:right="3"/>
      </w:pPr>
      <w:r w:rsidRPr="00C03373">
        <w:t>The number of new participants commencing TWES each month in n</w:t>
      </w:r>
      <w:r w:rsidR="002017A4" w:rsidRPr="00C03373">
        <w:t>on-remote sites</w:t>
      </w:r>
      <w:r w:rsidRPr="00C03373">
        <w:t xml:space="preserve"> </w:t>
      </w:r>
      <w:r w:rsidR="002017A4" w:rsidRPr="00C03373">
        <w:t xml:space="preserve">began before remote sites (see </w:t>
      </w:r>
      <w:hyperlink w:anchor="bookmark10" w:history="1">
        <w:r w:rsidR="002017A4" w:rsidRPr="00C03373">
          <w:rPr>
            <w:b/>
            <w:bCs/>
          </w:rPr>
          <w:fldChar w:fldCharType="begin"/>
        </w:r>
        <w:r w:rsidR="002017A4" w:rsidRPr="00C03373">
          <w:rPr>
            <w:b/>
            <w:bCs/>
          </w:rPr>
          <w:instrText xml:space="preserve"> REF _Ref71653890 \h  \* MERGEFORMAT </w:instrText>
        </w:r>
        <w:r w:rsidR="002017A4" w:rsidRPr="00C03373">
          <w:rPr>
            <w:b/>
            <w:bCs/>
          </w:rPr>
        </w:r>
        <w:r w:rsidR="002017A4" w:rsidRPr="00C03373">
          <w:rPr>
            <w:b/>
            <w:bCs/>
          </w:rPr>
          <w:fldChar w:fldCharType="separate"/>
        </w:r>
        <w:r w:rsidR="00AE0EDD" w:rsidRPr="00C03373">
          <w:rPr>
            <w:b/>
            <w:bCs/>
          </w:rPr>
          <w:t>Figure 6</w:t>
        </w:r>
        <w:r w:rsidR="002017A4" w:rsidRPr="00C03373">
          <w:rPr>
            <w:b/>
            <w:bCs/>
          </w:rPr>
          <w:fldChar w:fldCharType="end"/>
        </w:r>
      </w:hyperlink>
      <w:r w:rsidR="002017A4" w:rsidRPr="00C03373">
        <w:rPr>
          <w:b/>
          <w:bCs/>
        </w:rPr>
        <w:t>).</w:t>
      </w:r>
      <w:r w:rsidR="002017A4" w:rsidRPr="00C03373">
        <w:t xml:space="preserve"> There was a ~288% increase in </w:t>
      </w:r>
      <w:r w:rsidRPr="00C03373">
        <w:t xml:space="preserve">new participants </w:t>
      </w:r>
      <w:r w:rsidR="002017A4" w:rsidRPr="00C03373">
        <w:t xml:space="preserve">between April and May 2019 (again due to the 141 </w:t>
      </w:r>
      <w:r w:rsidRPr="00C03373">
        <w:t xml:space="preserve">in </w:t>
      </w:r>
      <w:r w:rsidR="002017A4" w:rsidRPr="00C03373">
        <w:t xml:space="preserve">QLD). There was a ~54% drop in </w:t>
      </w:r>
      <w:r w:rsidRPr="00C03373">
        <w:t xml:space="preserve">new participants </w:t>
      </w:r>
      <w:r w:rsidR="00BA2452" w:rsidRPr="00C03373">
        <w:t xml:space="preserve">commencing each month </w:t>
      </w:r>
      <w:r w:rsidR="002017A4" w:rsidRPr="00C03373">
        <w:t>after the beginning of the COVID-19 pandemic in March 2020.</w:t>
      </w:r>
    </w:p>
    <w:p w14:paraId="49D6120D" w14:textId="6D4AE632" w:rsidR="002017A4" w:rsidRPr="00D56D7E" w:rsidRDefault="002017A4" w:rsidP="00D94610">
      <w:pPr>
        <w:pStyle w:val="Caption"/>
      </w:pPr>
      <w:bookmarkStart w:id="67" w:name="_Ref71653890"/>
      <w:r w:rsidRPr="00D56D7E">
        <w:t xml:space="preserve">Figure </w:t>
      </w:r>
      <w:r>
        <w:fldChar w:fldCharType="begin"/>
      </w:r>
      <w:r>
        <w:instrText xml:space="preserve"> SEQ Figure \* ARABIC </w:instrText>
      </w:r>
      <w:r>
        <w:fldChar w:fldCharType="separate"/>
      </w:r>
      <w:r w:rsidR="00AE0EDD">
        <w:rPr>
          <w:noProof/>
        </w:rPr>
        <w:t>6</w:t>
      </w:r>
      <w:r>
        <w:fldChar w:fldCharType="end"/>
      </w:r>
      <w:bookmarkEnd w:id="67"/>
      <w:r w:rsidRPr="00D56D7E">
        <w:t xml:space="preserve">: TWES </w:t>
      </w:r>
      <w:r w:rsidR="00DB7649">
        <w:t>participant</w:t>
      </w:r>
      <w:r w:rsidRPr="00D56D7E">
        <w:t xml:space="preserve"> </w:t>
      </w:r>
      <w:r w:rsidR="00BA2452" w:rsidRPr="00D94610">
        <w:t>commencing</w:t>
      </w:r>
      <w:r w:rsidRPr="00D56D7E">
        <w:t xml:space="preserve"> over time (Non-Remote)</w:t>
      </w:r>
    </w:p>
    <w:p w14:paraId="347F481A" w14:textId="77777777" w:rsidR="002017A4" w:rsidRPr="00D43C07" w:rsidRDefault="002017A4" w:rsidP="00305B4B">
      <w:pPr>
        <w:pStyle w:val="BodyText"/>
        <w:ind w:right="3"/>
      </w:pPr>
      <w:r w:rsidRPr="00D43C07">
        <w:rPr>
          <w:noProof/>
        </w:rPr>
        <w:drawing>
          <wp:inline distT="0" distB="0" distL="0" distR="0" wp14:anchorId="73208036" wp14:editId="0FECC68D">
            <wp:extent cx="6238874" cy="2721211"/>
            <wp:effectExtent l="0" t="0" r="0" b="3175"/>
            <wp:docPr id="12" name="Picture 12" descr="A bar chart showing the number of TWES participants across non-remote sites where there is a 288% increase in new participants between April and May 2019, and a 54% drop in new participants each month after the beginning of the Covid-19 pandemic in March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ar chart showing the number of TWES participants across non-remote sites where there is a 288% increase in new participants between April and May 2019, and a 54% drop in new participants each month after the beginning of the Covid-19 pandemic in March 2020. "/>
                    <pic:cNvPicPr/>
                  </pic:nvPicPr>
                  <pic:blipFill>
                    <a:blip r:embed="rId23">
                      <a:extLst>
                        <a:ext uri="{28A0092B-C50C-407E-A947-70E740481C1C}">
                          <a14:useLocalDpi xmlns:a14="http://schemas.microsoft.com/office/drawing/2010/main" val="0"/>
                        </a:ext>
                      </a:extLst>
                    </a:blip>
                    <a:stretch>
                      <a:fillRect/>
                    </a:stretch>
                  </pic:blipFill>
                  <pic:spPr>
                    <a:xfrm>
                      <a:off x="0" y="0"/>
                      <a:ext cx="6238874" cy="2721211"/>
                    </a:xfrm>
                    <a:prstGeom prst="rect">
                      <a:avLst/>
                    </a:prstGeom>
                  </pic:spPr>
                </pic:pic>
              </a:graphicData>
            </a:graphic>
          </wp:inline>
        </w:drawing>
      </w:r>
    </w:p>
    <w:p w14:paraId="11FDDCF3" w14:textId="77777777" w:rsidR="002017A4" w:rsidRPr="00C03373" w:rsidRDefault="002017A4" w:rsidP="00305B4B">
      <w:pPr>
        <w:pStyle w:val="BodyText"/>
        <w:ind w:right="3"/>
      </w:pPr>
    </w:p>
    <w:p w14:paraId="5311FF0A" w14:textId="49BE1868" w:rsidR="002017A4" w:rsidRPr="00C03373" w:rsidRDefault="002017A4" w:rsidP="00305B4B">
      <w:pPr>
        <w:pStyle w:val="BodyText"/>
        <w:ind w:right="3"/>
      </w:pPr>
      <w:r w:rsidRPr="00C03373">
        <w:t xml:space="preserve">As noted, </w:t>
      </w:r>
      <w:r w:rsidR="00BA2452" w:rsidRPr="00C03373">
        <w:t xml:space="preserve">new participants commencing TWES in </w:t>
      </w:r>
      <w:r w:rsidRPr="00C03373">
        <w:t xml:space="preserve">remote </w:t>
      </w:r>
      <w:r w:rsidR="00BA2452" w:rsidRPr="00C03373">
        <w:t xml:space="preserve">areas </w:t>
      </w:r>
      <w:r w:rsidRPr="00C03373">
        <w:t>began a number of months after non-remote sites, with an increase of 179%, between July and August 2019, coinciding with the first</w:t>
      </w:r>
      <w:r w:rsidR="009B41F8" w:rsidRPr="00C03373">
        <w:t xml:space="preserve"> TWES participants commencing in </w:t>
      </w:r>
      <w:r w:rsidRPr="00C03373">
        <w:t xml:space="preserve">QLD (total of 26). There was a decrease in the number of </w:t>
      </w:r>
      <w:r w:rsidR="00BA2452" w:rsidRPr="00C03373">
        <w:t xml:space="preserve">new participants each month </w:t>
      </w:r>
      <w:r w:rsidR="00946309" w:rsidRPr="00C03373">
        <w:t xml:space="preserve">of </w:t>
      </w:r>
      <w:r w:rsidRPr="00C03373">
        <w:t xml:space="preserve">59% between January and February 2020 (see </w:t>
      </w:r>
      <w:hyperlink w:anchor="bookmark11" w:history="1">
        <w:r w:rsidRPr="00C03373">
          <w:rPr>
            <w:b/>
            <w:bCs/>
          </w:rPr>
          <w:fldChar w:fldCharType="begin"/>
        </w:r>
        <w:r w:rsidRPr="00C03373">
          <w:rPr>
            <w:b/>
            <w:bCs/>
          </w:rPr>
          <w:instrText xml:space="preserve"> REF _Ref71654113 \h  \* MERGEFORMAT </w:instrText>
        </w:r>
        <w:r w:rsidRPr="00C03373">
          <w:rPr>
            <w:b/>
            <w:bCs/>
          </w:rPr>
        </w:r>
        <w:r w:rsidRPr="00C03373">
          <w:rPr>
            <w:b/>
            <w:bCs/>
          </w:rPr>
          <w:fldChar w:fldCharType="separate"/>
        </w:r>
        <w:r w:rsidR="00AE0EDD" w:rsidRPr="00C03373">
          <w:rPr>
            <w:b/>
            <w:bCs/>
          </w:rPr>
          <w:t>Figure 7</w:t>
        </w:r>
        <w:r w:rsidRPr="00C03373">
          <w:rPr>
            <w:b/>
            <w:bCs/>
          </w:rPr>
          <w:fldChar w:fldCharType="end"/>
        </w:r>
      </w:hyperlink>
      <w:r w:rsidRPr="00C03373">
        <w:t>).</w:t>
      </w:r>
    </w:p>
    <w:p w14:paraId="30C85E3E" w14:textId="30B53124" w:rsidR="002017A4" w:rsidRPr="00C4445B" w:rsidRDefault="002017A4" w:rsidP="00305B4B">
      <w:pPr>
        <w:pStyle w:val="Caption"/>
        <w:ind w:right="3"/>
      </w:pPr>
      <w:bookmarkStart w:id="68" w:name="bookmark9"/>
      <w:bookmarkStart w:id="69" w:name="_Ref71654113"/>
      <w:bookmarkEnd w:id="68"/>
      <w:r w:rsidRPr="00C4445B">
        <w:lastRenderedPageBreak/>
        <w:t xml:space="preserve">Figure </w:t>
      </w:r>
      <w:r>
        <w:fldChar w:fldCharType="begin"/>
      </w:r>
      <w:r>
        <w:instrText xml:space="preserve"> SEQ Figure \* ARABIC </w:instrText>
      </w:r>
      <w:r>
        <w:fldChar w:fldCharType="separate"/>
      </w:r>
      <w:r w:rsidR="00AE0EDD">
        <w:rPr>
          <w:noProof/>
        </w:rPr>
        <w:t>7</w:t>
      </w:r>
      <w:r>
        <w:fldChar w:fldCharType="end"/>
      </w:r>
      <w:bookmarkEnd w:id="69"/>
      <w:r w:rsidRPr="00C4445B">
        <w:t xml:space="preserve">: TWES </w:t>
      </w:r>
      <w:r w:rsidR="00DB7649">
        <w:t>participant</w:t>
      </w:r>
      <w:r w:rsidRPr="00C4445B">
        <w:t xml:space="preserve"> </w:t>
      </w:r>
      <w:r w:rsidR="00946309">
        <w:t>commencing</w:t>
      </w:r>
      <w:r w:rsidRPr="00C4445B">
        <w:t xml:space="preserve"> over time (Remote)</w:t>
      </w:r>
    </w:p>
    <w:p w14:paraId="11D42CD8" w14:textId="77777777" w:rsidR="002017A4" w:rsidRDefault="002017A4" w:rsidP="00305B4B">
      <w:pPr>
        <w:pStyle w:val="BodyText"/>
        <w:ind w:right="3"/>
      </w:pPr>
      <w:r>
        <w:rPr>
          <w:noProof/>
        </w:rPr>
        <w:drawing>
          <wp:inline distT="0" distB="0" distL="0" distR="0" wp14:anchorId="76556442" wp14:editId="28DC675F">
            <wp:extent cx="6635750" cy="2865755"/>
            <wp:effectExtent l="0" t="0" r="0" b="0"/>
            <wp:docPr id="6" name="Picture 6" descr="A bar chart showing the number of TWES participants across remote sites where there is a 179% increase in new participants between July and August 2019, and a 59% drop in new participants each month between January and February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ar chart showing the number of TWES participants across remote sites where there is a 179% increase in new participants between July and August 2019, and a 59% drop in new participants each month between January and February 2020. "/>
                    <pic:cNvPicPr/>
                  </pic:nvPicPr>
                  <pic:blipFill>
                    <a:blip r:embed="rId24">
                      <a:extLst>
                        <a:ext uri="{28A0092B-C50C-407E-A947-70E740481C1C}">
                          <a14:useLocalDpi xmlns:a14="http://schemas.microsoft.com/office/drawing/2010/main" val="0"/>
                        </a:ext>
                      </a:extLst>
                    </a:blip>
                    <a:stretch>
                      <a:fillRect/>
                    </a:stretch>
                  </pic:blipFill>
                  <pic:spPr>
                    <a:xfrm>
                      <a:off x="0" y="0"/>
                      <a:ext cx="6635750" cy="2865755"/>
                    </a:xfrm>
                    <a:prstGeom prst="rect">
                      <a:avLst/>
                    </a:prstGeom>
                  </pic:spPr>
                </pic:pic>
              </a:graphicData>
            </a:graphic>
          </wp:inline>
        </w:drawing>
      </w:r>
    </w:p>
    <w:p w14:paraId="38B965A5" w14:textId="7247338E" w:rsidR="00A21D76" w:rsidRPr="00C03373" w:rsidRDefault="00A21D76" w:rsidP="00305B4B">
      <w:pPr>
        <w:pStyle w:val="Heading3"/>
        <w:ind w:right="3"/>
      </w:pPr>
      <w:bookmarkStart w:id="70" w:name="_Ref75196808"/>
      <w:r w:rsidRPr="00C03373">
        <w:t>What is the profile of TWES participants?</w:t>
      </w:r>
      <w:bookmarkEnd w:id="70"/>
    </w:p>
    <w:p w14:paraId="00657D39" w14:textId="7E02F6BA" w:rsidR="005F5212" w:rsidRPr="006D5E8F" w:rsidRDefault="00DE4FD4" w:rsidP="00305B4B">
      <w:pPr>
        <w:pStyle w:val="BodyText"/>
        <w:ind w:right="3"/>
        <w:rPr>
          <w:b/>
          <w:bCs/>
        </w:rPr>
      </w:pPr>
      <w:r w:rsidRPr="006D5E8F">
        <w:rPr>
          <w:b/>
          <w:bCs/>
        </w:rPr>
        <w:t xml:space="preserve">Most TWES participants </w:t>
      </w:r>
      <w:r w:rsidR="00575F8C" w:rsidRPr="006D5E8F">
        <w:rPr>
          <w:b/>
          <w:bCs/>
        </w:rPr>
        <w:t xml:space="preserve">are male, in urban and regional areas of QLD, NSW and WA, and </w:t>
      </w:r>
      <w:r w:rsidR="003402CD" w:rsidRPr="006D5E8F">
        <w:rPr>
          <w:b/>
          <w:bCs/>
        </w:rPr>
        <w:t xml:space="preserve">almost half (43%) are below </w:t>
      </w:r>
      <w:r w:rsidR="00DF7EE5" w:rsidRPr="006D5E8F">
        <w:rPr>
          <w:b/>
          <w:bCs/>
        </w:rPr>
        <w:t xml:space="preserve">29 years old. TWES achieved an </w:t>
      </w:r>
      <w:r w:rsidR="00F657BC" w:rsidRPr="006D5E8F">
        <w:rPr>
          <w:b/>
          <w:bCs/>
        </w:rPr>
        <w:t xml:space="preserve">approximate </w:t>
      </w:r>
      <w:r w:rsidR="00DF7EE5" w:rsidRPr="006D5E8F">
        <w:rPr>
          <w:b/>
          <w:bCs/>
        </w:rPr>
        <w:t xml:space="preserve">uptake rate of </w:t>
      </w:r>
      <w:r w:rsidR="0097428D" w:rsidRPr="006D5E8F">
        <w:rPr>
          <w:b/>
          <w:bCs/>
        </w:rPr>
        <w:t>22% in</w:t>
      </w:r>
      <w:r w:rsidR="0069720B" w:rsidRPr="006D5E8F">
        <w:rPr>
          <w:b/>
          <w:bCs/>
        </w:rPr>
        <w:t xml:space="preserve"> prisons in</w:t>
      </w:r>
      <w:r w:rsidR="0097428D" w:rsidRPr="006D5E8F">
        <w:rPr>
          <w:b/>
          <w:bCs/>
        </w:rPr>
        <w:t xml:space="preserve"> non-remote areas</w:t>
      </w:r>
      <w:r w:rsidR="00657990" w:rsidRPr="006D5E8F">
        <w:rPr>
          <w:b/>
          <w:bCs/>
        </w:rPr>
        <w:t>.</w:t>
      </w:r>
      <w:r w:rsidR="009B1C2D" w:rsidRPr="006D5E8F">
        <w:rPr>
          <w:b/>
          <w:bCs/>
          <w:vertAlign w:val="superscript"/>
        </w:rPr>
        <w:footnoteReference w:id="15"/>
      </w:r>
      <w:r w:rsidR="00657990" w:rsidRPr="006D5E8F">
        <w:rPr>
          <w:b/>
          <w:bCs/>
          <w:vertAlign w:val="superscript"/>
        </w:rPr>
        <w:t xml:space="preserve"> </w:t>
      </w:r>
    </w:p>
    <w:p w14:paraId="246D9FF9" w14:textId="70616867" w:rsidR="009B07B3" w:rsidRPr="00C03373" w:rsidRDefault="00EA1C68" w:rsidP="00305B4B">
      <w:pPr>
        <w:pStyle w:val="BodyText"/>
        <w:ind w:right="3"/>
      </w:pPr>
      <w:r w:rsidRPr="00C03373">
        <w:rPr>
          <w:b/>
          <w:bCs/>
        </w:rPr>
        <w:fldChar w:fldCharType="begin"/>
      </w:r>
      <w:r w:rsidRPr="00C03373">
        <w:rPr>
          <w:b/>
          <w:bCs/>
        </w:rPr>
        <w:instrText xml:space="preserve"> REF _Ref71654126 \h  \* MERGEFORMAT </w:instrText>
      </w:r>
      <w:r w:rsidRPr="00C03373">
        <w:rPr>
          <w:b/>
          <w:bCs/>
        </w:rPr>
      </w:r>
      <w:r w:rsidRPr="00C03373">
        <w:rPr>
          <w:b/>
          <w:bCs/>
        </w:rPr>
        <w:fldChar w:fldCharType="separate"/>
      </w:r>
      <w:r w:rsidR="00AE0EDD" w:rsidRPr="00C03373">
        <w:rPr>
          <w:b/>
          <w:bCs/>
        </w:rPr>
        <w:t>Figure 8</w:t>
      </w:r>
      <w:r w:rsidRPr="00C03373">
        <w:rPr>
          <w:b/>
          <w:bCs/>
        </w:rPr>
        <w:fldChar w:fldCharType="end"/>
      </w:r>
      <w:r w:rsidRPr="00C03373">
        <w:t xml:space="preserve"> </w:t>
      </w:r>
      <w:r w:rsidR="002017A4" w:rsidRPr="00C03373">
        <w:t xml:space="preserve">presents the number of male and female TWES participants commencing every month up until 28 February 2021. The majority of TWES </w:t>
      </w:r>
      <w:r w:rsidR="00946309" w:rsidRPr="00C03373">
        <w:t xml:space="preserve">participants </w:t>
      </w:r>
      <w:r w:rsidR="002017A4" w:rsidRPr="00C03373">
        <w:t>were male (across remote and non-remote sites). The increase in women commencing TWES in May 2019 coincides with the firs</w:t>
      </w:r>
      <w:r w:rsidR="00946309" w:rsidRPr="00C03373">
        <w:t xml:space="preserve">t participants commencing </w:t>
      </w:r>
      <w:r w:rsidR="002017A4" w:rsidRPr="00C03373">
        <w:t>in the QLD prisons of Townsville Correctional Complex and Southern Queensland Correctional Centre.</w:t>
      </w:r>
    </w:p>
    <w:p w14:paraId="1C9EE787" w14:textId="38C5846C" w:rsidR="002017A4" w:rsidRPr="00C4445B" w:rsidRDefault="002017A4" w:rsidP="00305B4B">
      <w:pPr>
        <w:pStyle w:val="Caption"/>
        <w:ind w:right="3"/>
      </w:pPr>
      <w:bookmarkStart w:id="71" w:name="_Ref71654126"/>
      <w:r w:rsidRPr="00C4445B">
        <w:t xml:space="preserve">Figure </w:t>
      </w:r>
      <w:r>
        <w:fldChar w:fldCharType="begin"/>
      </w:r>
      <w:r>
        <w:instrText xml:space="preserve"> SEQ Figure \* ARABIC </w:instrText>
      </w:r>
      <w:r>
        <w:fldChar w:fldCharType="separate"/>
      </w:r>
      <w:r w:rsidR="00AE0EDD">
        <w:rPr>
          <w:noProof/>
        </w:rPr>
        <w:t>8</w:t>
      </w:r>
      <w:r>
        <w:fldChar w:fldCharType="end"/>
      </w:r>
      <w:bookmarkEnd w:id="71"/>
      <w:r w:rsidRPr="00C4445B">
        <w:t xml:space="preserve">: TWES </w:t>
      </w:r>
      <w:r w:rsidR="00DB7649">
        <w:t>participant</w:t>
      </w:r>
      <w:r w:rsidR="00946309">
        <w:t xml:space="preserve">s commencing </w:t>
      </w:r>
      <w:r w:rsidRPr="00C4445B">
        <w:t>over time (Male and Female)</w:t>
      </w:r>
    </w:p>
    <w:p w14:paraId="1724F83E" w14:textId="77777777" w:rsidR="002017A4" w:rsidRDefault="002017A4" w:rsidP="00305B4B">
      <w:pPr>
        <w:pStyle w:val="BodyText"/>
        <w:ind w:right="3"/>
      </w:pPr>
      <w:r>
        <w:rPr>
          <w:noProof/>
        </w:rPr>
        <w:drawing>
          <wp:inline distT="0" distB="0" distL="0" distR="0" wp14:anchorId="65618DCF" wp14:editId="02C19A40">
            <wp:extent cx="6267448" cy="2637155"/>
            <wp:effectExtent l="0" t="0" r="0" b="0"/>
            <wp:docPr id="11" name="Picture 11" descr="A bar chat showing the number of male and female TWES participants commencing every month until February 2021 where the majority of participants were 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r chat showing the number of male and female TWES participants commencing every month until February 2021 where the majority of participants were male. "/>
                    <pic:cNvPicPr/>
                  </pic:nvPicPr>
                  <pic:blipFill>
                    <a:blip r:embed="rId25">
                      <a:extLst>
                        <a:ext uri="{28A0092B-C50C-407E-A947-70E740481C1C}">
                          <a14:useLocalDpi xmlns:a14="http://schemas.microsoft.com/office/drawing/2010/main" val="0"/>
                        </a:ext>
                      </a:extLst>
                    </a:blip>
                    <a:stretch>
                      <a:fillRect/>
                    </a:stretch>
                  </pic:blipFill>
                  <pic:spPr>
                    <a:xfrm>
                      <a:off x="0" y="0"/>
                      <a:ext cx="6267448" cy="2637155"/>
                    </a:xfrm>
                    <a:prstGeom prst="rect">
                      <a:avLst/>
                    </a:prstGeom>
                  </pic:spPr>
                </pic:pic>
              </a:graphicData>
            </a:graphic>
          </wp:inline>
        </w:drawing>
      </w:r>
    </w:p>
    <w:p w14:paraId="00541FF8" w14:textId="5EFC9A5D" w:rsidR="00272D05" w:rsidRDefault="00272D05" w:rsidP="00305B4B">
      <w:pPr>
        <w:widowControl/>
        <w:autoSpaceDE/>
        <w:autoSpaceDN/>
        <w:adjustRightInd/>
        <w:ind w:right="3"/>
        <w:rPr>
          <w:rFonts w:ascii="Arial" w:hAnsi="Arial" w:cs="Arial"/>
          <w:i/>
          <w:sz w:val="19"/>
          <w:szCs w:val="20"/>
        </w:rPr>
      </w:pPr>
      <w:r>
        <w:rPr>
          <w:i/>
          <w:sz w:val="19"/>
        </w:rPr>
        <w:br w:type="page"/>
      </w:r>
    </w:p>
    <w:p w14:paraId="61A762F4" w14:textId="4270528E" w:rsidR="002017A4" w:rsidRPr="00C03373" w:rsidRDefault="002017A4" w:rsidP="00305B4B">
      <w:pPr>
        <w:pStyle w:val="BodyText"/>
        <w:ind w:right="3"/>
      </w:pPr>
      <w:r w:rsidRPr="00C03373">
        <w:lastRenderedPageBreak/>
        <w:t xml:space="preserve">Most TWES participants are in urban and regional </w:t>
      </w:r>
      <w:r w:rsidR="005F5212" w:rsidRPr="00C03373">
        <w:t>a</w:t>
      </w:r>
      <w:r w:rsidRPr="00C03373">
        <w:t>reas of QLD, NSW and WA. A wide range of age groups participate in TWES, with ~43% under 29 years old (</w:t>
      </w:r>
      <w:r w:rsidRPr="00C03373">
        <w:rPr>
          <w:b/>
          <w:bCs/>
        </w:rPr>
        <w:fldChar w:fldCharType="begin"/>
      </w:r>
      <w:r w:rsidRPr="00C03373">
        <w:rPr>
          <w:b/>
          <w:bCs/>
        </w:rPr>
        <w:instrText xml:space="preserve"> REF _Ref71654214 \h  \* MERGEFORMAT </w:instrText>
      </w:r>
      <w:r w:rsidRPr="00C03373">
        <w:rPr>
          <w:b/>
          <w:bCs/>
        </w:rPr>
      </w:r>
      <w:r w:rsidRPr="00C03373">
        <w:rPr>
          <w:b/>
          <w:bCs/>
        </w:rPr>
        <w:fldChar w:fldCharType="separate"/>
      </w:r>
      <w:r w:rsidR="00E93A98" w:rsidRPr="00C03373">
        <w:rPr>
          <w:b/>
          <w:bCs/>
        </w:rPr>
        <w:t>Figure 9</w:t>
      </w:r>
      <w:r w:rsidRPr="00C03373">
        <w:rPr>
          <w:b/>
          <w:bCs/>
        </w:rPr>
        <w:fldChar w:fldCharType="end"/>
      </w:r>
      <w:r w:rsidRPr="00C03373">
        <w:t xml:space="preserve">). </w:t>
      </w:r>
    </w:p>
    <w:p w14:paraId="6D8C0FF1" w14:textId="75E054AD" w:rsidR="002017A4" w:rsidRPr="00C03373" w:rsidRDefault="002017A4" w:rsidP="00305B4B">
      <w:pPr>
        <w:pStyle w:val="Caption"/>
        <w:ind w:right="3"/>
      </w:pPr>
      <w:bookmarkStart w:id="72" w:name="_Ref71654214"/>
      <w:r w:rsidRPr="00C03373">
        <w:t xml:space="preserve">Figure </w:t>
      </w:r>
      <w:r w:rsidRPr="00C03373">
        <w:fldChar w:fldCharType="begin"/>
      </w:r>
      <w:r w:rsidRPr="00C03373">
        <w:instrText xml:space="preserve"> SEQ Figure \* ARABIC </w:instrText>
      </w:r>
      <w:r w:rsidRPr="00C03373">
        <w:fldChar w:fldCharType="separate"/>
      </w:r>
      <w:r w:rsidR="00E93A98" w:rsidRPr="00C03373">
        <w:t>9</w:t>
      </w:r>
      <w:r w:rsidRPr="00C03373">
        <w:fldChar w:fldCharType="end"/>
      </w:r>
      <w:bookmarkEnd w:id="72"/>
      <w:r w:rsidRPr="00C03373">
        <w:t>: Various demographics of TWES participants</w:t>
      </w:r>
    </w:p>
    <w:p w14:paraId="314C8092" w14:textId="77777777" w:rsidR="002017A4" w:rsidRDefault="002017A4" w:rsidP="00305B4B">
      <w:pPr>
        <w:pStyle w:val="BodyText"/>
        <w:ind w:right="3"/>
      </w:pPr>
      <w:r>
        <w:rPr>
          <w:noProof/>
        </w:rPr>
        <w:drawing>
          <wp:inline distT="0" distB="0" distL="0" distR="0" wp14:anchorId="4F50233A" wp14:editId="75641975">
            <wp:extent cx="5547869" cy="3835730"/>
            <wp:effectExtent l="0" t="0" r="0" b="0"/>
            <wp:docPr id="3" name="Picture 3" descr="Four pie charts showing the demographics of TWES participants where most were in non-remote areas of QLD, NSW and WA, and that 43% were under the age of 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our pie charts showing the demographics of TWES participants where most were in non-remote areas of QLD, NSW and WA, and that 43% were under the age of 29. "/>
                    <pic:cNvPicPr/>
                  </pic:nvPicPr>
                  <pic:blipFill>
                    <a:blip r:embed="rId26">
                      <a:extLst>
                        <a:ext uri="{28A0092B-C50C-407E-A947-70E740481C1C}">
                          <a14:useLocalDpi xmlns:a14="http://schemas.microsoft.com/office/drawing/2010/main" val="0"/>
                        </a:ext>
                      </a:extLst>
                    </a:blip>
                    <a:stretch>
                      <a:fillRect/>
                    </a:stretch>
                  </pic:blipFill>
                  <pic:spPr>
                    <a:xfrm>
                      <a:off x="0" y="0"/>
                      <a:ext cx="5559111" cy="3843503"/>
                    </a:xfrm>
                    <a:prstGeom prst="rect">
                      <a:avLst/>
                    </a:prstGeom>
                  </pic:spPr>
                </pic:pic>
              </a:graphicData>
            </a:graphic>
          </wp:inline>
        </w:drawing>
      </w:r>
    </w:p>
    <w:p w14:paraId="4FAA39F8" w14:textId="77777777" w:rsidR="00272D05" w:rsidRDefault="00272D05" w:rsidP="00305B4B">
      <w:pPr>
        <w:pStyle w:val="BodyText"/>
        <w:ind w:right="3"/>
      </w:pPr>
    </w:p>
    <w:p w14:paraId="2A70C801" w14:textId="4A2879ED" w:rsidR="005A4CA4" w:rsidRPr="00C03373" w:rsidRDefault="002017A4" w:rsidP="00305B4B">
      <w:pPr>
        <w:pStyle w:val="BodyText"/>
        <w:ind w:right="3"/>
      </w:pPr>
      <w:r w:rsidRPr="00C03373">
        <w:t xml:space="preserve">TWES </w:t>
      </w:r>
      <w:r w:rsidR="00C73AC7" w:rsidRPr="00C03373">
        <w:t>i</w:t>
      </w:r>
      <w:r w:rsidRPr="00C03373">
        <w:t>s a voluntary program</w:t>
      </w:r>
      <w:r w:rsidR="00C73AC7" w:rsidRPr="00C03373">
        <w:t xml:space="preserve">, and not all eligible prisoners choose to participate in the service. </w:t>
      </w:r>
      <w:r w:rsidR="00C73EF9" w:rsidRPr="00C03373">
        <w:t xml:space="preserve">The total </w:t>
      </w:r>
      <w:r w:rsidR="00FA02C5" w:rsidRPr="00C03373">
        <w:t xml:space="preserve">number of TWES participants commencing TWES up until 28 February 2021 was 4,502 (4,154 in non-remote prisons, and 348 in remote prisons). </w:t>
      </w:r>
      <w:r w:rsidR="006718D2" w:rsidRPr="00C03373">
        <w:t>The total number of eligible prisoners in prisons where TWES was operating in this period was 27,551, across non-remote and remote</w:t>
      </w:r>
      <w:r w:rsidR="00315FB2" w:rsidRPr="00C03373">
        <w:t xml:space="preserve"> (</w:t>
      </w:r>
      <w:r w:rsidR="00315FB2" w:rsidRPr="00C03373">
        <w:rPr>
          <w:b/>
          <w:bCs/>
        </w:rPr>
        <w:fldChar w:fldCharType="begin"/>
      </w:r>
      <w:r w:rsidR="00315FB2" w:rsidRPr="00C03373">
        <w:rPr>
          <w:b/>
          <w:bCs/>
        </w:rPr>
        <w:instrText xml:space="preserve"> REF _Ref71638131 \h </w:instrText>
      </w:r>
      <w:r w:rsidR="00EA1C68" w:rsidRPr="00C03373">
        <w:rPr>
          <w:b/>
          <w:bCs/>
        </w:rPr>
        <w:instrText xml:space="preserve"> \* MERGEFORMAT </w:instrText>
      </w:r>
      <w:r w:rsidR="00315FB2" w:rsidRPr="00C03373">
        <w:rPr>
          <w:b/>
          <w:bCs/>
        </w:rPr>
      </w:r>
      <w:r w:rsidR="00315FB2" w:rsidRPr="00C03373">
        <w:rPr>
          <w:b/>
          <w:bCs/>
        </w:rPr>
        <w:fldChar w:fldCharType="separate"/>
      </w:r>
      <w:r w:rsidR="00E93A98" w:rsidRPr="00C03373">
        <w:rPr>
          <w:b/>
          <w:bCs/>
        </w:rPr>
        <w:t>Table 3</w:t>
      </w:r>
      <w:r w:rsidR="00315FB2" w:rsidRPr="00C03373">
        <w:rPr>
          <w:b/>
          <w:bCs/>
        </w:rPr>
        <w:fldChar w:fldCharType="end"/>
      </w:r>
      <w:r w:rsidR="00315FB2" w:rsidRPr="00C03373">
        <w:t>)</w:t>
      </w:r>
      <w:r w:rsidR="00E03C78" w:rsidRPr="00C03373">
        <w:t xml:space="preserve">. </w:t>
      </w:r>
    </w:p>
    <w:p w14:paraId="291B8F2C" w14:textId="4D2E690D" w:rsidR="002D0B11" w:rsidRPr="00C03373" w:rsidRDefault="00954774" w:rsidP="00305B4B">
      <w:pPr>
        <w:pStyle w:val="BodyText"/>
        <w:ind w:right="3"/>
      </w:pPr>
      <w:r w:rsidRPr="00C03373">
        <w:t xml:space="preserve">Taking into account how the total number of eligible prisoners </w:t>
      </w:r>
      <w:r w:rsidR="000476B5" w:rsidRPr="00C03373">
        <w:t>is reported over time, t</w:t>
      </w:r>
      <w:r w:rsidR="00710362" w:rsidRPr="00C03373">
        <w:t>he estimated uptake rate achieved by TWES in prisons in non-remote areas is 22%.</w:t>
      </w:r>
      <w:r w:rsidR="00D60065" w:rsidRPr="00F014F2">
        <w:rPr>
          <w:rStyle w:val="FootnoteReference"/>
          <w:rFonts w:ascii="Arial" w:hAnsi="Arial" w:cs="Arial"/>
        </w:rPr>
        <w:footnoteReference w:id="16"/>
      </w:r>
      <w:r w:rsidR="00A36255" w:rsidRPr="00C03373">
        <w:t xml:space="preserve"> </w:t>
      </w:r>
      <w:r w:rsidR="000476B5" w:rsidRPr="00C03373">
        <w:t>It was not possible to estimate uptake rates achieved in remote areas as prison-level data on the number of eligible prisoners was not provided to the Evaluation Team</w:t>
      </w:r>
      <w:r w:rsidR="007755BC" w:rsidRPr="00C03373">
        <w:t>.</w:t>
      </w:r>
      <w:r w:rsidR="000476B5" w:rsidRPr="00C03373">
        <w:t xml:space="preserve"> </w:t>
      </w:r>
      <w:r w:rsidR="000D7723" w:rsidRPr="00C03373">
        <w:t>As a consequence,</w:t>
      </w:r>
      <w:r w:rsidR="000476B5" w:rsidRPr="00C03373">
        <w:t xml:space="preserve"> t</w:t>
      </w:r>
      <w:r w:rsidR="00A36255" w:rsidRPr="00C03373">
        <w:t xml:space="preserve">his </w:t>
      </w:r>
      <w:r w:rsidR="00513AF9" w:rsidRPr="00C03373">
        <w:t>may underestimate actual uptake rates in non-remote areas due to limitations in the data.</w:t>
      </w:r>
      <w:r w:rsidR="00BA22A1" w:rsidRPr="00C03373">
        <w:rPr>
          <w:rStyle w:val="FootnoteReference"/>
          <w:rFonts w:ascii="Arial" w:hAnsi="Arial" w:cs="Arial"/>
        </w:rPr>
        <w:footnoteReference w:id="17"/>
      </w:r>
      <w:r w:rsidR="00CD71DE" w:rsidRPr="00C03373">
        <w:rPr>
          <w:vertAlign w:val="superscript"/>
        </w:rPr>
        <w:t xml:space="preserve"> </w:t>
      </w:r>
    </w:p>
    <w:p w14:paraId="45651FC2" w14:textId="37124842" w:rsidR="00D878F5" w:rsidRPr="00C03373" w:rsidRDefault="002D0B11" w:rsidP="00305B4B">
      <w:pPr>
        <w:pStyle w:val="BodyText"/>
        <w:ind w:right="3"/>
      </w:pPr>
      <w:r w:rsidRPr="00C03373">
        <w:t xml:space="preserve">Nevertheless, this uptake rate appears to fall short of original program expectations: the original TWES Request for Tender document states that the Upfront Payment to TWES </w:t>
      </w:r>
      <w:r w:rsidR="00BC1946" w:rsidRPr="00C03373">
        <w:t xml:space="preserve">providers </w:t>
      </w:r>
      <w:r w:rsidRPr="00C03373">
        <w:t>is based on the expectation that 50% of eligible prisoners would participate in the service.</w:t>
      </w:r>
      <w:r w:rsidRPr="00C03373">
        <w:rPr>
          <w:rStyle w:val="FootnoteReference"/>
          <w:rFonts w:ascii="Arial" w:hAnsi="Arial" w:cs="Arial"/>
        </w:rPr>
        <w:footnoteReference w:id="18"/>
      </w:r>
      <w:r w:rsidR="0098564C" w:rsidRPr="00C03373">
        <w:t xml:space="preserve"> While this benchmark may have been used </w:t>
      </w:r>
      <w:r w:rsidR="003815A5" w:rsidRPr="00C03373">
        <w:t xml:space="preserve">for the purposes of estimating payment levels, it is indicative of expected uptake of the voluntary service among eligible prisoners. </w:t>
      </w:r>
    </w:p>
    <w:p w14:paraId="4F66FA06" w14:textId="5AB49020" w:rsidR="002017A4" w:rsidRPr="00611BC4" w:rsidRDefault="002017A4" w:rsidP="00D94610">
      <w:pPr>
        <w:pStyle w:val="Caption"/>
      </w:pPr>
      <w:bookmarkStart w:id="73" w:name="_Ref71638131"/>
      <w:r w:rsidRPr="00611BC4">
        <w:lastRenderedPageBreak/>
        <w:t xml:space="preserve">Table </w:t>
      </w:r>
      <w:r w:rsidRPr="00611BC4">
        <w:fldChar w:fldCharType="begin"/>
      </w:r>
      <w:r w:rsidRPr="00611BC4">
        <w:instrText xml:space="preserve"> SEQ Table \* ARABIC </w:instrText>
      </w:r>
      <w:r w:rsidRPr="00611BC4">
        <w:fldChar w:fldCharType="separate"/>
      </w:r>
      <w:r w:rsidR="00E93A98">
        <w:rPr>
          <w:noProof/>
        </w:rPr>
        <w:t>3</w:t>
      </w:r>
      <w:r w:rsidRPr="00611BC4">
        <w:fldChar w:fldCharType="end"/>
      </w:r>
      <w:bookmarkEnd w:id="73"/>
      <w:r w:rsidRPr="00611BC4">
        <w:t xml:space="preserve">: TWES </w:t>
      </w:r>
      <w:r w:rsidR="009B41F8">
        <w:t>participants</w:t>
      </w:r>
      <w:r w:rsidRPr="00611BC4">
        <w:t xml:space="preserve"> and eligible prisoners </w:t>
      </w:r>
      <w:r w:rsidR="004516CC">
        <w:t>(non-remote and remote areas)</w:t>
      </w:r>
    </w:p>
    <w:tbl>
      <w:tblPr>
        <w:tblW w:w="9498" w:type="dxa"/>
        <w:tblInd w:w="-10" w:type="dxa"/>
        <w:tblLayout w:type="fixed"/>
        <w:tblCellMar>
          <w:left w:w="0" w:type="dxa"/>
          <w:right w:w="0" w:type="dxa"/>
        </w:tblCellMar>
        <w:tblLook w:val="0000" w:firstRow="0" w:lastRow="0" w:firstColumn="0" w:lastColumn="0" w:noHBand="0" w:noVBand="0"/>
        <w:tblCaption w:val="TWES participants and eligible prisoners (non-remote and remote areas)"/>
        <w:tblDescription w:val="A table of the number of eligible prisoners where the total number of eligible prisoners was 27,551 and the total number of TWES participants was 4,502. "/>
      </w:tblPr>
      <w:tblGrid>
        <w:gridCol w:w="1417"/>
        <w:gridCol w:w="1702"/>
        <w:gridCol w:w="1417"/>
        <w:gridCol w:w="2268"/>
        <w:gridCol w:w="2694"/>
      </w:tblGrid>
      <w:tr w:rsidR="0004754F" w:rsidRPr="000C6878" w14:paraId="530D7CA9" w14:textId="77777777" w:rsidTr="00D94610">
        <w:tc>
          <w:tcPr>
            <w:tcW w:w="1417" w:type="dxa"/>
            <w:tcBorders>
              <w:top w:val="single" w:sz="14" w:space="0" w:color="D9D9D9"/>
              <w:left w:val="single" w:sz="8" w:space="0" w:color="D9D9D9"/>
              <w:bottom w:val="single" w:sz="8" w:space="0" w:color="D9D9D9"/>
              <w:right w:val="single" w:sz="8" w:space="0" w:color="D9D9D9"/>
            </w:tcBorders>
            <w:shd w:val="clear" w:color="auto" w:fill="002C61"/>
            <w:tcMar>
              <w:top w:w="85" w:type="dxa"/>
              <w:left w:w="85" w:type="dxa"/>
              <w:bottom w:w="85" w:type="dxa"/>
              <w:right w:w="85" w:type="dxa"/>
            </w:tcMar>
          </w:tcPr>
          <w:p w14:paraId="3C929039" w14:textId="31857729" w:rsidR="0004754F" w:rsidRPr="000C6878" w:rsidRDefault="0004754F" w:rsidP="0073639F">
            <w:pPr>
              <w:pStyle w:val="TableHeading"/>
            </w:pPr>
            <w:r w:rsidRPr="000C6878">
              <w:t>Jurisdiction</w:t>
            </w:r>
          </w:p>
        </w:tc>
        <w:tc>
          <w:tcPr>
            <w:tcW w:w="1702" w:type="dxa"/>
            <w:tcBorders>
              <w:top w:val="single" w:sz="14" w:space="0" w:color="D9D9D9"/>
              <w:left w:val="single" w:sz="8" w:space="0" w:color="D9D9D9"/>
              <w:bottom w:val="single" w:sz="8" w:space="0" w:color="D9D9D9"/>
              <w:right w:val="single" w:sz="8" w:space="0" w:color="D9D9D9"/>
            </w:tcBorders>
            <w:shd w:val="clear" w:color="auto" w:fill="002C61"/>
            <w:tcMar>
              <w:top w:w="85" w:type="dxa"/>
              <w:left w:w="85" w:type="dxa"/>
              <w:bottom w:w="85" w:type="dxa"/>
              <w:right w:w="85" w:type="dxa"/>
            </w:tcMar>
          </w:tcPr>
          <w:p w14:paraId="5DB39E97" w14:textId="7AF33497" w:rsidR="0004754F" w:rsidRPr="000C6878" w:rsidRDefault="0004754F" w:rsidP="0073639F">
            <w:pPr>
              <w:pStyle w:val="TableHeading"/>
            </w:pPr>
            <w:r w:rsidRPr="000C6878">
              <w:t xml:space="preserve"># of </w:t>
            </w:r>
            <w:r w:rsidR="00467A51">
              <w:t>provider</w:t>
            </w:r>
            <w:r w:rsidRPr="000C6878">
              <w:t>s</w:t>
            </w:r>
          </w:p>
        </w:tc>
        <w:tc>
          <w:tcPr>
            <w:tcW w:w="1417" w:type="dxa"/>
            <w:tcBorders>
              <w:top w:val="single" w:sz="14" w:space="0" w:color="D9D9D9"/>
              <w:left w:val="single" w:sz="8" w:space="0" w:color="D9D9D9"/>
              <w:bottom w:val="single" w:sz="8" w:space="0" w:color="D9D9D9"/>
              <w:right w:val="single" w:sz="8" w:space="0" w:color="D9D9D9"/>
            </w:tcBorders>
            <w:shd w:val="clear" w:color="auto" w:fill="002C61"/>
            <w:tcMar>
              <w:top w:w="85" w:type="dxa"/>
              <w:left w:w="85" w:type="dxa"/>
              <w:bottom w:w="85" w:type="dxa"/>
              <w:right w:w="85" w:type="dxa"/>
            </w:tcMar>
          </w:tcPr>
          <w:p w14:paraId="4ED7F66C" w14:textId="0880F024" w:rsidR="0004754F" w:rsidRPr="000C6878" w:rsidRDefault="0004754F" w:rsidP="0073639F">
            <w:pPr>
              <w:pStyle w:val="TableHeading"/>
            </w:pPr>
            <w:r w:rsidRPr="000C6878">
              <w:t xml:space="preserve"># of </w:t>
            </w:r>
            <w:r w:rsidR="00453413">
              <w:t>p</w:t>
            </w:r>
            <w:r w:rsidRPr="000C6878">
              <w:t>risons</w:t>
            </w:r>
          </w:p>
        </w:tc>
        <w:tc>
          <w:tcPr>
            <w:tcW w:w="2268" w:type="dxa"/>
            <w:tcBorders>
              <w:top w:val="single" w:sz="14" w:space="0" w:color="D9D9D9"/>
              <w:left w:val="single" w:sz="8" w:space="0" w:color="D9D9D9"/>
              <w:bottom w:val="single" w:sz="8" w:space="0" w:color="D9D9D9"/>
              <w:right w:val="single" w:sz="8" w:space="0" w:color="D9D9D9"/>
            </w:tcBorders>
            <w:shd w:val="clear" w:color="auto" w:fill="002C61"/>
            <w:tcMar>
              <w:top w:w="85" w:type="dxa"/>
              <w:left w:w="85" w:type="dxa"/>
              <w:bottom w:w="85" w:type="dxa"/>
              <w:right w:w="85" w:type="dxa"/>
            </w:tcMar>
          </w:tcPr>
          <w:p w14:paraId="0F01F5FE" w14:textId="77777777" w:rsidR="00322623" w:rsidRDefault="0004754F" w:rsidP="0073639F">
            <w:pPr>
              <w:pStyle w:val="TableHeading"/>
            </w:pPr>
            <w:r w:rsidRPr="000C6878">
              <w:t>Total # of eligible prisoners</w:t>
            </w:r>
          </w:p>
          <w:p w14:paraId="28C956ED" w14:textId="16CB4425" w:rsidR="0004754F" w:rsidRPr="00322623" w:rsidRDefault="00322623" w:rsidP="007F09E7">
            <w:pPr>
              <w:pStyle w:val="TableParagraph"/>
            </w:pPr>
            <w:r w:rsidRPr="00322623">
              <w:t>(data up to 30/06/21)</w:t>
            </w:r>
          </w:p>
        </w:tc>
        <w:tc>
          <w:tcPr>
            <w:tcW w:w="2694" w:type="dxa"/>
            <w:tcBorders>
              <w:top w:val="single" w:sz="14" w:space="0" w:color="D9D9D9"/>
              <w:left w:val="single" w:sz="8" w:space="0" w:color="D9D9D9"/>
              <w:bottom w:val="single" w:sz="8" w:space="0" w:color="D9D9D9"/>
              <w:right w:val="single" w:sz="8" w:space="0" w:color="D9D9D9"/>
            </w:tcBorders>
            <w:shd w:val="clear" w:color="auto" w:fill="002C61"/>
            <w:tcMar>
              <w:top w:w="85" w:type="dxa"/>
              <w:left w:w="85" w:type="dxa"/>
              <w:bottom w:w="85" w:type="dxa"/>
              <w:right w:w="85" w:type="dxa"/>
            </w:tcMar>
          </w:tcPr>
          <w:p w14:paraId="0C4FBBE8" w14:textId="0F66B31D" w:rsidR="0004754F" w:rsidRDefault="0004754F" w:rsidP="0073639F">
            <w:pPr>
              <w:pStyle w:val="TableHeading"/>
            </w:pPr>
            <w:r w:rsidRPr="000C6878">
              <w:t>Total # of participants commencing TWES</w:t>
            </w:r>
          </w:p>
          <w:p w14:paraId="7B6E5706" w14:textId="7608D40F" w:rsidR="00322623" w:rsidRPr="000C6878" w:rsidRDefault="00322623" w:rsidP="007F09E7">
            <w:pPr>
              <w:pStyle w:val="TableParagraph"/>
            </w:pPr>
            <w:r w:rsidRPr="00322623">
              <w:t>(data up to 28/02/21)</w:t>
            </w:r>
            <w:r w:rsidR="00404AA7">
              <w:t>**</w:t>
            </w:r>
          </w:p>
        </w:tc>
      </w:tr>
      <w:tr w:rsidR="0004754F" w:rsidRPr="000C6878" w14:paraId="47130116" w14:textId="77777777" w:rsidTr="00D94610">
        <w:trPr>
          <w:trHeight w:val="170"/>
        </w:trPr>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4774466C" w14:textId="32137951" w:rsidR="0004754F" w:rsidRPr="0073639F" w:rsidRDefault="0004754F" w:rsidP="007F09E7">
            <w:pPr>
              <w:pStyle w:val="TableParagraph"/>
            </w:pPr>
            <w:r w:rsidRPr="0073639F">
              <w:t>ACT</w:t>
            </w:r>
          </w:p>
        </w:tc>
        <w:tc>
          <w:tcPr>
            <w:tcW w:w="1702"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52BE6DB5" w14:textId="1CC04146" w:rsidR="0004754F" w:rsidRPr="0073639F" w:rsidRDefault="0004754F" w:rsidP="007F09E7">
            <w:pPr>
              <w:pStyle w:val="TableParagraph"/>
            </w:pPr>
            <w:r w:rsidRPr="0073639F">
              <w:t>1</w:t>
            </w:r>
          </w:p>
        </w:tc>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6E8395BD" w14:textId="653BF3FF" w:rsidR="0004754F" w:rsidRPr="0073639F" w:rsidRDefault="0004754F" w:rsidP="007F09E7">
            <w:pPr>
              <w:pStyle w:val="TableParagraph"/>
            </w:pPr>
            <w:r w:rsidRPr="0073639F">
              <w:t>1</w:t>
            </w:r>
          </w:p>
        </w:tc>
        <w:tc>
          <w:tcPr>
            <w:tcW w:w="2268"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49145D75" w14:textId="1D8A493A" w:rsidR="0004754F" w:rsidRPr="0073639F" w:rsidRDefault="0004754F" w:rsidP="007F09E7">
            <w:pPr>
              <w:pStyle w:val="TableParagraph"/>
            </w:pPr>
            <w:r w:rsidRPr="0073639F">
              <w:t>293</w:t>
            </w:r>
          </w:p>
        </w:tc>
        <w:tc>
          <w:tcPr>
            <w:tcW w:w="2694"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2D523DA0" w14:textId="6070C36F" w:rsidR="0004754F" w:rsidRPr="0073639F" w:rsidRDefault="0004754F" w:rsidP="007F09E7">
            <w:pPr>
              <w:pStyle w:val="TableParagraph"/>
            </w:pPr>
            <w:r w:rsidRPr="0073639F">
              <w:t>44</w:t>
            </w:r>
          </w:p>
        </w:tc>
      </w:tr>
      <w:tr w:rsidR="0004754F" w:rsidRPr="000C6878" w14:paraId="3BFEB4F0" w14:textId="77777777" w:rsidTr="00D94610">
        <w:trPr>
          <w:trHeight w:val="170"/>
        </w:trPr>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3F1D7A4A" w14:textId="4C4C5170" w:rsidR="0004754F" w:rsidRPr="0073639F" w:rsidRDefault="0004754F" w:rsidP="007F09E7">
            <w:pPr>
              <w:pStyle w:val="TableParagraph"/>
            </w:pPr>
            <w:r w:rsidRPr="0073639F">
              <w:t>NSW</w:t>
            </w:r>
          </w:p>
        </w:tc>
        <w:tc>
          <w:tcPr>
            <w:tcW w:w="1702"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68E945CB" w14:textId="0784786B" w:rsidR="0004754F" w:rsidRPr="0073639F" w:rsidRDefault="0004754F" w:rsidP="007F09E7">
            <w:pPr>
              <w:pStyle w:val="TableParagraph"/>
            </w:pPr>
            <w:r w:rsidRPr="0073639F">
              <w:t>4</w:t>
            </w:r>
          </w:p>
        </w:tc>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58275F93" w14:textId="76F52A81" w:rsidR="0004754F" w:rsidRPr="0073639F" w:rsidRDefault="0004754F" w:rsidP="007F09E7">
            <w:pPr>
              <w:pStyle w:val="TableParagraph"/>
            </w:pPr>
            <w:r w:rsidRPr="0073639F">
              <w:t>24</w:t>
            </w:r>
          </w:p>
        </w:tc>
        <w:tc>
          <w:tcPr>
            <w:tcW w:w="2268"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798A7AA4" w14:textId="7FE09BA3" w:rsidR="0004754F" w:rsidRPr="0073639F" w:rsidRDefault="0004754F" w:rsidP="007F09E7">
            <w:pPr>
              <w:pStyle w:val="TableParagraph"/>
            </w:pPr>
            <w:r w:rsidRPr="0073639F">
              <w:t>10,352</w:t>
            </w:r>
          </w:p>
        </w:tc>
        <w:tc>
          <w:tcPr>
            <w:tcW w:w="2694"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508FE987" w14:textId="66473432" w:rsidR="0004754F" w:rsidRPr="0073639F" w:rsidRDefault="0004754F" w:rsidP="007F09E7">
            <w:pPr>
              <w:pStyle w:val="TableParagraph"/>
            </w:pPr>
            <w:r w:rsidRPr="0073639F">
              <w:t>1,336</w:t>
            </w:r>
          </w:p>
        </w:tc>
      </w:tr>
      <w:tr w:rsidR="0004754F" w:rsidRPr="000C6878" w14:paraId="6DCE24FD" w14:textId="77777777" w:rsidTr="00D94610">
        <w:trPr>
          <w:trHeight w:val="170"/>
        </w:trPr>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35702D4F" w14:textId="277E2278" w:rsidR="0004754F" w:rsidRPr="0073639F" w:rsidRDefault="0004754F" w:rsidP="007F09E7">
            <w:pPr>
              <w:pStyle w:val="TableParagraph"/>
            </w:pPr>
            <w:r w:rsidRPr="0073639F">
              <w:t>NT</w:t>
            </w:r>
          </w:p>
        </w:tc>
        <w:tc>
          <w:tcPr>
            <w:tcW w:w="1702"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2B870C89" w14:textId="0557066D" w:rsidR="0004754F" w:rsidRPr="0073639F" w:rsidRDefault="0004754F" w:rsidP="007F09E7">
            <w:pPr>
              <w:pStyle w:val="TableParagraph"/>
            </w:pPr>
            <w:r w:rsidRPr="0073639F">
              <w:t>4</w:t>
            </w:r>
          </w:p>
        </w:tc>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76F8BFA1" w14:textId="2F3ABF7F" w:rsidR="0004754F" w:rsidRPr="0073639F" w:rsidRDefault="0004754F" w:rsidP="007F09E7">
            <w:pPr>
              <w:pStyle w:val="TableParagraph"/>
            </w:pPr>
            <w:r w:rsidRPr="0073639F">
              <w:t>4</w:t>
            </w:r>
          </w:p>
        </w:tc>
        <w:tc>
          <w:tcPr>
            <w:tcW w:w="2268"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3FDC77DA" w14:textId="25F9C060" w:rsidR="0004754F" w:rsidRPr="0073639F" w:rsidRDefault="0004754F" w:rsidP="007F09E7">
            <w:pPr>
              <w:pStyle w:val="TableParagraph"/>
            </w:pPr>
            <w:r w:rsidRPr="0073639F">
              <w:t>4,913</w:t>
            </w:r>
          </w:p>
        </w:tc>
        <w:tc>
          <w:tcPr>
            <w:tcW w:w="2694"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07EEC37C" w14:textId="6E437E66" w:rsidR="0004754F" w:rsidRPr="0073639F" w:rsidRDefault="0004754F" w:rsidP="007F09E7">
            <w:pPr>
              <w:pStyle w:val="TableParagraph"/>
            </w:pPr>
            <w:r w:rsidRPr="0073639F">
              <w:t>286</w:t>
            </w:r>
          </w:p>
        </w:tc>
      </w:tr>
      <w:tr w:rsidR="0004754F" w:rsidRPr="000C6878" w14:paraId="26BA9EFA" w14:textId="77777777" w:rsidTr="00D94610">
        <w:trPr>
          <w:trHeight w:val="170"/>
        </w:trPr>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186DFFEA" w14:textId="0CB65114" w:rsidR="0004754F" w:rsidRPr="0073639F" w:rsidRDefault="0004754F" w:rsidP="007F09E7">
            <w:pPr>
              <w:pStyle w:val="TableParagraph"/>
            </w:pPr>
            <w:r w:rsidRPr="0073639F">
              <w:t>QLD</w:t>
            </w:r>
          </w:p>
        </w:tc>
        <w:tc>
          <w:tcPr>
            <w:tcW w:w="1702"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4EFF6D2D" w14:textId="466CC284" w:rsidR="0004754F" w:rsidRPr="0073639F" w:rsidRDefault="0004754F" w:rsidP="007F09E7">
            <w:pPr>
              <w:pStyle w:val="TableParagraph"/>
            </w:pPr>
            <w:r w:rsidRPr="0073639F">
              <w:t>4</w:t>
            </w:r>
          </w:p>
        </w:tc>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380C47E4" w14:textId="242AD9AB" w:rsidR="0004754F" w:rsidRPr="0073639F" w:rsidRDefault="0004754F" w:rsidP="007F09E7">
            <w:pPr>
              <w:pStyle w:val="TableParagraph"/>
            </w:pPr>
            <w:r w:rsidRPr="0073639F">
              <w:t>13</w:t>
            </w:r>
          </w:p>
        </w:tc>
        <w:tc>
          <w:tcPr>
            <w:tcW w:w="2268"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4A2EC8EC" w14:textId="1999CBF8" w:rsidR="0004754F" w:rsidRPr="0073639F" w:rsidRDefault="0004754F" w:rsidP="007F09E7">
            <w:pPr>
              <w:pStyle w:val="TableParagraph"/>
            </w:pPr>
            <w:r w:rsidRPr="0073639F">
              <w:t>4,778</w:t>
            </w:r>
          </w:p>
        </w:tc>
        <w:tc>
          <w:tcPr>
            <w:tcW w:w="2694"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7FDEF06E" w14:textId="7E87A95E" w:rsidR="0004754F" w:rsidRPr="0073639F" w:rsidRDefault="0004754F" w:rsidP="007F09E7">
            <w:pPr>
              <w:pStyle w:val="TableParagraph"/>
            </w:pPr>
            <w:r w:rsidRPr="0073639F">
              <w:t>1,429</w:t>
            </w:r>
          </w:p>
        </w:tc>
      </w:tr>
      <w:tr w:rsidR="0004754F" w:rsidRPr="000C6878" w14:paraId="33E42012" w14:textId="77777777" w:rsidTr="00D94610">
        <w:trPr>
          <w:trHeight w:val="170"/>
        </w:trPr>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6071AFC4" w14:textId="12020C10" w:rsidR="0004754F" w:rsidRPr="0073639F" w:rsidRDefault="0004754F" w:rsidP="007F09E7">
            <w:pPr>
              <w:pStyle w:val="TableParagraph"/>
            </w:pPr>
            <w:r w:rsidRPr="0073639F">
              <w:t>SA</w:t>
            </w:r>
          </w:p>
        </w:tc>
        <w:tc>
          <w:tcPr>
            <w:tcW w:w="1702"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0470CEF8" w14:textId="46E41383" w:rsidR="0004754F" w:rsidRPr="0073639F" w:rsidRDefault="0004754F" w:rsidP="007F09E7">
            <w:pPr>
              <w:pStyle w:val="TableParagraph"/>
            </w:pPr>
            <w:r w:rsidRPr="0073639F">
              <w:t>3</w:t>
            </w:r>
          </w:p>
        </w:tc>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76C0AE9F" w14:textId="01C7164F" w:rsidR="0004754F" w:rsidRPr="0073639F" w:rsidRDefault="0004754F" w:rsidP="007F09E7">
            <w:pPr>
              <w:pStyle w:val="TableParagraph"/>
            </w:pPr>
            <w:r w:rsidRPr="0073639F">
              <w:t>6</w:t>
            </w:r>
          </w:p>
        </w:tc>
        <w:tc>
          <w:tcPr>
            <w:tcW w:w="2268"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58F8023F" w14:textId="5FB212EC" w:rsidR="0004754F" w:rsidRPr="0073639F" w:rsidRDefault="0004754F" w:rsidP="007F09E7">
            <w:pPr>
              <w:pStyle w:val="TableParagraph"/>
            </w:pPr>
            <w:r w:rsidRPr="0073639F">
              <w:t>1,387</w:t>
            </w:r>
          </w:p>
        </w:tc>
        <w:tc>
          <w:tcPr>
            <w:tcW w:w="2694"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3D7B07B9" w14:textId="2B865A9A" w:rsidR="0004754F" w:rsidRPr="0073639F" w:rsidRDefault="0004754F" w:rsidP="007F09E7">
            <w:pPr>
              <w:pStyle w:val="TableParagraph"/>
            </w:pPr>
            <w:r w:rsidRPr="0073639F">
              <w:t>120</w:t>
            </w:r>
          </w:p>
        </w:tc>
      </w:tr>
      <w:tr w:rsidR="0004754F" w:rsidRPr="000C6878" w14:paraId="3CEFFB97" w14:textId="77777777" w:rsidTr="00D94610">
        <w:trPr>
          <w:trHeight w:val="170"/>
        </w:trPr>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51AF208A" w14:textId="4DE1E460" w:rsidR="0004754F" w:rsidRPr="0073639F" w:rsidRDefault="0004754F" w:rsidP="007F09E7">
            <w:pPr>
              <w:pStyle w:val="TableParagraph"/>
            </w:pPr>
            <w:r w:rsidRPr="0073639F">
              <w:t>TAS</w:t>
            </w:r>
          </w:p>
        </w:tc>
        <w:tc>
          <w:tcPr>
            <w:tcW w:w="1702"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46802B58" w14:textId="05C1F85F" w:rsidR="0004754F" w:rsidRPr="0073639F" w:rsidRDefault="0004754F" w:rsidP="007F09E7">
            <w:pPr>
              <w:pStyle w:val="TableParagraph"/>
            </w:pPr>
            <w:r w:rsidRPr="0073639F">
              <w:t>1</w:t>
            </w:r>
          </w:p>
        </w:tc>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3E0BA74F" w14:textId="3796A707" w:rsidR="0004754F" w:rsidRPr="0073639F" w:rsidRDefault="0004754F" w:rsidP="007F09E7">
            <w:pPr>
              <w:pStyle w:val="TableParagraph"/>
            </w:pPr>
            <w:r w:rsidRPr="0073639F">
              <w:t>1</w:t>
            </w:r>
          </w:p>
        </w:tc>
        <w:tc>
          <w:tcPr>
            <w:tcW w:w="2268"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601E6175" w14:textId="759E3CC1" w:rsidR="0004754F" w:rsidRPr="0073639F" w:rsidRDefault="0004754F" w:rsidP="007F09E7">
            <w:pPr>
              <w:pStyle w:val="TableParagraph"/>
            </w:pPr>
            <w:r w:rsidRPr="0073639F">
              <w:t>409</w:t>
            </w:r>
          </w:p>
        </w:tc>
        <w:tc>
          <w:tcPr>
            <w:tcW w:w="2694"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088DA497" w14:textId="22018BE2" w:rsidR="0004754F" w:rsidRPr="0073639F" w:rsidRDefault="0004754F" w:rsidP="007F09E7">
            <w:pPr>
              <w:pStyle w:val="TableParagraph"/>
            </w:pPr>
            <w:r w:rsidRPr="0073639F">
              <w:t>13</w:t>
            </w:r>
          </w:p>
        </w:tc>
      </w:tr>
      <w:tr w:rsidR="0004754F" w:rsidRPr="000C6878" w14:paraId="0F76288B" w14:textId="77777777" w:rsidTr="00D94610">
        <w:trPr>
          <w:trHeight w:val="170"/>
        </w:trPr>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5D939550" w14:textId="70F5A919" w:rsidR="0004754F" w:rsidRPr="0073639F" w:rsidRDefault="0004754F" w:rsidP="007F09E7">
            <w:pPr>
              <w:pStyle w:val="TableParagraph"/>
            </w:pPr>
            <w:r w:rsidRPr="0073639F">
              <w:t>VIC</w:t>
            </w:r>
          </w:p>
        </w:tc>
        <w:tc>
          <w:tcPr>
            <w:tcW w:w="1702"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01D40684" w14:textId="10988894" w:rsidR="0004754F" w:rsidRPr="0073639F" w:rsidRDefault="0004754F" w:rsidP="007F09E7">
            <w:pPr>
              <w:pStyle w:val="TableParagraph"/>
            </w:pPr>
            <w:r w:rsidRPr="0073639F">
              <w:t>1</w:t>
            </w:r>
          </w:p>
        </w:tc>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3E0AB15F" w14:textId="432FA038" w:rsidR="0004754F" w:rsidRPr="0073639F" w:rsidRDefault="0004754F" w:rsidP="007F09E7">
            <w:pPr>
              <w:pStyle w:val="TableParagraph"/>
            </w:pPr>
            <w:r w:rsidRPr="0073639F">
              <w:t>13</w:t>
            </w:r>
          </w:p>
        </w:tc>
        <w:tc>
          <w:tcPr>
            <w:tcW w:w="2268"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3B4364ED" w14:textId="6030FD84" w:rsidR="0004754F" w:rsidRPr="0073639F" w:rsidRDefault="0004754F" w:rsidP="007F09E7">
            <w:pPr>
              <w:pStyle w:val="TableParagraph"/>
            </w:pPr>
            <w:r w:rsidRPr="0073639F">
              <w:t>1,956</w:t>
            </w:r>
          </w:p>
        </w:tc>
        <w:tc>
          <w:tcPr>
            <w:tcW w:w="2694"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2383B9A8" w14:textId="4375F08C" w:rsidR="0004754F" w:rsidRPr="0073639F" w:rsidRDefault="0004754F" w:rsidP="007F09E7">
            <w:pPr>
              <w:pStyle w:val="TableParagraph"/>
            </w:pPr>
            <w:r w:rsidRPr="0073639F">
              <w:t>179</w:t>
            </w:r>
          </w:p>
        </w:tc>
      </w:tr>
      <w:tr w:rsidR="0004754F" w:rsidRPr="000C6878" w14:paraId="02F8491F" w14:textId="77777777" w:rsidTr="00D94610">
        <w:trPr>
          <w:trHeight w:val="170"/>
        </w:trPr>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42FE0D0D" w14:textId="139990E3" w:rsidR="0004754F" w:rsidRPr="0073639F" w:rsidRDefault="0004754F" w:rsidP="007F09E7">
            <w:pPr>
              <w:pStyle w:val="TableParagraph"/>
            </w:pPr>
            <w:r w:rsidRPr="0073639F">
              <w:t>WA</w:t>
            </w:r>
          </w:p>
        </w:tc>
        <w:tc>
          <w:tcPr>
            <w:tcW w:w="1702"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27477A2D" w14:textId="1DA5952E" w:rsidR="0004754F" w:rsidRPr="0073639F" w:rsidRDefault="0004754F" w:rsidP="007F09E7">
            <w:pPr>
              <w:pStyle w:val="TableParagraph"/>
            </w:pPr>
            <w:r w:rsidRPr="0073639F">
              <w:t>7</w:t>
            </w:r>
          </w:p>
        </w:tc>
        <w:tc>
          <w:tcPr>
            <w:tcW w:w="1417"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7C26CAA3" w14:textId="0F5CE338" w:rsidR="0004754F" w:rsidRPr="0073639F" w:rsidRDefault="0004754F" w:rsidP="007F09E7">
            <w:pPr>
              <w:pStyle w:val="TableParagraph"/>
            </w:pPr>
            <w:r w:rsidRPr="0073639F">
              <w:t>16</w:t>
            </w:r>
          </w:p>
        </w:tc>
        <w:tc>
          <w:tcPr>
            <w:tcW w:w="2268"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7738DB8D" w14:textId="14155C58" w:rsidR="0004754F" w:rsidRPr="0073639F" w:rsidRDefault="0004754F" w:rsidP="007F09E7">
            <w:pPr>
              <w:pStyle w:val="TableParagraph"/>
            </w:pPr>
            <w:r w:rsidRPr="0073639F">
              <w:t>3,463</w:t>
            </w:r>
          </w:p>
        </w:tc>
        <w:tc>
          <w:tcPr>
            <w:tcW w:w="2694" w:type="dxa"/>
            <w:tcBorders>
              <w:top w:val="single" w:sz="8" w:space="0" w:color="D9D9D9"/>
              <w:left w:val="single" w:sz="8" w:space="0" w:color="D9D9D9"/>
              <w:bottom w:val="single" w:sz="8" w:space="0" w:color="D9D9D9"/>
              <w:right w:val="single" w:sz="8" w:space="0" w:color="D9D9D9"/>
            </w:tcBorders>
            <w:tcMar>
              <w:top w:w="85" w:type="dxa"/>
              <w:left w:w="85" w:type="dxa"/>
              <w:bottom w:w="85" w:type="dxa"/>
              <w:right w:w="85" w:type="dxa"/>
            </w:tcMar>
          </w:tcPr>
          <w:p w14:paraId="5B4BB8AA" w14:textId="78D19B1E" w:rsidR="0004754F" w:rsidRPr="0073639F" w:rsidRDefault="0004754F" w:rsidP="007F09E7">
            <w:pPr>
              <w:pStyle w:val="TableParagraph"/>
            </w:pPr>
            <w:r w:rsidRPr="0073639F">
              <w:t>1,095</w:t>
            </w:r>
          </w:p>
        </w:tc>
      </w:tr>
      <w:tr w:rsidR="0004754F" w:rsidRPr="000C6878" w14:paraId="4BD0184F" w14:textId="77777777" w:rsidTr="00D94610">
        <w:trPr>
          <w:trHeight w:val="170"/>
        </w:trPr>
        <w:tc>
          <w:tcPr>
            <w:tcW w:w="1417" w:type="dxa"/>
            <w:tcBorders>
              <w:top w:val="single" w:sz="8" w:space="0" w:color="D9D9D9"/>
              <w:left w:val="single" w:sz="8" w:space="0" w:color="D9D9D9"/>
              <w:bottom w:val="single" w:sz="8" w:space="0" w:color="D9D9D9"/>
              <w:right w:val="single" w:sz="8" w:space="0" w:color="D9D9D9"/>
            </w:tcBorders>
            <w:shd w:val="clear" w:color="auto" w:fill="002D62" w:themeFill="background2"/>
            <w:tcMar>
              <w:top w:w="85" w:type="dxa"/>
              <w:left w:w="85" w:type="dxa"/>
              <w:bottom w:w="85" w:type="dxa"/>
              <w:right w:w="85" w:type="dxa"/>
            </w:tcMar>
          </w:tcPr>
          <w:p w14:paraId="0A19EB4E" w14:textId="49675747" w:rsidR="0004754F" w:rsidRPr="0073639F" w:rsidRDefault="0004754F" w:rsidP="007F09E7">
            <w:pPr>
              <w:pStyle w:val="TableParagraph"/>
              <w:rPr>
                <w:color w:val="FFFFFF" w:themeColor="background1"/>
                <w:spacing w:val="-1"/>
              </w:rPr>
            </w:pPr>
            <w:r w:rsidRPr="0073639F">
              <w:t>Total</w:t>
            </w:r>
          </w:p>
        </w:tc>
        <w:tc>
          <w:tcPr>
            <w:tcW w:w="1702" w:type="dxa"/>
            <w:tcBorders>
              <w:top w:val="single" w:sz="8" w:space="0" w:color="D9D9D9"/>
              <w:left w:val="single" w:sz="8" w:space="0" w:color="D9D9D9"/>
              <w:bottom w:val="single" w:sz="8" w:space="0" w:color="D9D9D9"/>
              <w:right w:val="single" w:sz="8" w:space="0" w:color="D9D9D9"/>
            </w:tcBorders>
            <w:shd w:val="clear" w:color="auto" w:fill="002D62" w:themeFill="background2"/>
            <w:tcMar>
              <w:top w:w="85" w:type="dxa"/>
              <w:left w:w="85" w:type="dxa"/>
              <w:bottom w:w="85" w:type="dxa"/>
              <w:right w:w="85" w:type="dxa"/>
            </w:tcMar>
          </w:tcPr>
          <w:p w14:paraId="1F64B5EE" w14:textId="48C18C2F" w:rsidR="0004754F" w:rsidRPr="0073639F" w:rsidRDefault="0004754F" w:rsidP="007F09E7">
            <w:pPr>
              <w:pStyle w:val="TableParagraph"/>
              <w:rPr>
                <w:spacing w:val="-1"/>
              </w:rPr>
            </w:pPr>
            <w:r w:rsidRPr="0073639F">
              <w:t>25</w:t>
            </w:r>
          </w:p>
        </w:tc>
        <w:tc>
          <w:tcPr>
            <w:tcW w:w="1417" w:type="dxa"/>
            <w:tcBorders>
              <w:top w:val="single" w:sz="8" w:space="0" w:color="D9D9D9"/>
              <w:left w:val="single" w:sz="8" w:space="0" w:color="D9D9D9"/>
              <w:bottom w:val="single" w:sz="8" w:space="0" w:color="D9D9D9"/>
              <w:right w:val="single" w:sz="8" w:space="0" w:color="D9D9D9"/>
            </w:tcBorders>
            <w:shd w:val="clear" w:color="auto" w:fill="002D62" w:themeFill="background2"/>
            <w:tcMar>
              <w:top w:w="85" w:type="dxa"/>
              <w:left w:w="85" w:type="dxa"/>
              <w:bottom w:w="85" w:type="dxa"/>
              <w:right w:w="85" w:type="dxa"/>
            </w:tcMar>
          </w:tcPr>
          <w:p w14:paraId="75A42478" w14:textId="5C724FBD" w:rsidR="0004754F" w:rsidRPr="0073639F" w:rsidRDefault="0004754F" w:rsidP="007F09E7">
            <w:pPr>
              <w:pStyle w:val="TableParagraph"/>
              <w:rPr>
                <w:spacing w:val="-1"/>
              </w:rPr>
            </w:pPr>
            <w:r w:rsidRPr="0073639F">
              <w:t>78</w:t>
            </w:r>
          </w:p>
        </w:tc>
        <w:tc>
          <w:tcPr>
            <w:tcW w:w="2268" w:type="dxa"/>
            <w:tcBorders>
              <w:top w:val="single" w:sz="8" w:space="0" w:color="D9D9D9"/>
              <w:left w:val="single" w:sz="8" w:space="0" w:color="D9D9D9"/>
              <w:bottom w:val="single" w:sz="8" w:space="0" w:color="D9D9D9"/>
              <w:right w:val="single" w:sz="8" w:space="0" w:color="D9D9D9"/>
            </w:tcBorders>
            <w:shd w:val="clear" w:color="auto" w:fill="002D62" w:themeFill="background2"/>
            <w:tcMar>
              <w:top w:w="85" w:type="dxa"/>
              <w:left w:w="85" w:type="dxa"/>
              <w:bottom w:w="85" w:type="dxa"/>
              <w:right w:w="85" w:type="dxa"/>
            </w:tcMar>
          </w:tcPr>
          <w:p w14:paraId="35180951" w14:textId="05812BB2" w:rsidR="0004754F" w:rsidRPr="0073639F" w:rsidRDefault="0004754F" w:rsidP="007F09E7">
            <w:pPr>
              <w:pStyle w:val="TableParagraph"/>
              <w:rPr>
                <w:spacing w:val="-1"/>
              </w:rPr>
            </w:pPr>
            <w:r w:rsidRPr="0073639F">
              <w:t>27,551</w:t>
            </w:r>
          </w:p>
        </w:tc>
        <w:tc>
          <w:tcPr>
            <w:tcW w:w="2694" w:type="dxa"/>
            <w:tcBorders>
              <w:top w:val="single" w:sz="8" w:space="0" w:color="D9D9D9"/>
              <w:left w:val="single" w:sz="8" w:space="0" w:color="D9D9D9"/>
              <w:bottom w:val="single" w:sz="8" w:space="0" w:color="D9D9D9"/>
              <w:right w:val="single" w:sz="8" w:space="0" w:color="D9D9D9"/>
            </w:tcBorders>
            <w:shd w:val="clear" w:color="auto" w:fill="002D62" w:themeFill="background2"/>
            <w:tcMar>
              <w:top w:w="85" w:type="dxa"/>
              <w:left w:w="85" w:type="dxa"/>
              <w:bottom w:w="85" w:type="dxa"/>
              <w:right w:w="85" w:type="dxa"/>
            </w:tcMar>
          </w:tcPr>
          <w:p w14:paraId="762A3214" w14:textId="143D0017" w:rsidR="0004754F" w:rsidRPr="0073639F" w:rsidRDefault="0004754F" w:rsidP="007F09E7">
            <w:pPr>
              <w:pStyle w:val="TableParagraph"/>
              <w:rPr>
                <w:spacing w:val="-1"/>
              </w:rPr>
            </w:pPr>
            <w:r w:rsidRPr="0073639F">
              <w:t>4,502</w:t>
            </w:r>
          </w:p>
        </w:tc>
      </w:tr>
      <w:tr w:rsidR="0004754F" w:rsidRPr="000C6878" w14:paraId="15CE01B1" w14:textId="77777777" w:rsidTr="00D94610">
        <w:trPr>
          <w:trHeight w:val="170"/>
        </w:trPr>
        <w:tc>
          <w:tcPr>
            <w:tcW w:w="1417" w:type="dxa"/>
            <w:tcBorders>
              <w:top w:val="single" w:sz="8" w:space="0" w:color="D9D9D9"/>
              <w:left w:val="single" w:sz="8" w:space="0" w:color="D9D9D9"/>
              <w:bottom w:val="single" w:sz="8" w:space="0" w:color="D9D9D9"/>
              <w:right w:val="single" w:sz="8" w:space="0" w:color="D9D9D9"/>
            </w:tcBorders>
            <w:shd w:val="clear" w:color="auto" w:fill="F1F1F1"/>
            <w:tcMar>
              <w:top w:w="85" w:type="dxa"/>
              <w:left w:w="85" w:type="dxa"/>
              <w:bottom w:w="85" w:type="dxa"/>
              <w:right w:w="85" w:type="dxa"/>
            </w:tcMar>
          </w:tcPr>
          <w:p w14:paraId="27C72918" w14:textId="03392F80" w:rsidR="0004754F" w:rsidRPr="000C6878" w:rsidRDefault="0004754F" w:rsidP="007F09E7">
            <w:pPr>
              <w:pStyle w:val="TableParagraph"/>
            </w:pPr>
            <w:r w:rsidRPr="000C6878">
              <w:t>Non-remote</w:t>
            </w:r>
          </w:p>
        </w:tc>
        <w:tc>
          <w:tcPr>
            <w:tcW w:w="1702" w:type="dxa"/>
            <w:tcBorders>
              <w:top w:val="single" w:sz="8" w:space="0" w:color="D9D9D9"/>
              <w:left w:val="single" w:sz="8" w:space="0" w:color="D9D9D9"/>
              <w:bottom w:val="single" w:sz="8" w:space="0" w:color="D9D9D9"/>
              <w:right w:val="single" w:sz="8" w:space="0" w:color="D9D9D9"/>
            </w:tcBorders>
            <w:shd w:val="clear" w:color="auto" w:fill="F1F1F1"/>
            <w:tcMar>
              <w:top w:w="85" w:type="dxa"/>
              <w:left w:w="85" w:type="dxa"/>
              <w:bottom w:w="85" w:type="dxa"/>
              <w:right w:w="85" w:type="dxa"/>
            </w:tcMar>
          </w:tcPr>
          <w:p w14:paraId="1E804E45" w14:textId="43DFFD5E" w:rsidR="0004754F" w:rsidRPr="000C6878" w:rsidRDefault="0004754F" w:rsidP="007F09E7">
            <w:pPr>
              <w:pStyle w:val="TableParagraph"/>
            </w:pPr>
            <w:r w:rsidRPr="000C6878">
              <w:t>13</w:t>
            </w:r>
          </w:p>
        </w:tc>
        <w:tc>
          <w:tcPr>
            <w:tcW w:w="1417" w:type="dxa"/>
            <w:tcBorders>
              <w:top w:val="single" w:sz="8" w:space="0" w:color="D9D9D9"/>
              <w:left w:val="single" w:sz="8" w:space="0" w:color="D9D9D9"/>
              <w:bottom w:val="single" w:sz="8" w:space="0" w:color="D9D9D9"/>
              <w:right w:val="single" w:sz="8" w:space="0" w:color="D9D9D9"/>
            </w:tcBorders>
            <w:shd w:val="clear" w:color="auto" w:fill="F1F1F1"/>
            <w:tcMar>
              <w:top w:w="85" w:type="dxa"/>
              <w:left w:w="85" w:type="dxa"/>
              <w:bottom w:w="85" w:type="dxa"/>
              <w:right w:w="85" w:type="dxa"/>
            </w:tcMar>
          </w:tcPr>
          <w:p w14:paraId="3B476AA8" w14:textId="178C4BC2" w:rsidR="0004754F" w:rsidRPr="000C6878" w:rsidRDefault="0004754F" w:rsidP="007F09E7">
            <w:pPr>
              <w:pStyle w:val="TableParagraph"/>
            </w:pPr>
            <w:r w:rsidRPr="000C6878">
              <w:t>70*</w:t>
            </w:r>
          </w:p>
        </w:tc>
        <w:tc>
          <w:tcPr>
            <w:tcW w:w="2268" w:type="dxa"/>
            <w:tcBorders>
              <w:top w:val="single" w:sz="8" w:space="0" w:color="D9D9D9"/>
              <w:left w:val="single" w:sz="8" w:space="0" w:color="D9D9D9"/>
              <w:bottom w:val="single" w:sz="8" w:space="0" w:color="D9D9D9"/>
              <w:right w:val="single" w:sz="8" w:space="0" w:color="D9D9D9"/>
            </w:tcBorders>
            <w:shd w:val="clear" w:color="auto" w:fill="F1F1F1"/>
            <w:tcMar>
              <w:top w:w="85" w:type="dxa"/>
              <w:left w:w="85" w:type="dxa"/>
              <w:bottom w:w="85" w:type="dxa"/>
              <w:right w:w="85" w:type="dxa"/>
            </w:tcMar>
          </w:tcPr>
          <w:p w14:paraId="3DD394B6" w14:textId="5FDCE1EB" w:rsidR="0004754F" w:rsidRPr="000C6878" w:rsidRDefault="0004754F" w:rsidP="007F09E7">
            <w:pPr>
              <w:pStyle w:val="TableParagraph"/>
            </w:pPr>
            <w:r w:rsidRPr="000C6878">
              <w:t>24,159</w:t>
            </w:r>
          </w:p>
        </w:tc>
        <w:tc>
          <w:tcPr>
            <w:tcW w:w="2694" w:type="dxa"/>
            <w:tcBorders>
              <w:top w:val="single" w:sz="8" w:space="0" w:color="D9D9D9"/>
              <w:left w:val="single" w:sz="8" w:space="0" w:color="D9D9D9"/>
              <w:bottom w:val="single" w:sz="8" w:space="0" w:color="D9D9D9"/>
              <w:right w:val="single" w:sz="8" w:space="0" w:color="D9D9D9"/>
            </w:tcBorders>
            <w:shd w:val="clear" w:color="auto" w:fill="F1F1F1"/>
            <w:tcMar>
              <w:top w:w="85" w:type="dxa"/>
              <w:left w:w="85" w:type="dxa"/>
              <w:bottom w:w="85" w:type="dxa"/>
              <w:right w:w="85" w:type="dxa"/>
            </w:tcMar>
          </w:tcPr>
          <w:p w14:paraId="78FCD03F" w14:textId="37D3E37E" w:rsidR="0004754F" w:rsidRPr="000C6878" w:rsidRDefault="0004754F" w:rsidP="007F09E7">
            <w:pPr>
              <w:pStyle w:val="TableParagraph"/>
            </w:pPr>
            <w:r w:rsidRPr="000C6878">
              <w:t>4,154</w:t>
            </w:r>
          </w:p>
        </w:tc>
      </w:tr>
      <w:tr w:rsidR="0004754F" w:rsidRPr="000C6878" w14:paraId="0A622439" w14:textId="77777777" w:rsidTr="00D94610">
        <w:trPr>
          <w:trHeight w:val="170"/>
        </w:trPr>
        <w:tc>
          <w:tcPr>
            <w:tcW w:w="1417" w:type="dxa"/>
            <w:tcBorders>
              <w:top w:val="single" w:sz="8" w:space="0" w:color="D9D9D9"/>
              <w:left w:val="single" w:sz="8" w:space="0" w:color="D9D9D9"/>
              <w:bottom w:val="single" w:sz="8" w:space="0" w:color="D9D9D9"/>
              <w:right w:val="single" w:sz="8" w:space="0" w:color="D9D9D9"/>
            </w:tcBorders>
            <w:shd w:val="clear" w:color="auto" w:fill="F1F1F1"/>
            <w:tcMar>
              <w:top w:w="85" w:type="dxa"/>
              <w:left w:w="85" w:type="dxa"/>
              <w:bottom w:w="85" w:type="dxa"/>
              <w:right w:w="85" w:type="dxa"/>
            </w:tcMar>
          </w:tcPr>
          <w:p w14:paraId="33D317A3" w14:textId="56CB3190" w:rsidR="0004754F" w:rsidRPr="000C6878" w:rsidRDefault="0004754F" w:rsidP="007F09E7">
            <w:pPr>
              <w:pStyle w:val="TableParagraph"/>
            </w:pPr>
            <w:r w:rsidRPr="000C6878">
              <w:t>Remote</w:t>
            </w:r>
          </w:p>
        </w:tc>
        <w:tc>
          <w:tcPr>
            <w:tcW w:w="1702" w:type="dxa"/>
            <w:tcBorders>
              <w:top w:val="single" w:sz="8" w:space="0" w:color="D9D9D9"/>
              <w:left w:val="single" w:sz="8" w:space="0" w:color="D9D9D9"/>
              <w:bottom w:val="single" w:sz="8" w:space="0" w:color="D9D9D9"/>
              <w:right w:val="single" w:sz="8" w:space="0" w:color="D9D9D9"/>
            </w:tcBorders>
            <w:shd w:val="clear" w:color="auto" w:fill="F1F1F1"/>
            <w:tcMar>
              <w:top w:w="85" w:type="dxa"/>
              <w:left w:w="85" w:type="dxa"/>
              <w:bottom w:w="85" w:type="dxa"/>
              <w:right w:w="85" w:type="dxa"/>
            </w:tcMar>
          </w:tcPr>
          <w:p w14:paraId="443E84D5" w14:textId="4C394484" w:rsidR="0004754F" w:rsidRPr="000C6878" w:rsidRDefault="0004754F" w:rsidP="007F09E7">
            <w:pPr>
              <w:pStyle w:val="TableParagraph"/>
            </w:pPr>
            <w:r w:rsidRPr="000C6878">
              <w:t>8</w:t>
            </w:r>
          </w:p>
        </w:tc>
        <w:tc>
          <w:tcPr>
            <w:tcW w:w="1417" w:type="dxa"/>
            <w:tcBorders>
              <w:top w:val="single" w:sz="8" w:space="0" w:color="D9D9D9"/>
              <w:left w:val="single" w:sz="8" w:space="0" w:color="D9D9D9"/>
              <w:bottom w:val="single" w:sz="8" w:space="0" w:color="D9D9D9"/>
              <w:right w:val="single" w:sz="8" w:space="0" w:color="D9D9D9"/>
            </w:tcBorders>
            <w:shd w:val="clear" w:color="auto" w:fill="F1F1F1"/>
            <w:tcMar>
              <w:top w:w="85" w:type="dxa"/>
              <w:left w:w="85" w:type="dxa"/>
              <w:bottom w:w="85" w:type="dxa"/>
              <w:right w:w="85" w:type="dxa"/>
            </w:tcMar>
          </w:tcPr>
          <w:p w14:paraId="2D7AB732" w14:textId="4C0668AC" w:rsidR="0004754F" w:rsidRPr="000C6878" w:rsidRDefault="0004754F" w:rsidP="007F09E7">
            <w:pPr>
              <w:pStyle w:val="TableParagraph"/>
            </w:pPr>
            <w:r w:rsidRPr="000C6878">
              <w:t>8</w:t>
            </w:r>
          </w:p>
        </w:tc>
        <w:tc>
          <w:tcPr>
            <w:tcW w:w="2268" w:type="dxa"/>
            <w:tcBorders>
              <w:top w:val="single" w:sz="8" w:space="0" w:color="D9D9D9"/>
              <w:left w:val="single" w:sz="8" w:space="0" w:color="D9D9D9"/>
              <w:bottom w:val="single" w:sz="8" w:space="0" w:color="D9D9D9"/>
              <w:right w:val="single" w:sz="8" w:space="0" w:color="D9D9D9"/>
            </w:tcBorders>
            <w:shd w:val="clear" w:color="auto" w:fill="F1F1F1"/>
            <w:tcMar>
              <w:top w:w="85" w:type="dxa"/>
              <w:left w:w="85" w:type="dxa"/>
              <w:bottom w:w="85" w:type="dxa"/>
              <w:right w:w="85" w:type="dxa"/>
            </w:tcMar>
          </w:tcPr>
          <w:p w14:paraId="57D2CE82" w14:textId="2CEA7DD4" w:rsidR="0004754F" w:rsidRPr="000C6878" w:rsidRDefault="0004754F" w:rsidP="007F09E7">
            <w:pPr>
              <w:pStyle w:val="TableParagraph"/>
            </w:pPr>
            <w:r w:rsidRPr="000C6878">
              <w:t>3,392</w:t>
            </w:r>
          </w:p>
        </w:tc>
        <w:tc>
          <w:tcPr>
            <w:tcW w:w="2694" w:type="dxa"/>
            <w:tcBorders>
              <w:top w:val="single" w:sz="8" w:space="0" w:color="D9D9D9"/>
              <w:left w:val="single" w:sz="8" w:space="0" w:color="D9D9D9"/>
              <w:bottom w:val="single" w:sz="8" w:space="0" w:color="D9D9D9"/>
              <w:right w:val="single" w:sz="8" w:space="0" w:color="D9D9D9"/>
            </w:tcBorders>
            <w:shd w:val="clear" w:color="auto" w:fill="F1F1F1"/>
            <w:tcMar>
              <w:top w:w="85" w:type="dxa"/>
              <w:left w:w="85" w:type="dxa"/>
              <w:bottom w:w="85" w:type="dxa"/>
              <w:right w:w="85" w:type="dxa"/>
            </w:tcMar>
          </w:tcPr>
          <w:p w14:paraId="4D4926CB" w14:textId="3AEA04B5" w:rsidR="0004754F" w:rsidRPr="000C6878" w:rsidRDefault="0004754F" w:rsidP="007F09E7">
            <w:pPr>
              <w:pStyle w:val="TableParagraph"/>
            </w:pPr>
            <w:r w:rsidRPr="000C6878">
              <w:t>348</w:t>
            </w:r>
          </w:p>
        </w:tc>
      </w:tr>
      <w:tr w:rsidR="0004754F" w:rsidRPr="000C6878" w14:paraId="69493CB2" w14:textId="77777777" w:rsidTr="00D94610">
        <w:trPr>
          <w:trHeight w:val="170"/>
        </w:trPr>
        <w:tc>
          <w:tcPr>
            <w:tcW w:w="1417" w:type="dxa"/>
            <w:tcBorders>
              <w:top w:val="single" w:sz="8" w:space="0" w:color="D9D9D9"/>
              <w:left w:val="single" w:sz="8" w:space="0" w:color="D9D9D9"/>
              <w:bottom w:val="single" w:sz="8" w:space="0" w:color="D9D9D9"/>
              <w:right w:val="single" w:sz="8" w:space="0" w:color="D9D9D9"/>
            </w:tcBorders>
            <w:shd w:val="clear" w:color="auto" w:fill="002D62" w:themeFill="background2"/>
            <w:tcMar>
              <w:top w:w="85" w:type="dxa"/>
              <w:left w:w="85" w:type="dxa"/>
              <w:bottom w:w="85" w:type="dxa"/>
              <w:right w:w="85" w:type="dxa"/>
            </w:tcMar>
          </w:tcPr>
          <w:p w14:paraId="54053014" w14:textId="77777777" w:rsidR="0004754F" w:rsidRPr="0073639F" w:rsidRDefault="0004754F" w:rsidP="007F09E7">
            <w:pPr>
              <w:pStyle w:val="TableParagraph"/>
              <w:rPr>
                <w:color w:val="FFFFFF" w:themeColor="background1"/>
                <w:spacing w:val="-1"/>
              </w:rPr>
            </w:pPr>
            <w:r w:rsidRPr="0073639F">
              <w:t>Total</w:t>
            </w:r>
          </w:p>
        </w:tc>
        <w:tc>
          <w:tcPr>
            <w:tcW w:w="1702" w:type="dxa"/>
            <w:tcBorders>
              <w:top w:val="single" w:sz="8" w:space="0" w:color="D9D9D9"/>
              <w:left w:val="single" w:sz="8" w:space="0" w:color="D9D9D9"/>
              <w:bottom w:val="single" w:sz="8" w:space="0" w:color="D9D9D9"/>
              <w:right w:val="single" w:sz="8" w:space="0" w:color="D9D9D9"/>
            </w:tcBorders>
            <w:shd w:val="clear" w:color="auto" w:fill="002D62" w:themeFill="background2"/>
            <w:tcMar>
              <w:top w:w="85" w:type="dxa"/>
              <w:left w:w="85" w:type="dxa"/>
              <w:bottom w:w="85" w:type="dxa"/>
              <w:right w:w="85" w:type="dxa"/>
            </w:tcMar>
          </w:tcPr>
          <w:p w14:paraId="6612516B" w14:textId="77777777" w:rsidR="0004754F" w:rsidRPr="0073639F" w:rsidRDefault="0004754F" w:rsidP="007F09E7">
            <w:pPr>
              <w:pStyle w:val="TableParagraph"/>
              <w:rPr>
                <w:spacing w:val="-1"/>
              </w:rPr>
            </w:pPr>
            <w:r w:rsidRPr="0073639F">
              <w:t>25</w:t>
            </w:r>
          </w:p>
        </w:tc>
        <w:tc>
          <w:tcPr>
            <w:tcW w:w="1417" w:type="dxa"/>
            <w:tcBorders>
              <w:top w:val="single" w:sz="8" w:space="0" w:color="D9D9D9"/>
              <w:left w:val="single" w:sz="8" w:space="0" w:color="D9D9D9"/>
              <w:bottom w:val="single" w:sz="8" w:space="0" w:color="D9D9D9"/>
              <w:right w:val="single" w:sz="8" w:space="0" w:color="D9D9D9"/>
            </w:tcBorders>
            <w:shd w:val="clear" w:color="auto" w:fill="002D62" w:themeFill="background2"/>
            <w:tcMar>
              <w:top w:w="85" w:type="dxa"/>
              <w:left w:w="85" w:type="dxa"/>
              <w:bottom w:w="85" w:type="dxa"/>
              <w:right w:w="85" w:type="dxa"/>
            </w:tcMar>
          </w:tcPr>
          <w:p w14:paraId="67CA7420" w14:textId="77777777" w:rsidR="0004754F" w:rsidRPr="0073639F" w:rsidRDefault="0004754F" w:rsidP="007F09E7">
            <w:pPr>
              <w:pStyle w:val="TableParagraph"/>
              <w:rPr>
                <w:spacing w:val="-1"/>
              </w:rPr>
            </w:pPr>
            <w:r w:rsidRPr="0073639F">
              <w:t>78</w:t>
            </w:r>
          </w:p>
        </w:tc>
        <w:tc>
          <w:tcPr>
            <w:tcW w:w="2268" w:type="dxa"/>
            <w:tcBorders>
              <w:top w:val="single" w:sz="8" w:space="0" w:color="D9D9D9"/>
              <w:left w:val="single" w:sz="8" w:space="0" w:color="D9D9D9"/>
              <w:bottom w:val="single" w:sz="8" w:space="0" w:color="D9D9D9"/>
              <w:right w:val="single" w:sz="8" w:space="0" w:color="D9D9D9"/>
            </w:tcBorders>
            <w:shd w:val="clear" w:color="auto" w:fill="002D62" w:themeFill="background2"/>
            <w:tcMar>
              <w:top w:w="85" w:type="dxa"/>
              <w:left w:w="85" w:type="dxa"/>
              <w:bottom w:w="85" w:type="dxa"/>
              <w:right w:w="85" w:type="dxa"/>
            </w:tcMar>
          </w:tcPr>
          <w:p w14:paraId="5CD5CBEF" w14:textId="77777777" w:rsidR="0004754F" w:rsidRPr="0073639F" w:rsidRDefault="0004754F" w:rsidP="007F09E7">
            <w:pPr>
              <w:pStyle w:val="TableParagraph"/>
              <w:rPr>
                <w:spacing w:val="-1"/>
              </w:rPr>
            </w:pPr>
            <w:r w:rsidRPr="0073639F">
              <w:t>27,551</w:t>
            </w:r>
          </w:p>
        </w:tc>
        <w:tc>
          <w:tcPr>
            <w:tcW w:w="2694" w:type="dxa"/>
            <w:tcBorders>
              <w:top w:val="single" w:sz="8" w:space="0" w:color="D9D9D9"/>
              <w:left w:val="single" w:sz="8" w:space="0" w:color="D9D9D9"/>
              <w:bottom w:val="single" w:sz="8" w:space="0" w:color="D9D9D9"/>
              <w:right w:val="single" w:sz="8" w:space="0" w:color="D9D9D9"/>
            </w:tcBorders>
            <w:shd w:val="clear" w:color="auto" w:fill="002D62" w:themeFill="background2"/>
            <w:tcMar>
              <w:top w:w="85" w:type="dxa"/>
              <w:left w:w="85" w:type="dxa"/>
              <w:bottom w:w="85" w:type="dxa"/>
              <w:right w:w="85" w:type="dxa"/>
            </w:tcMar>
          </w:tcPr>
          <w:p w14:paraId="10FD87A3" w14:textId="77777777" w:rsidR="0004754F" w:rsidRPr="0073639F" w:rsidRDefault="0004754F" w:rsidP="007F09E7">
            <w:pPr>
              <w:pStyle w:val="TableParagraph"/>
              <w:rPr>
                <w:spacing w:val="-1"/>
              </w:rPr>
            </w:pPr>
            <w:r w:rsidRPr="0073639F">
              <w:t>4,502</w:t>
            </w:r>
          </w:p>
        </w:tc>
      </w:tr>
    </w:tbl>
    <w:p w14:paraId="0EE6E1BA" w14:textId="6A2767FC" w:rsidR="00404AA7" w:rsidRPr="00404AA7" w:rsidRDefault="0004754F" w:rsidP="00305B4B">
      <w:pPr>
        <w:pStyle w:val="Caption"/>
        <w:ind w:right="3"/>
      </w:pPr>
      <w:r>
        <w:t>*</w:t>
      </w:r>
      <w:r w:rsidR="0081545F">
        <w:t xml:space="preserve"> Number of non-remote prisons includes those where TWES ceased activity in the evaluation period.</w:t>
      </w:r>
      <w:r w:rsidR="00404AA7">
        <w:br/>
        <w:t xml:space="preserve">** The </w:t>
      </w:r>
      <w:r w:rsidR="0006294A">
        <w:t xml:space="preserve">total number of participants excludes duplicates </w:t>
      </w:r>
    </w:p>
    <w:p w14:paraId="46A8CE48" w14:textId="55895571" w:rsidR="002017A4" w:rsidRPr="00C03373" w:rsidRDefault="0007081A" w:rsidP="00305B4B">
      <w:pPr>
        <w:pStyle w:val="BodyText"/>
        <w:ind w:right="3"/>
      </w:pPr>
      <w:r w:rsidRPr="00C03373">
        <w:t xml:space="preserve">Analysis of ESS data shows that 135 TWES </w:t>
      </w:r>
      <w:r w:rsidR="00A40B6F" w:rsidRPr="00C03373">
        <w:t xml:space="preserve">participants </w:t>
      </w:r>
      <w:r w:rsidR="002017A4" w:rsidRPr="00C03373">
        <w:t xml:space="preserve">engaged with the </w:t>
      </w:r>
      <w:r w:rsidR="001A6A6B" w:rsidRPr="00C03373">
        <w:t xml:space="preserve">service </w:t>
      </w:r>
      <w:r w:rsidR="002017A4" w:rsidRPr="00C03373">
        <w:t>multiple times.</w:t>
      </w:r>
      <w:r w:rsidR="001A6A6B" w:rsidRPr="00C03373">
        <w:rPr>
          <w:rStyle w:val="FootnoteReference"/>
          <w:rFonts w:ascii="Arial" w:hAnsi="Arial" w:cs="Arial"/>
          <w:vertAlign w:val="baseline"/>
        </w:rPr>
        <w:footnoteReference w:id="19"/>
      </w:r>
      <w:r w:rsidR="002017A4" w:rsidRPr="00C03373">
        <w:t xml:space="preserve"> This include</w:t>
      </w:r>
      <w:r w:rsidR="00D81AF9" w:rsidRPr="00C03373">
        <w:t>s</w:t>
      </w:r>
      <w:r w:rsidR="002017A4" w:rsidRPr="00C03373">
        <w:t xml:space="preserve"> where the participant:</w:t>
      </w:r>
    </w:p>
    <w:p w14:paraId="54FE8CE0" w14:textId="77777777" w:rsidR="002017A4" w:rsidRPr="001A6A6B" w:rsidRDefault="002017A4" w:rsidP="00305B4B">
      <w:pPr>
        <w:pStyle w:val="Bulletedlist"/>
        <w:ind w:right="3"/>
      </w:pPr>
      <w:r w:rsidRPr="001A6A6B">
        <w:t xml:space="preserve">was transferred to another prison before completing TWES, and recommenced in the program at the new prison; </w:t>
      </w:r>
    </w:p>
    <w:p w14:paraId="446F5CB8" w14:textId="28FBFDF8" w:rsidR="002017A4" w:rsidRPr="001A6A6B" w:rsidRDefault="002017A4" w:rsidP="00305B4B">
      <w:pPr>
        <w:pStyle w:val="Bulletedlist"/>
        <w:ind w:right="3"/>
      </w:pPr>
      <w:r w:rsidRPr="001A6A6B">
        <w:t xml:space="preserve">was no longer eligible for release and therefore exited TWES and recommenced at a later time; </w:t>
      </w:r>
      <w:r w:rsidR="00D81AF9">
        <w:t>or</w:t>
      </w:r>
    </w:p>
    <w:p w14:paraId="136BB48E" w14:textId="109FAB04" w:rsidR="007741A2" w:rsidRDefault="002017A4" w:rsidP="00305B4B">
      <w:pPr>
        <w:pStyle w:val="Bulletedlist"/>
        <w:ind w:right="3"/>
      </w:pPr>
      <w:r w:rsidRPr="001A6A6B">
        <w:t>was released from prison and then re-entered prison at a later time, and recommenced with TWES.</w:t>
      </w:r>
      <w:r w:rsidR="003F0D02">
        <w:br/>
      </w:r>
    </w:p>
    <w:p w14:paraId="25A0A681" w14:textId="280A95BD" w:rsidR="002017A4" w:rsidRPr="00C03373" w:rsidRDefault="003F0D02" w:rsidP="00305B4B">
      <w:pPr>
        <w:pStyle w:val="BodyText"/>
        <w:ind w:right="3"/>
      </w:pPr>
      <w:r w:rsidRPr="00C03373">
        <w:t xml:space="preserve">TWES </w:t>
      </w:r>
      <w:r w:rsidR="00B43C81" w:rsidRPr="00C03373">
        <w:t>participants represent a cross-section of the Aboriginal and Torres Strait Islander prisoner population</w:t>
      </w:r>
      <w:r w:rsidR="00373C55" w:rsidRPr="00C03373">
        <w:t xml:space="preserve">, however the </w:t>
      </w:r>
      <w:r w:rsidR="00F72680" w:rsidRPr="00C03373">
        <w:t xml:space="preserve">uptake rates achieved </w:t>
      </w:r>
      <w:r w:rsidR="00D878F5" w:rsidRPr="00C03373">
        <w:t>appear to have fallen short of original expectations</w:t>
      </w:r>
      <w:r w:rsidR="003815A5" w:rsidRPr="00C03373">
        <w:t xml:space="preserve"> that 50% or more of eligible prisoners would participate in the service.</w:t>
      </w:r>
    </w:p>
    <w:p w14:paraId="075C3062" w14:textId="52FD0197" w:rsidR="003638B4" w:rsidRPr="00C03373" w:rsidRDefault="00046E8E" w:rsidP="00305B4B">
      <w:pPr>
        <w:pStyle w:val="Heading3"/>
        <w:ind w:right="3"/>
      </w:pPr>
      <w:bookmarkStart w:id="74" w:name="bookmark3"/>
      <w:bookmarkEnd w:id="74"/>
      <w:r w:rsidRPr="00C03373">
        <w:t>How was TWES promoted and what methods were used?</w:t>
      </w:r>
    </w:p>
    <w:p w14:paraId="73CAFEFA" w14:textId="56DE53DC" w:rsidR="006B1509" w:rsidRPr="00D519D6" w:rsidRDefault="008F7C39" w:rsidP="00305B4B">
      <w:pPr>
        <w:pStyle w:val="BodyText"/>
        <w:ind w:right="3"/>
        <w:rPr>
          <w:b/>
          <w:bCs/>
        </w:rPr>
      </w:pPr>
      <w:r w:rsidRPr="00D519D6">
        <w:rPr>
          <w:b/>
          <w:bCs/>
        </w:rPr>
        <w:t xml:space="preserve">TWES </w:t>
      </w:r>
      <w:r w:rsidR="00467A51" w:rsidRPr="00D519D6">
        <w:rPr>
          <w:b/>
          <w:bCs/>
        </w:rPr>
        <w:t>provider</w:t>
      </w:r>
      <w:r w:rsidRPr="00D519D6">
        <w:rPr>
          <w:b/>
          <w:bCs/>
        </w:rPr>
        <w:t xml:space="preserve">s have used </w:t>
      </w:r>
      <w:r w:rsidR="00102DC1" w:rsidRPr="00D519D6">
        <w:rPr>
          <w:b/>
          <w:bCs/>
        </w:rPr>
        <w:t>a variety of methods to promote the service</w:t>
      </w:r>
      <w:r w:rsidR="00EF2F0F" w:rsidRPr="00D519D6">
        <w:rPr>
          <w:b/>
          <w:bCs/>
        </w:rPr>
        <w:t xml:space="preserve">. </w:t>
      </w:r>
      <w:r w:rsidR="005A0685" w:rsidRPr="00D519D6">
        <w:rPr>
          <w:b/>
          <w:bCs/>
        </w:rPr>
        <w:t xml:space="preserve">TWES </w:t>
      </w:r>
      <w:r w:rsidR="00467A51" w:rsidRPr="00D519D6">
        <w:rPr>
          <w:b/>
          <w:bCs/>
        </w:rPr>
        <w:t>provider</w:t>
      </w:r>
      <w:r w:rsidR="005A0685" w:rsidRPr="00D519D6">
        <w:rPr>
          <w:b/>
          <w:bCs/>
        </w:rPr>
        <w:t xml:space="preserve">s were </w:t>
      </w:r>
      <w:r w:rsidR="00AF4A3E" w:rsidRPr="00D519D6">
        <w:rPr>
          <w:b/>
          <w:bCs/>
        </w:rPr>
        <w:t xml:space="preserve">more able to effectively promote the service </w:t>
      </w:r>
      <w:r w:rsidR="00D64730" w:rsidRPr="00D519D6">
        <w:rPr>
          <w:b/>
          <w:bCs/>
        </w:rPr>
        <w:t>in</w:t>
      </w:r>
      <w:r w:rsidR="00D640D5" w:rsidRPr="00D519D6">
        <w:rPr>
          <w:b/>
          <w:bCs/>
        </w:rPr>
        <w:t xml:space="preserve"> prisons that had lower security levels</w:t>
      </w:r>
      <w:r w:rsidR="00B83B86" w:rsidRPr="00D519D6">
        <w:rPr>
          <w:b/>
          <w:bCs/>
        </w:rPr>
        <w:t xml:space="preserve"> and</w:t>
      </w:r>
      <w:r w:rsidR="00D640D5" w:rsidRPr="00D519D6">
        <w:rPr>
          <w:b/>
          <w:bCs/>
        </w:rPr>
        <w:t xml:space="preserve"> a</w:t>
      </w:r>
      <w:r w:rsidR="00B83B86" w:rsidRPr="00D519D6">
        <w:rPr>
          <w:b/>
          <w:bCs/>
        </w:rPr>
        <w:t xml:space="preserve">dditional </w:t>
      </w:r>
      <w:r w:rsidR="00B27AE9" w:rsidRPr="00D519D6">
        <w:rPr>
          <w:b/>
          <w:bCs/>
        </w:rPr>
        <w:t xml:space="preserve">resources </w:t>
      </w:r>
      <w:r w:rsidR="00B27AE9" w:rsidRPr="00D519D6">
        <w:rPr>
          <w:b/>
          <w:bCs/>
        </w:rPr>
        <w:lastRenderedPageBreak/>
        <w:t xml:space="preserve">to </w:t>
      </w:r>
      <w:r w:rsidR="00072DC0" w:rsidRPr="00D519D6">
        <w:rPr>
          <w:b/>
          <w:bCs/>
        </w:rPr>
        <w:t>coordinat</w:t>
      </w:r>
      <w:r w:rsidR="00B83B86" w:rsidRPr="00D519D6">
        <w:rPr>
          <w:b/>
          <w:bCs/>
        </w:rPr>
        <w:t>e</w:t>
      </w:r>
      <w:r w:rsidR="00072DC0" w:rsidRPr="00D519D6">
        <w:rPr>
          <w:b/>
          <w:bCs/>
        </w:rPr>
        <w:t xml:space="preserve"> in-prison services</w:t>
      </w:r>
      <w:r w:rsidR="009122A9" w:rsidRPr="00D519D6">
        <w:rPr>
          <w:b/>
          <w:bCs/>
        </w:rPr>
        <w:t xml:space="preserve">, and where TWES </w:t>
      </w:r>
      <w:r w:rsidR="00467A51" w:rsidRPr="00D519D6">
        <w:rPr>
          <w:b/>
          <w:bCs/>
        </w:rPr>
        <w:t>provider</w:t>
      </w:r>
      <w:r w:rsidR="009122A9" w:rsidRPr="00D519D6">
        <w:rPr>
          <w:b/>
          <w:bCs/>
        </w:rPr>
        <w:t xml:space="preserve">s </w:t>
      </w:r>
      <w:r w:rsidR="004C3D7D" w:rsidRPr="00D519D6">
        <w:rPr>
          <w:b/>
          <w:bCs/>
        </w:rPr>
        <w:t xml:space="preserve">had the skills to build </w:t>
      </w:r>
      <w:r w:rsidR="00B83B86" w:rsidRPr="00D519D6">
        <w:rPr>
          <w:b/>
          <w:bCs/>
        </w:rPr>
        <w:t xml:space="preserve">relationships with </w:t>
      </w:r>
      <w:r w:rsidR="004C3D7D" w:rsidRPr="00D519D6">
        <w:rPr>
          <w:b/>
          <w:bCs/>
        </w:rPr>
        <w:t>eligible prisoners</w:t>
      </w:r>
      <w:r w:rsidR="00B83B86" w:rsidRPr="00D519D6">
        <w:rPr>
          <w:b/>
          <w:bCs/>
        </w:rPr>
        <w:t xml:space="preserve"> and </w:t>
      </w:r>
      <w:r w:rsidR="00886659" w:rsidRPr="00D519D6">
        <w:rPr>
          <w:b/>
          <w:bCs/>
        </w:rPr>
        <w:t>prison</w:t>
      </w:r>
      <w:r w:rsidR="00B83B86" w:rsidRPr="00D519D6">
        <w:rPr>
          <w:b/>
          <w:bCs/>
        </w:rPr>
        <w:t xml:space="preserve"> management</w:t>
      </w:r>
      <w:r w:rsidR="00886659" w:rsidRPr="00D519D6">
        <w:rPr>
          <w:b/>
          <w:bCs/>
        </w:rPr>
        <w:t xml:space="preserve">. </w:t>
      </w:r>
    </w:p>
    <w:p w14:paraId="44791E0F" w14:textId="3A234B27" w:rsidR="00BC4980" w:rsidRPr="00C03373" w:rsidRDefault="00762368" w:rsidP="00305B4B">
      <w:pPr>
        <w:pStyle w:val="BodyText"/>
        <w:ind w:right="3"/>
      </w:pPr>
      <w:r w:rsidRPr="00C03373">
        <w:t xml:space="preserve">The </w:t>
      </w:r>
      <w:r w:rsidR="00970BFF" w:rsidRPr="00C03373">
        <w:t xml:space="preserve">TWES Guidelines </w:t>
      </w:r>
      <w:r w:rsidR="00F91C61" w:rsidRPr="00C03373">
        <w:t xml:space="preserve">note that </w:t>
      </w:r>
      <w:r w:rsidR="00467A51" w:rsidRPr="00C03373">
        <w:t>provider</w:t>
      </w:r>
      <w:r w:rsidR="00F91C61" w:rsidRPr="00C03373">
        <w:t>s</w:t>
      </w:r>
      <w:r w:rsidR="006C6934" w:rsidRPr="00C03373">
        <w:t xml:space="preserve"> “must work with the </w:t>
      </w:r>
      <w:r w:rsidR="00D40359" w:rsidRPr="00C03373">
        <w:t>p</w:t>
      </w:r>
      <w:r w:rsidR="006C6934" w:rsidRPr="00C03373">
        <w:t xml:space="preserve">rison </w:t>
      </w:r>
      <w:r w:rsidR="00BF16D9" w:rsidRPr="00C03373">
        <w:t xml:space="preserve">to promote the service and attract </w:t>
      </w:r>
      <w:r w:rsidR="00D40359" w:rsidRPr="00C03373">
        <w:t>e</w:t>
      </w:r>
      <w:r w:rsidR="00BF16D9" w:rsidRPr="00C03373">
        <w:t xml:space="preserve">ligible </w:t>
      </w:r>
      <w:r w:rsidR="00D40359" w:rsidRPr="00C03373">
        <w:t>p</w:t>
      </w:r>
      <w:r w:rsidR="00BF16D9" w:rsidRPr="00C03373">
        <w:t>risoners</w:t>
      </w:r>
      <w:r w:rsidR="00D40359" w:rsidRPr="00C03373">
        <w:t xml:space="preserve">,” </w:t>
      </w:r>
      <w:r w:rsidR="004F3254" w:rsidRPr="00C03373">
        <w:t>through a variety of possible promotional methods</w:t>
      </w:r>
      <w:r w:rsidR="00BC4980" w:rsidRPr="00C03373">
        <w:t>.</w:t>
      </w:r>
      <w:r w:rsidR="0043711E" w:rsidRPr="00C03373">
        <w:rPr>
          <w:rStyle w:val="FootnoteReference"/>
          <w:rFonts w:ascii="Arial" w:hAnsi="Arial" w:cs="Arial"/>
          <w:vertAlign w:val="baseline"/>
        </w:rPr>
        <w:footnoteReference w:id="20"/>
      </w:r>
      <w:r w:rsidR="002560FB" w:rsidRPr="00C03373">
        <w:t xml:space="preserve"> NIAA and DESE provided promotional materials</w:t>
      </w:r>
      <w:r w:rsidR="00E11218" w:rsidRPr="00C03373">
        <w:t xml:space="preserve"> including flyers and posters</w:t>
      </w:r>
      <w:r w:rsidR="002560FB" w:rsidRPr="00C03373">
        <w:t xml:space="preserve"> to </w:t>
      </w:r>
      <w:r w:rsidR="000A724D" w:rsidRPr="00C03373">
        <w:t xml:space="preserve">TWES </w:t>
      </w:r>
      <w:r w:rsidR="00467A51" w:rsidRPr="00C03373">
        <w:t>provider</w:t>
      </w:r>
      <w:r w:rsidR="000A724D" w:rsidRPr="00C03373">
        <w:t>s that they could use in prison</w:t>
      </w:r>
      <w:r w:rsidR="00215005" w:rsidRPr="00C03373">
        <w:t>s</w:t>
      </w:r>
      <w:r w:rsidR="000A724D" w:rsidRPr="00C03373">
        <w:t>.</w:t>
      </w:r>
    </w:p>
    <w:p w14:paraId="2927629F" w14:textId="52353444" w:rsidR="0071106E" w:rsidRPr="00C03373" w:rsidRDefault="0071106E" w:rsidP="00305B4B">
      <w:pPr>
        <w:pStyle w:val="BodyText"/>
        <w:ind w:right="3"/>
      </w:pPr>
      <w:r w:rsidRPr="00C03373">
        <w:t xml:space="preserve">Interviews with TWES </w:t>
      </w:r>
      <w:r w:rsidR="00467A51" w:rsidRPr="00C03373">
        <w:t>provider</w:t>
      </w:r>
      <w:r w:rsidRPr="00C03373">
        <w:t xml:space="preserve">s and state/territory </w:t>
      </w:r>
      <w:r w:rsidR="00B63B43" w:rsidRPr="00C03373">
        <w:t xml:space="preserve">corrections </w:t>
      </w:r>
      <w:r w:rsidRPr="00C03373">
        <w:t xml:space="preserve">stakeholders </w:t>
      </w:r>
      <w:r w:rsidR="006450C2" w:rsidRPr="00C03373">
        <w:t xml:space="preserve">found that </w:t>
      </w:r>
      <w:r w:rsidR="00B63B43" w:rsidRPr="00C03373">
        <w:t xml:space="preserve">TWES </w:t>
      </w:r>
      <w:r w:rsidR="00467A51" w:rsidRPr="00C03373">
        <w:t>provider</w:t>
      </w:r>
      <w:r w:rsidR="00B63B43" w:rsidRPr="00C03373">
        <w:t xml:space="preserve">s are leading </w:t>
      </w:r>
      <w:r w:rsidR="00BD127B" w:rsidRPr="00C03373">
        <w:t xml:space="preserve">the </w:t>
      </w:r>
      <w:r w:rsidR="00B63B43" w:rsidRPr="00C03373">
        <w:t>promotion of the service in some cases, and corrections staff are leading it in others</w:t>
      </w:r>
      <w:r w:rsidR="00262557" w:rsidRPr="00C03373">
        <w:t>. M</w:t>
      </w:r>
      <w:r w:rsidR="0031460A" w:rsidRPr="00C03373">
        <w:t xml:space="preserve">ost TWES </w:t>
      </w:r>
      <w:r w:rsidR="00467A51" w:rsidRPr="00C03373">
        <w:t>provider</w:t>
      </w:r>
      <w:r w:rsidR="0031460A" w:rsidRPr="00C03373">
        <w:t xml:space="preserve">s </w:t>
      </w:r>
      <w:r w:rsidR="00A73441" w:rsidRPr="00C03373">
        <w:t>reported that they were leading promotion efforts (</w:t>
      </w:r>
      <w:r w:rsidR="005C6C5E" w:rsidRPr="00C03373">
        <w:t>seven</w:t>
      </w:r>
      <w:r w:rsidR="006D6612" w:rsidRPr="00C03373">
        <w:t xml:space="preserve"> out of </w:t>
      </w:r>
      <w:r w:rsidR="00852F5B" w:rsidRPr="00C03373">
        <w:t xml:space="preserve">the </w:t>
      </w:r>
      <w:r w:rsidR="009750F8" w:rsidRPr="00C03373">
        <w:t>eleven</w:t>
      </w:r>
      <w:r w:rsidR="00852F5B" w:rsidRPr="00C03373">
        <w:t xml:space="preserve"> TWES </w:t>
      </w:r>
      <w:r w:rsidR="00467A51" w:rsidRPr="00C03373">
        <w:t>provider</w:t>
      </w:r>
      <w:r w:rsidR="006D6612" w:rsidRPr="00C03373">
        <w:t>s who</w:t>
      </w:r>
      <w:r w:rsidR="006D6612" w:rsidRPr="00FF3D15">
        <w:rPr>
          <w:spacing w:val="-5"/>
        </w:rPr>
        <w:t xml:space="preserve"> </w:t>
      </w:r>
      <w:r w:rsidR="002A4D50" w:rsidRPr="00C03373">
        <w:t>answered this question)</w:t>
      </w:r>
      <w:r w:rsidR="00E86591" w:rsidRPr="00C03373">
        <w:t xml:space="preserve">; three said that prisons were </w:t>
      </w:r>
      <w:r w:rsidR="00E76840" w:rsidRPr="00C03373">
        <w:t>leading promotion</w:t>
      </w:r>
      <w:r w:rsidR="0017537C" w:rsidRPr="00C03373">
        <w:t xml:space="preserve"> efforts</w:t>
      </w:r>
      <w:r w:rsidR="001E641E" w:rsidRPr="00C03373">
        <w:t>;</w:t>
      </w:r>
      <w:r w:rsidR="0017537C" w:rsidRPr="00C03373">
        <w:t xml:space="preserve"> and one other </w:t>
      </w:r>
      <w:r w:rsidR="008E0AA6" w:rsidRPr="00C03373">
        <w:t xml:space="preserve">reported that promoting TWES was </w:t>
      </w:r>
      <w:r w:rsidR="00D75BBC" w:rsidRPr="00C03373">
        <w:t xml:space="preserve">shared by the TWES </w:t>
      </w:r>
      <w:r w:rsidR="00467A51" w:rsidRPr="00C03373">
        <w:t>provider</w:t>
      </w:r>
      <w:r w:rsidR="00D75BBC" w:rsidRPr="00C03373">
        <w:t xml:space="preserve"> and corrections staff.</w:t>
      </w:r>
      <w:r w:rsidR="00262557" w:rsidRPr="00C03373">
        <w:t xml:space="preserve"> S</w:t>
      </w:r>
      <w:r w:rsidR="003C2549" w:rsidRPr="00C03373">
        <w:t>tate/territory corrections</w:t>
      </w:r>
      <w:r w:rsidR="00366BB7" w:rsidRPr="00C03373">
        <w:t xml:space="preserve"> stakeholders</w:t>
      </w:r>
      <w:r w:rsidR="003C2549" w:rsidRPr="00C03373">
        <w:t xml:space="preserve">, on the other hand, </w:t>
      </w:r>
      <w:r w:rsidR="00366BB7" w:rsidRPr="00C03373">
        <w:t>were more likely to report that they were</w:t>
      </w:r>
      <w:r w:rsidR="0043711E" w:rsidRPr="00C03373">
        <w:t xml:space="preserve"> </w:t>
      </w:r>
      <w:r w:rsidR="00366BB7" w:rsidRPr="00C03373">
        <w:t>leading TWES promotion rather than providers</w:t>
      </w:r>
      <w:r w:rsidR="00931FF2" w:rsidRPr="00C03373">
        <w:t xml:space="preserve"> (four out of the six stakeholders who provided this information).</w:t>
      </w:r>
    </w:p>
    <w:p w14:paraId="13189868" w14:textId="2DFFCDC0" w:rsidR="00F05CAD" w:rsidRDefault="003D1F91" w:rsidP="00305B4B">
      <w:pPr>
        <w:pStyle w:val="BodyText"/>
        <w:ind w:right="3"/>
      </w:pPr>
      <w:r w:rsidRPr="00C03373">
        <w:t xml:space="preserve">The </w:t>
      </w:r>
      <w:r w:rsidR="00011B12" w:rsidRPr="00C03373">
        <w:t xml:space="preserve">MOUs signed by </w:t>
      </w:r>
      <w:r w:rsidRPr="00C03373">
        <w:t xml:space="preserve">some </w:t>
      </w:r>
      <w:r w:rsidR="00B63B84" w:rsidRPr="00C03373">
        <w:t>state</w:t>
      </w:r>
      <w:r w:rsidR="008F01C1" w:rsidRPr="00C03373">
        <w:t>/</w:t>
      </w:r>
      <w:r w:rsidR="00B63B84" w:rsidRPr="00C03373">
        <w:t xml:space="preserve">territory </w:t>
      </w:r>
      <w:r w:rsidR="000E702F" w:rsidRPr="00C03373">
        <w:t>g</w:t>
      </w:r>
      <w:r w:rsidR="008F01C1" w:rsidRPr="00C03373">
        <w:t xml:space="preserve">overnments </w:t>
      </w:r>
      <w:r w:rsidRPr="00C03373">
        <w:t xml:space="preserve">to </w:t>
      </w:r>
      <w:r w:rsidR="001A6F6B" w:rsidRPr="00C03373">
        <w:t>collaborate with the Commonwealth in delivering TWES stated that prisons would promote the service</w:t>
      </w:r>
      <w:r w:rsidR="00AB06EF" w:rsidRPr="00C03373">
        <w:t xml:space="preserve">, in addition to TWES </w:t>
      </w:r>
      <w:r w:rsidR="00467A51" w:rsidRPr="00C03373">
        <w:t>provider</w:t>
      </w:r>
      <w:r w:rsidR="00AB06EF" w:rsidRPr="00C03373">
        <w:t xml:space="preserve">s. </w:t>
      </w:r>
      <w:r w:rsidR="006F5AD1" w:rsidRPr="00C03373">
        <w:t>State/</w:t>
      </w:r>
      <w:r w:rsidR="00B63B84" w:rsidRPr="00C03373">
        <w:t xml:space="preserve">territory </w:t>
      </w:r>
      <w:r w:rsidR="006F5AD1" w:rsidRPr="00C03373">
        <w:t xml:space="preserve">corrections stakeholders </w:t>
      </w:r>
      <w:r w:rsidR="00B24B2B" w:rsidRPr="00C03373">
        <w:t xml:space="preserve">shared positive and negative views regarding the reliance on prison staff to promote the program, as demonstrated by the quotes below: </w:t>
      </w:r>
    </w:p>
    <w:p w14:paraId="5B282F87" w14:textId="0BB20137" w:rsidR="001C5C45" w:rsidRDefault="001C5C45" w:rsidP="00305B4B">
      <w:pPr>
        <w:pStyle w:val="BodyText"/>
        <w:ind w:right="3"/>
      </w:pPr>
      <w:r>
        <w:rPr>
          <w:noProof/>
        </w:rPr>
        <mc:AlternateContent>
          <mc:Choice Requires="wps">
            <w:drawing>
              <wp:inline distT="0" distB="0" distL="0" distR="0" wp14:anchorId="7BA3D30E" wp14:editId="4006F66C">
                <wp:extent cx="6238875" cy="1219200"/>
                <wp:effectExtent l="0" t="0" r="0" b="0"/>
                <wp:docPr id="46" name="Rectangle: Rounded Corners 46"/>
                <wp:cNvGraphicFramePr/>
                <a:graphic xmlns:a="http://schemas.openxmlformats.org/drawingml/2006/main">
                  <a:graphicData uri="http://schemas.microsoft.com/office/word/2010/wordprocessingShape">
                    <wps:wsp>
                      <wps:cNvSpPr/>
                      <wps:spPr>
                        <a:xfrm>
                          <a:off x="0" y="0"/>
                          <a:ext cx="6238875" cy="1219200"/>
                        </a:xfrm>
                        <a:prstGeom prst="round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AA705" w14:textId="77777777" w:rsidR="001C5C45" w:rsidRDefault="000B1DD2" w:rsidP="00E06C4B">
                            <w:pPr>
                              <w:pStyle w:val="QuoteNoafterspace"/>
                            </w:pPr>
                            <w:r w:rsidRPr="00C42A94">
                              <w:t xml:space="preserve">The TWES program has placed extra administrative burden on prison staff who are required to help identify eligible prisoners, promote the service to them and organise rooms and </w:t>
                            </w:r>
                            <w:r>
                              <w:t>resources</w:t>
                            </w:r>
                            <w:r w:rsidRPr="00C42A94">
                              <w:t xml:space="preserve"> for the provider meetings to take place. They’re having to do a lot of the work for the providers but they aren’t funded for it.</w:t>
                            </w:r>
                            <w:r w:rsidR="001C5C45">
                              <w:t xml:space="preserve"> </w:t>
                            </w:r>
                          </w:p>
                          <w:p w14:paraId="74F36A2E" w14:textId="77777777" w:rsidR="001C5C45" w:rsidRPr="001C5C45" w:rsidRDefault="001C5C45" w:rsidP="00E06C4B">
                            <w:pPr>
                              <w:pStyle w:val="QuoteNoafterspace"/>
                              <w:jc w:val="right"/>
                              <w:rPr>
                                <w:b/>
                                <w:bCs/>
                              </w:rPr>
                            </w:pPr>
                            <w:r w:rsidRPr="001C5C45">
                              <w:rPr>
                                <w:b/>
                                <w:bCs/>
                              </w:rPr>
                              <w:t>- Corrections stakeholder</w:t>
                            </w:r>
                          </w:p>
                          <w:p w14:paraId="034969CA" w14:textId="62EB38EB" w:rsidR="000B1DD2" w:rsidRPr="006B5250" w:rsidRDefault="000B1DD2" w:rsidP="001C5C45">
                            <w:pPr>
                              <w:pStyle w:val="Quote"/>
                              <w:jc w:val="right"/>
                              <w:rPr>
                                <w:rFonts w:cstheme="minorHAnsi"/>
                                <w:b/>
                                <w:bCs/>
                                <w:color w:val="000000" w:themeColor="text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A3D30E" id="Rectangle: Rounded Corners 46" o:spid="_x0000_s1027" style="width:491.25pt;height:9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" fillcolor="#ddf0fa [662]" stroked="f" strokeweight="2pt">
                <v:textbox inset="0,0,0,0">
                  <w:txbxContent>
                    <w:p w14:paraId="297AA705" w14:textId="77777777" w:rsidR="001C5C45" w:rsidRDefault="000B1DD2" w:rsidP="00E06C4B">
                      <w:pPr>
                        <w:pStyle w:val="QuoteNoafterspace"/>
                      </w:pPr>
                      <w:r w:rsidRPr="00C42A94">
                        <w:t xml:space="preserve">The TWES program has placed extra administrative burden on prison staff who are required to help identify eligible prisoners, promote the service to them and organise rooms and </w:t>
                      </w:r>
                      <w:r>
                        <w:t>resources</w:t>
                      </w:r>
                      <w:r w:rsidRPr="00C42A94">
                        <w:t xml:space="preserve"> for the provider meetings to take place. They’re having to do a lot of the work for the </w:t>
                      </w:r>
                      <w:proofErr w:type="gramStart"/>
                      <w:r w:rsidRPr="00C42A94">
                        <w:t>providers</w:t>
                      </w:r>
                      <w:proofErr w:type="gramEnd"/>
                      <w:r w:rsidRPr="00C42A94">
                        <w:t xml:space="preserve"> but they aren’t funded for it.</w:t>
                      </w:r>
                      <w:r w:rsidR="001C5C45">
                        <w:t xml:space="preserve"> </w:t>
                      </w:r>
                    </w:p>
                    <w:p w14:paraId="74F36A2E" w14:textId="77777777" w:rsidR="001C5C45" w:rsidRPr="001C5C45" w:rsidRDefault="001C5C45" w:rsidP="00E06C4B">
                      <w:pPr>
                        <w:pStyle w:val="QuoteNoafterspace"/>
                        <w:jc w:val="right"/>
                        <w:rPr>
                          <w:b/>
                          <w:bCs/>
                        </w:rPr>
                      </w:pPr>
                      <w:r w:rsidRPr="001C5C45">
                        <w:rPr>
                          <w:b/>
                          <w:bCs/>
                        </w:rPr>
                        <w:t>- Corrections stakeholder</w:t>
                      </w:r>
                    </w:p>
                    <w:p w14:paraId="034969CA" w14:textId="62EB38EB" w:rsidR="000B1DD2" w:rsidRPr="006B5250" w:rsidRDefault="000B1DD2" w:rsidP="001C5C45">
                      <w:pPr>
                        <w:pStyle w:val="Quote"/>
                        <w:jc w:val="right"/>
                        <w:rPr>
                          <w:rFonts w:cstheme="minorHAnsi"/>
                          <w:b/>
                          <w:bCs/>
                          <w:color w:val="000000" w:themeColor="text1"/>
                          <w:szCs w:val="20"/>
                        </w:rPr>
                      </w:pPr>
                    </w:p>
                  </w:txbxContent>
                </v:textbox>
                <w10:anchorlock/>
              </v:roundrect>
            </w:pict>
          </mc:Fallback>
        </mc:AlternateContent>
      </w:r>
    </w:p>
    <w:p w14:paraId="7597B7A6" w14:textId="10B3C288" w:rsidR="00807FC6" w:rsidRDefault="001C5C45" w:rsidP="00305B4B">
      <w:pPr>
        <w:pStyle w:val="BodyText"/>
        <w:ind w:right="3"/>
      </w:pPr>
      <w:r>
        <w:rPr>
          <w:noProof/>
        </w:rPr>
        <mc:AlternateContent>
          <mc:Choice Requires="wps">
            <w:drawing>
              <wp:inline distT="0" distB="0" distL="0" distR="0" wp14:anchorId="1702C78D" wp14:editId="1427D6B5">
                <wp:extent cx="6238875" cy="1649506"/>
                <wp:effectExtent l="0" t="0" r="0" b="1905"/>
                <wp:docPr id="14" name="Rectangle: Rounded Corners 16"/>
                <wp:cNvGraphicFramePr/>
                <a:graphic xmlns:a="http://schemas.openxmlformats.org/drawingml/2006/main">
                  <a:graphicData uri="http://schemas.microsoft.com/office/word/2010/wordprocessingShape">
                    <wps:wsp>
                      <wps:cNvSpPr/>
                      <wps:spPr>
                        <a:xfrm>
                          <a:off x="0" y="0"/>
                          <a:ext cx="6238875" cy="1649506"/>
                        </a:xfrm>
                        <a:prstGeom prst="round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A9916" w14:textId="733CB1A4" w:rsidR="001C5C45" w:rsidRPr="001C5C45" w:rsidRDefault="001C5C45" w:rsidP="00E06C4B">
                            <w:pPr>
                              <w:pStyle w:val="QuoteNoafterspace"/>
                            </w:pPr>
                            <w:r w:rsidRPr="001C5C45">
                              <w:t>The Employment Coordinators in prisons are very onboard with the program and take on that role of promotion – they have existing relationships with the participants and are aware of what training and learning they require so can tap the prisoners that are eligible to encourage them to join the program. They also run an overall information session that sees every Aboriginal prisoner due for release in four months getting brought to an information session for all programs available.</w:t>
                            </w:r>
                          </w:p>
                          <w:p w14:paraId="6F2FA852" w14:textId="77777777" w:rsidR="001C5C45" w:rsidRPr="001C5C45" w:rsidRDefault="001C5C45" w:rsidP="00E06C4B">
                            <w:pPr>
                              <w:pStyle w:val="QuoteNoafterspace"/>
                              <w:jc w:val="right"/>
                              <w:rPr>
                                <w:b/>
                                <w:bCs/>
                              </w:rPr>
                            </w:pPr>
                            <w:r w:rsidRPr="001C5C45">
                              <w:rPr>
                                <w:b/>
                                <w:bCs/>
                              </w:rPr>
                              <w:t>- Corrections stakeholder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02C78D" id="Rectangle: Rounded Corners 16" o:spid="_x0000_s1028" style="width:491.25pt;height:129.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" fillcolor="#ddf0fa [662]" stroked="f" strokeweight="2pt">
                <v:textbox inset="0,0,0,0">
                  <w:txbxContent>
                    <w:p w14:paraId="3ADA9916" w14:textId="733CB1A4" w:rsidR="001C5C45" w:rsidRPr="001C5C45" w:rsidRDefault="001C5C45" w:rsidP="00E06C4B">
                      <w:pPr>
                        <w:pStyle w:val="QuoteNoafterspace"/>
                      </w:pPr>
                      <w:r w:rsidRPr="001C5C45">
                        <w:t>The Employment Coordinators in prisons are very onboard with the program and take on that role of promotion – they have existing relationships with the participants and are aware of what training and learning they require so can tap the prisoners that are eligible to encourage them to join the program. They also run an overall information session that sees every Aboriginal prisoner due for release in four months getting brought to an information session for all programs available.</w:t>
                      </w:r>
                    </w:p>
                    <w:p w14:paraId="6F2FA852" w14:textId="77777777" w:rsidR="001C5C45" w:rsidRPr="001C5C45" w:rsidRDefault="001C5C45" w:rsidP="00E06C4B">
                      <w:pPr>
                        <w:pStyle w:val="QuoteNoafterspace"/>
                        <w:jc w:val="right"/>
                        <w:rPr>
                          <w:b/>
                          <w:bCs/>
                        </w:rPr>
                      </w:pPr>
                      <w:r w:rsidRPr="001C5C45">
                        <w:rPr>
                          <w:b/>
                          <w:bCs/>
                        </w:rPr>
                        <w:t>- Corrections stakeholder</w:t>
                      </w:r>
                    </w:p>
                  </w:txbxContent>
                </v:textbox>
                <w10:anchorlock/>
              </v:roundrect>
            </w:pict>
          </mc:Fallback>
        </mc:AlternateContent>
      </w:r>
    </w:p>
    <w:p w14:paraId="3C8B5AC4" w14:textId="562EC16B" w:rsidR="0062353C" w:rsidRPr="001C5C45" w:rsidRDefault="00AE08A4" w:rsidP="00305B4B">
      <w:pPr>
        <w:pStyle w:val="BodyText"/>
        <w:ind w:right="3"/>
      </w:pPr>
      <w:r w:rsidRPr="001C5C45">
        <w:t xml:space="preserve">Promotional methods used by TWES </w:t>
      </w:r>
      <w:r w:rsidR="00D61836" w:rsidRPr="001C5C45">
        <w:t xml:space="preserve">providers </w:t>
      </w:r>
      <w:r w:rsidRPr="001C5C45">
        <w:t xml:space="preserve">have included holding information sessions for groups of prisoners, chatting to prisoners informally while walking through prisons to recruit participants, handing out information flyers and using prison radio to broadcast information. Interviews suggest that information and perspectives about TWES also spreads by word-of-mouth among prisoners, which may increase or decrease interest and participation, depending on </w:t>
      </w:r>
      <w:r w:rsidR="00066647" w:rsidRPr="001C5C45">
        <w:t>participant</w:t>
      </w:r>
      <w:r w:rsidRPr="001C5C45">
        <w:t xml:space="preserve">s’ experiences of the service and the TWES </w:t>
      </w:r>
      <w:r w:rsidR="00D61836" w:rsidRPr="001C5C45">
        <w:t>provider</w:t>
      </w:r>
      <w:r w:rsidRPr="001C5C45">
        <w:t>.</w:t>
      </w:r>
    </w:p>
    <w:p w14:paraId="5D2A5208" w14:textId="679439A0" w:rsidR="00832D06" w:rsidRPr="001C5C45" w:rsidRDefault="00832D06" w:rsidP="00305B4B">
      <w:pPr>
        <w:pStyle w:val="BodyText"/>
        <w:ind w:right="3"/>
      </w:pPr>
      <w:r w:rsidRPr="001C5C45">
        <w:t>P</w:t>
      </w:r>
      <w:r w:rsidR="00FE3A44" w:rsidRPr="001C5C45">
        <w:t xml:space="preserve">romotional posters </w:t>
      </w:r>
      <w:r w:rsidRPr="001C5C45">
        <w:t xml:space="preserve">and flyers </w:t>
      </w:r>
      <w:r w:rsidR="00FE3A44" w:rsidRPr="001C5C45">
        <w:t>provided by DESE</w:t>
      </w:r>
      <w:r w:rsidRPr="001C5C45">
        <w:t xml:space="preserve"> appear to have been used to varying levels of effectiveness.</w:t>
      </w:r>
      <w:r w:rsidR="00C94004" w:rsidRPr="001C5C45">
        <w:t xml:space="preserve"> </w:t>
      </w:r>
      <w:r w:rsidRPr="001C5C45">
        <w:t>Two</w:t>
      </w:r>
      <w:r w:rsidR="0049254F" w:rsidRPr="001C5C45">
        <w:t xml:space="preserve"> TWES</w:t>
      </w:r>
      <w:r w:rsidRPr="001C5C45">
        <w:t xml:space="preserve"> </w:t>
      </w:r>
      <w:r w:rsidR="00D61836" w:rsidRPr="001C5C45">
        <w:t xml:space="preserve">providers </w:t>
      </w:r>
      <w:r w:rsidRPr="001C5C45">
        <w:t>reported using these without issue</w:t>
      </w:r>
      <w:r w:rsidR="006C1F10" w:rsidRPr="001C5C45">
        <w:t>.</w:t>
      </w:r>
      <w:r w:rsidR="000F1522" w:rsidRPr="001C5C45">
        <w:t xml:space="preserve"> </w:t>
      </w:r>
      <w:r w:rsidR="006C1F10" w:rsidRPr="001C5C45">
        <w:t>O</w:t>
      </w:r>
      <w:r w:rsidR="00607EE9" w:rsidRPr="001C5C45">
        <w:t xml:space="preserve">ne other </w:t>
      </w:r>
      <w:r w:rsidR="00D61836" w:rsidRPr="001C5C45">
        <w:t>provider</w:t>
      </w:r>
      <w:r w:rsidR="00C407F6" w:rsidRPr="001C5C45">
        <w:t>, and one corrections stakeholder, reported that the</w:t>
      </w:r>
      <w:r w:rsidR="009673C3" w:rsidRPr="001C5C45">
        <w:t xml:space="preserve"> materials were</w:t>
      </w:r>
      <w:r w:rsidR="007F50B1" w:rsidRPr="001C5C45">
        <w:t xml:space="preserve"> not </w:t>
      </w:r>
      <w:r w:rsidR="00043C72" w:rsidRPr="001C5C45">
        <w:t xml:space="preserve">appropriate </w:t>
      </w:r>
      <w:r w:rsidR="00F26623" w:rsidRPr="001C5C45">
        <w:t xml:space="preserve">because </w:t>
      </w:r>
      <w:r w:rsidR="000E6D45" w:rsidRPr="001C5C45">
        <w:t>the language used was too complex</w:t>
      </w:r>
      <w:r w:rsidR="004F6036" w:rsidRPr="001C5C45">
        <w:t xml:space="preserve">, and </w:t>
      </w:r>
      <w:r w:rsidR="007F50B1" w:rsidRPr="001C5C45">
        <w:t xml:space="preserve">the artwork </w:t>
      </w:r>
      <w:r w:rsidR="00043C72" w:rsidRPr="001C5C45">
        <w:t xml:space="preserve">on posters and flyers </w:t>
      </w:r>
      <w:r w:rsidR="007F50B1" w:rsidRPr="001C5C45">
        <w:t xml:space="preserve">was </w:t>
      </w:r>
      <w:r w:rsidR="00043C72" w:rsidRPr="001C5C45">
        <w:t xml:space="preserve">not relevant to local </w:t>
      </w:r>
      <w:r w:rsidR="008B78E7" w:rsidRPr="001C5C45">
        <w:t>Aboriginal and Torres Strait Islander cultures</w:t>
      </w:r>
      <w:r w:rsidR="00CF6548" w:rsidRPr="001C5C45">
        <w:t xml:space="preserve">. Both stakeholders reported they were not permitted to edit these materials, </w:t>
      </w:r>
      <w:r w:rsidR="007B6022" w:rsidRPr="001C5C45">
        <w:t xml:space="preserve">so </w:t>
      </w:r>
      <w:r w:rsidR="002023D6" w:rsidRPr="001C5C45">
        <w:t>did not use</w:t>
      </w:r>
      <w:r w:rsidR="00A3165E" w:rsidRPr="001C5C45">
        <w:t xml:space="preserve"> them</w:t>
      </w:r>
      <w:r w:rsidR="00CF6548" w:rsidRPr="001C5C45">
        <w:t xml:space="preserve"> widely</w:t>
      </w:r>
      <w:r w:rsidR="002023D6" w:rsidRPr="001C5C45">
        <w:t xml:space="preserve">. </w:t>
      </w:r>
      <w:r w:rsidR="005C4F1F" w:rsidRPr="001C5C45">
        <w:t xml:space="preserve">DESE </w:t>
      </w:r>
      <w:r w:rsidR="00C94004" w:rsidRPr="001C5C45">
        <w:t xml:space="preserve">reported </w:t>
      </w:r>
      <w:r w:rsidR="005C4F1F" w:rsidRPr="001C5C45">
        <w:t>test</w:t>
      </w:r>
      <w:r w:rsidR="00C94004" w:rsidRPr="001C5C45">
        <w:t xml:space="preserve">ing these </w:t>
      </w:r>
      <w:r w:rsidR="000F1522" w:rsidRPr="001C5C45">
        <w:t>promotional material</w:t>
      </w:r>
      <w:r w:rsidR="00C94004" w:rsidRPr="001C5C45">
        <w:t xml:space="preserve">s </w:t>
      </w:r>
      <w:r w:rsidR="005C4F1F" w:rsidRPr="001C5C45">
        <w:t>with providers and corrections agencies initially</w:t>
      </w:r>
      <w:r w:rsidR="00C94004" w:rsidRPr="001C5C45">
        <w:t xml:space="preserve"> before being provided by use</w:t>
      </w:r>
      <w:r w:rsidR="00F86D2B" w:rsidRPr="001C5C45">
        <w:t xml:space="preserve">, however the comments above indicate some stakeholders viewed the materials as </w:t>
      </w:r>
      <w:r w:rsidR="009418D8" w:rsidRPr="001C5C45">
        <w:t xml:space="preserve">inappropriate or not locally </w:t>
      </w:r>
      <w:r w:rsidR="009418D8" w:rsidRPr="001C5C45">
        <w:lastRenderedPageBreak/>
        <w:t>relevant.</w:t>
      </w:r>
      <w:r w:rsidR="00E04985" w:rsidRPr="001C5C45">
        <w:t xml:space="preserve"> </w:t>
      </w:r>
      <w:r w:rsidR="00AD2E64" w:rsidRPr="001C5C45">
        <w:t>As identified under Key Finding #1</w:t>
      </w:r>
      <w:r w:rsidR="00582BDA" w:rsidRPr="001C5C45">
        <w:t xml:space="preserve">, continued consultation with Aboriginal and Torres Strait Islander stakeholders and experts could help improve the delivery of the service, including </w:t>
      </w:r>
      <w:r w:rsidR="00344F6E" w:rsidRPr="001C5C45">
        <w:t xml:space="preserve">promotional materials and methods. </w:t>
      </w:r>
    </w:p>
    <w:p w14:paraId="6DEB9AA4" w14:textId="393D3EAE" w:rsidR="000B3E1C" w:rsidRPr="001C5C45" w:rsidRDefault="000B3E1C" w:rsidP="00305B4B">
      <w:pPr>
        <w:pStyle w:val="BodyText"/>
        <w:ind w:right="3"/>
      </w:pPr>
      <w:r w:rsidRPr="001C5C45">
        <w:t xml:space="preserve">Interviews </w:t>
      </w:r>
      <w:r w:rsidR="00973350" w:rsidRPr="001C5C45">
        <w:t xml:space="preserve">with TWES </w:t>
      </w:r>
      <w:r w:rsidR="00467A51" w:rsidRPr="001C5C45">
        <w:t>provider</w:t>
      </w:r>
      <w:r w:rsidR="00973350" w:rsidRPr="001C5C45">
        <w:t>s and stakeholders suggest that promoting TWES is facilitated where</w:t>
      </w:r>
      <w:r w:rsidR="006B1509" w:rsidRPr="001C5C45">
        <w:t>:</w:t>
      </w:r>
    </w:p>
    <w:p w14:paraId="16853186" w14:textId="7D3A8ACC" w:rsidR="007310C4" w:rsidRPr="001C5C45" w:rsidRDefault="00973350" w:rsidP="00305B4B">
      <w:pPr>
        <w:pStyle w:val="Bulletedlist"/>
        <w:ind w:right="3"/>
      </w:pPr>
      <w:r w:rsidRPr="001C5C45">
        <w:rPr>
          <w:b/>
          <w:bCs/>
        </w:rPr>
        <w:t>P</w:t>
      </w:r>
      <w:r w:rsidR="007310C4" w:rsidRPr="001C5C45">
        <w:rPr>
          <w:b/>
          <w:bCs/>
        </w:rPr>
        <w:t xml:space="preserve">risons </w:t>
      </w:r>
      <w:r w:rsidRPr="001C5C45">
        <w:rPr>
          <w:b/>
          <w:bCs/>
        </w:rPr>
        <w:t>have</w:t>
      </w:r>
      <w:r w:rsidR="007310C4" w:rsidRPr="001C5C45">
        <w:rPr>
          <w:b/>
          <w:bCs/>
        </w:rPr>
        <w:t xml:space="preserve"> additional resources to coordinate </w:t>
      </w:r>
      <w:r w:rsidR="00066647" w:rsidRPr="001C5C45">
        <w:rPr>
          <w:b/>
          <w:bCs/>
        </w:rPr>
        <w:t>participant</w:t>
      </w:r>
      <w:r w:rsidR="00C356DD" w:rsidRPr="001C5C45">
        <w:rPr>
          <w:b/>
          <w:bCs/>
        </w:rPr>
        <w:t xml:space="preserve">s’ engagement in TWES and other complementary </w:t>
      </w:r>
      <w:r w:rsidR="007310C4" w:rsidRPr="001C5C45">
        <w:rPr>
          <w:b/>
          <w:bCs/>
        </w:rPr>
        <w:t>services:</w:t>
      </w:r>
      <w:r w:rsidR="007310C4" w:rsidRPr="001C5C45">
        <w:t xml:space="preserve"> Jurisdictions and prisons with greater resourcing to support </w:t>
      </w:r>
      <w:r w:rsidR="00066647" w:rsidRPr="001C5C45">
        <w:t>participant</w:t>
      </w:r>
      <w:r w:rsidR="007310C4" w:rsidRPr="001C5C45">
        <w:t>s’ transition to life after prison were more able to coordinate the promotion of TWES within prisons</w:t>
      </w:r>
      <w:r w:rsidR="00D22D4E" w:rsidRPr="001C5C45">
        <w:t>, as the above quote demonstrates.</w:t>
      </w:r>
    </w:p>
    <w:p w14:paraId="1C650B4F" w14:textId="0CD7856A" w:rsidR="002D16AA" w:rsidRPr="001C5C45" w:rsidRDefault="00C356DD" w:rsidP="00305B4B">
      <w:pPr>
        <w:pStyle w:val="Bulletedlist"/>
        <w:ind w:right="3"/>
      </w:pPr>
      <w:r w:rsidRPr="001C5C45">
        <w:rPr>
          <w:b/>
          <w:bCs/>
        </w:rPr>
        <w:t>P</w:t>
      </w:r>
      <w:r w:rsidR="002D16AA" w:rsidRPr="001C5C45">
        <w:rPr>
          <w:b/>
          <w:bCs/>
        </w:rPr>
        <w:t xml:space="preserve">risons </w:t>
      </w:r>
      <w:r w:rsidRPr="001C5C45">
        <w:rPr>
          <w:b/>
          <w:bCs/>
        </w:rPr>
        <w:t xml:space="preserve">have lower </w:t>
      </w:r>
      <w:r w:rsidR="002D16AA" w:rsidRPr="001C5C45">
        <w:rPr>
          <w:b/>
          <w:bCs/>
        </w:rPr>
        <w:t>security levels and greater accessibility:</w:t>
      </w:r>
      <w:r w:rsidR="002D16AA" w:rsidRPr="001C5C45">
        <w:t xml:space="preserve"> </w:t>
      </w:r>
      <w:r w:rsidR="00C66FAF" w:rsidRPr="001C5C45">
        <w:t>P</w:t>
      </w:r>
      <w:r w:rsidR="002D16AA" w:rsidRPr="001C5C45">
        <w:t xml:space="preserve">risons with lower security levels and fewer constraints on accessibility to prisoners allow TWES </w:t>
      </w:r>
      <w:r w:rsidR="00D61836" w:rsidRPr="001C5C45">
        <w:t xml:space="preserve">providers </w:t>
      </w:r>
      <w:r w:rsidR="002D16AA" w:rsidRPr="001C5C45">
        <w:t xml:space="preserve">to move about the prison, </w:t>
      </w:r>
      <w:r w:rsidR="00214E88" w:rsidRPr="001C5C45">
        <w:t>talk</w:t>
      </w:r>
      <w:r w:rsidR="002D16AA" w:rsidRPr="001C5C45">
        <w:t xml:space="preserve"> casually with prisoners and build informal relationships. This promotional</w:t>
      </w:r>
      <w:r w:rsidR="009545CE" w:rsidRPr="001C5C45">
        <w:t xml:space="preserve"> </w:t>
      </w:r>
      <w:r w:rsidR="002D16AA" w:rsidRPr="001C5C45">
        <w:t xml:space="preserve">method is more difficult in prisons with strict lockdown times, and limitations on TWES </w:t>
      </w:r>
      <w:r w:rsidR="00D61836" w:rsidRPr="001C5C45">
        <w:t xml:space="preserve">providers’ </w:t>
      </w:r>
      <w:r w:rsidR="002D16AA" w:rsidRPr="001C5C45">
        <w:t>ability to access and move about the prison or interact with prisoners</w:t>
      </w:r>
      <w:r w:rsidR="00004DAA" w:rsidRPr="001C5C45">
        <w:t xml:space="preserve">. The TWES program logic notes that access to prisons is a </w:t>
      </w:r>
      <w:r w:rsidR="000B790A" w:rsidRPr="001C5C45">
        <w:t>key assumption underpinning the success of TWES (</w:t>
      </w:r>
      <w:r w:rsidR="000B790A" w:rsidRPr="001C5C45">
        <w:rPr>
          <w:b/>
          <w:bCs/>
        </w:rPr>
        <w:t xml:space="preserve">see </w:t>
      </w:r>
      <w:r w:rsidR="004D25D7" w:rsidRPr="001C5C45">
        <w:rPr>
          <w:b/>
          <w:bCs/>
        </w:rPr>
        <w:t xml:space="preserve">Section </w:t>
      </w:r>
      <w:r w:rsidR="004D25D7" w:rsidRPr="001C5C45">
        <w:rPr>
          <w:b/>
          <w:bCs/>
        </w:rPr>
        <w:fldChar w:fldCharType="begin"/>
      </w:r>
      <w:r w:rsidR="004D25D7" w:rsidRPr="001C5C45">
        <w:rPr>
          <w:b/>
          <w:bCs/>
        </w:rPr>
        <w:instrText xml:space="preserve"> REF _Ref75010590 \r \h </w:instrText>
      </w:r>
      <w:r w:rsidR="00AB6EA7" w:rsidRPr="001C5C45">
        <w:rPr>
          <w:b/>
          <w:bCs/>
        </w:rPr>
        <w:instrText xml:space="preserve"> \* MERGEFORMAT </w:instrText>
      </w:r>
      <w:r w:rsidR="004D25D7" w:rsidRPr="001C5C45">
        <w:rPr>
          <w:b/>
          <w:bCs/>
        </w:rPr>
      </w:r>
      <w:r w:rsidR="004D25D7" w:rsidRPr="001C5C45">
        <w:rPr>
          <w:b/>
          <w:bCs/>
        </w:rPr>
        <w:fldChar w:fldCharType="separate"/>
      </w:r>
      <w:r w:rsidR="00E93A98" w:rsidRPr="001C5C45">
        <w:rPr>
          <w:b/>
          <w:bCs/>
        </w:rPr>
        <w:t>3</w:t>
      </w:r>
      <w:r w:rsidR="004D25D7" w:rsidRPr="001C5C45">
        <w:rPr>
          <w:b/>
          <w:bCs/>
        </w:rPr>
        <w:fldChar w:fldCharType="end"/>
      </w:r>
      <w:r w:rsidR="000B790A" w:rsidRPr="001C5C45">
        <w:t>).</w:t>
      </w:r>
    </w:p>
    <w:p w14:paraId="6B6FA20C" w14:textId="66BE43A7" w:rsidR="002D16AA" w:rsidRPr="001C5C45" w:rsidRDefault="002D16AA" w:rsidP="00305B4B">
      <w:pPr>
        <w:pStyle w:val="Bulletedlist"/>
        <w:ind w:right="3"/>
      </w:pPr>
      <w:r w:rsidRPr="00E23D5C">
        <w:rPr>
          <w:b/>
          <w:bCs/>
        </w:rPr>
        <w:t>Providers with strong local knowledge and ability to build rapport:</w:t>
      </w:r>
      <w:r w:rsidRPr="001C5C45">
        <w:t xml:space="preserve"> TWES </w:t>
      </w:r>
      <w:r w:rsidR="00D61836" w:rsidRPr="001C5C45">
        <w:t xml:space="preserve">provider </w:t>
      </w:r>
      <w:r w:rsidRPr="001C5C45">
        <w:t xml:space="preserve">staff who were Indigenous, and particularly from the local area (or had knowledge of the local area and Indigenous communities), and/or had the personal style and skills to build rapport with prisoners, were </w:t>
      </w:r>
      <w:r w:rsidR="001A2D9F" w:rsidRPr="001C5C45">
        <w:t>more effe</w:t>
      </w:r>
      <w:r w:rsidR="000413FE" w:rsidRPr="001C5C45">
        <w:t>ctive</w:t>
      </w:r>
      <w:r w:rsidRPr="001C5C45">
        <w:t xml:space="preserve"> in promoting the service and recruiting participants</w:t>
      </w:r>
      <w:r w:rsidR="009750F8" w:rsidRPr="001C5C45">
        <w:t>.</w:t>
      </w:r>
    </w:p>
    <w:p w14:paraId="34A8AA16" w14:textId="1EBECEDF" w:rsidR="002D16AA" w:rsidRPr="001C5C45" w:rsidRDefault="002D16AA" w:rsidP="00305B4B">
      <w:pPr>
        <w:pStyle w:val="Bulletedlist"/>
        <w:ind w:right="3"/>
      </w:pPr>
      <w:r w:rsidRPr="001C5C45">
        <w:rPr>
          <w:b/>
          <w:bCs/>
        </w:rPr>
        <w:t>Providers and prisons that build a positive relationship:</w:t>
      </w:r>
      <w:r w:rsidRPr="001C5C45">
        <w:t xml:space="preserve"> A positive working relationship between TWES </w:t>
      </w:r>
      <w:r w:rsidR="00D61836" w:rsidRPr="001C5C45">
        <w:t xml:space="preserve">providers </w:t>
      </w:r>
      <w:r w:rsidRPr="001C5C45">
        <w:t xml:space="preserve">and prisons was identified as a key success factor for successfully promoting TWES. Positive relationships were demonstrated where: </w:t>
      </w:r>
      <w:r w:rsidR="00467A51" w:rsidRPr="001C5C45">
        <w:t>provider</w:t>
      </w:r>
      <w:r w:rsidRPr="001C5C45">
        <w:t xml:space="preserve">s were clearly communicating with prisons about what TWES aimed to achieve and how it operated; </w:t>
      </w:r>
      <w:r w:rsidR="00D61836" w:rsidRPr="001C5C45">
        <w:t xml:space="preserve">providers </w:t>
      </w:r>
      <w:r w:rsidRPr="001C5C45">
        <w:t xml:space="preserve">and prisons worked together to overcome barriers to promotion, recruitment and delivery; and </w:t>
      </w:r>
      <w:r w:rsidR="00D61836" w:rsidRPr="001C5C45">
        <w:t xml:space="preserve">providers </w:t>
      </w:r>
      <w:r w:rsidRPr="001C5C45">
        <w:t>and prisons worked together to coordinate promotion and delivery across services.</w:t>
      </w:r>
    </w:p>
    <w:p w14:paraId="66707144" w14:textId="19131396" w:rsidR="00007063" w:rsidRPr="001C5C45" w:rsidRDefault="009D3044" w:rsidP="00305B4B">
      <w:pPr>
        <w:pStyle w:val="BodyText"/>
        <w:ind w:right="3"/>
      </w:pPr>
      <w:r w:rsidRPr="001C5C45">
        <w:t xml:space="preserve">TWES </w:t>
      </w:r>
      <w:r w:rsidR="00D61836" w:rsidRPr="001C5C45">
        <w:t>p</w:t>
      </w:r>
      <w:r w:rsidRPr="001C5C45">
        <w:t xml:space="preserve">roviders have </w:t>
      </w:r>
      <w:r w:rsidR="00EA478D" w:rsidRPr="001C5C45">
        <w:t xml:space="preserve">very little </w:t>
      </w:r>
      <w:r w:rsidR="004B7A92" w:rsidRPr="001C5C45">
        <w:t xml:space="preserve">control over </w:t>
      </w:r>
      <w:r w:rsidR="00EA478D" w:rsidRPr="001C5C45">
        <w:t xml:space="preserve">many of </w:t>
      </w:r>
      <w:r w:rsidR="004B7A92" w:rsidRPr="001C5C45">
        <w:t>the conditions</w:t>
      </w:r>
      <w:r w:rsidR="0089028E" w:rsidRPr="001C5C45">
        <w:t xml:space="preserve"> </w:t>
      </w:r>
      <w:r w:rsidR="004B7A92" w:rsidRPr="001C5C45">
        <w:t xml:space="preserve">and procedures that they </w:t>
      </w:r>
      <w:r w:rsidR="0089028E" w:rsidRPr="001C5C45">
        <w:t xml:space="preserve">encounter </w:t>
      </w:r>
      <w:r w:rsidR="004B7A92" w:rsidRPr="001C5C45">
        <w:t xml:space="preserve">in </w:t>
      </w:r>
      <w:r w:rsidR="0089028E" w:rsidRPr="001C5C45">
        <w:t xml:space="preserve">the </w:t>
      </w:r>
      <w:r w:rsidR="004B7A92" w:rsidRPr="001C5C45">
        <w:t>prisons where they operate</w:t>
      </w:r>
      <w:r w:rsidR="00A9050C" w:rsidRPr="001C5C45">
        <w:t>. T</w:t>
      </w:r>
      <w:r w:rsidR="002117A5" w:rsidRPr="001C5C45">
        <w:t xml:space="preserve">he </w:t>
      </w:r>
      <w:r w:rsidR="00244E4C" w:rsidRPr="001C5C45">
        <w:t xml:space="preserve">TWES </w:t>
      </w:r>
      <w:r w:rsidR="00D61836" w:rsidRPr="001C5C45">
        <w:t xml:space="preserve">providers </w:t>
      </w:r>
      <w:r w:rsidR="00A9050C" w:rsidRPr="001C5C45">
        <w:t>can put themselves in the best position to navigate these conditions and procedures to promote and deliver TWES effectively by recruiting</w:t>
      </w:r>
      <w:r w:rsidR="003520F6" w:rsidRPr="001C5C45">
        <w:t xml:space="preserve"> staff who have the skills to promote the service and sign up eligible prisoners, and build positive relationships with pris</w:t>
      </w:r>
      <w:r w:rsidR="00D51111" w:rsidRPr="001C5C45">
        <w:t xml:space="preserve">ons to work through problems. </w:t>
      </w:r>
    </w:p>
    <w:p w14:paraId="21F0673B" w14:textId="29C44A50" w:rsidR="00892471" w:rsidRDefault="00892471" w:rsidP="00305B4B">
      <w:pPr>
        <w:pStyle w:val="Heading3"/>
        <w:ind w:right="3"/>
      </w:pPr>
      <w:bookmarkStart w:id="75" w:name="_Ref75197101"/>
      <w:r w:rsidRPr="001C5C45">
        <w:t>Why did participants</w:t>
      </w:r>
      <w:r w:rsidRPr="001C5C45">
        <w:rPr>
          <w:spacing w:val="-2"/>
        </w:rPr>
        <w:t xml:space="preserve"> </w:t>
      </w:r>
      <w:r w:rsidRPr="001C5C45">
        <w:t>exit</w:t>
      </w:r>
      <w:r w:rsidRPr="001C5C45">
        <w:rPr>
          <w:spacing w:val="-2"/>
        </w:rPr>
        <w:t xml:space="preserve"> </w:t>
      </w:r>
      <w:r w:rsidRPr="001C5C45">
        <w:t xml:space="preserve">TWES </w:t>
      </w:r>
      <w:r w:rsidR="00EE072A" w:rsidRPr="001C5C45">
        <w:t>early</w:t>
      </w:r>
      <w:r w:rsidRPr="001C5C45">
        <w:t>?</w:t>
      </w:r>
      <w:bookmarkEnd w:id="75"/>
    </w:p>
    <w:p w14:paraId="6A63953C" w14:textId="745CCA59" w:rsidR="004A7973" w:rsidRDefault="004A7973" w:rsidP="004A7973">
      <w:r>
        <w:rPr>
          <w:noProof/>
        </w:rPr>
        <mc:AlternateContent>
          <mc:Choice Requires="wps">
            <w:drawing>
              <wp:inline distT="0" distB="0" distL="0" distR="0" wp14:anchorId="26CBB3D1" wp14:editId="6270EA25">
                <wp:extent cx="6303010" cy="1909482"/>
                <wp:effectExtent l="0" t="0" r="0" b="0"/>
                <wp:docPr id="1623174855" name="Text Box 1623174855"/>
                <wp:cNvGraphicFramePr/>
                <a:graphic xmlns:a="http://schemas.openxmlformats.org/drawingml/2006/main">
                  <a:graphicData uri="http://schemas.microsoft.com/office/word/2010/wordprocessingShape">
                    <wps:wsp>
                      <wps:cNvSpPr txBox="1"/>
                      <wps:spPr>
                        <a:xfrm>
                          <a:off x="0" y="0"/>
                          <a:ext cx="6303010" cy="1909482"/>
                        </a:xfrm>
                        <a:prstGeom prst="rect">
                          <a:avLst/>
                        </a:prstGeom>
                        <a:solidFill>
                          <a:schemeClr val="accent4">
                            <a:lumMod val="20000"/>
                            <a:lumOff val="80000"/>
                          </a:schemeClr>
                        </a:solidFill>
                        <a:ln w="6350">
                          <a:noFill/>
                        </a:ln>
                      </wps:spPr>
                      <wps:txbx>
                        <w:txbxContent>
                          <w:p w14:paraId="3EAD279D" w14:textId="77777777" w:rsidR="004A7973" w:rsidRPr="00E23D5C" w:rsidRDefault="004A7973" w:rsidP="004A7973">
                            <w:pPr>
                              <w:pStyle w:val="BodyText"/>
                              <w:ind w:right="3"/>
                            </w:pPr>
                            <w:r w:rsidRPr="00E23D5C">
                              <w:rPr>
                                <w:b/>
                                <w:bCs/>
                              </w:rPr>
                              <w:t>Key Finding #2:</w:t>
                            </w:r>
                            <w:r w:rsidRPr="00E23D5C">
                              <w:t xml:space="preserve"> Just over half of participants who join TWES do not connect with a post-release employment service provider within 13 weeks of their release. Increasing the number of participants who do connect with post-release employment service providers is challenging under the current model. </w:t>
                            </w:r>
                          </w:p>
                          <w:p w14:paraId="13D58DE6" w14:textId="77777777" w:rsidR="004A7973" w:rsidRDefault="004A7973" w:rsidP="004A7973">
                            <w:pPr>
                              <w:pStyle w:val="BodyText"/>
                              <w:ind w:right="3"/>
                            </w:pPr>
                            <w:r>
                              <w:t xml:space="preserve">Options for </w:t>
                            </w:r>
                            <w:r w:rsidRPr="00E23D5C">
                              <w:t>consideration</w:t>
                            </w:r>
                            <w:r>
                              <w:t>:</w:t>
                            </w:r>
                          </w:p>
                          <w:p w14:paraId="5F3C5D27" w14:textId="02B17E8F" w:rsidR="004A7973" w:rsidRPr="004A7973" w:rsidRDefault="004A7973" w:rsidP="004A7973">
                            <w:pPr>
                              <w:pStyle w:val="Numberedlist"/>
                            </w:pPr>
                            <w:r w:rsidRPr="00E23D5C">
                              <w:t>NIAA and DESE to reconsider the current service design in light of high exit rates, including initiatives that potentially improve completion rates to ensure the program is value for money. (Refer to options for consideration under other Key Findings)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BB3D1" id="Text Box 1623174855" o:spid="_x0000_s1029" type="#_x0000_t202" style="width:496.3pt;height:15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" fillcolor="#f1ede4 [663]" stroked="f" strokeweight=".5pt">
                <v:textbox>
                  <w:txbxContent>
                    <w:p w14:paraId="3EAD279D" w14:textId="77777777" w:rsidR="004A7973" w:rsidRPr="00E23D5C" w:rsidRDefault="004A7973" w:rsidP="004A7973">
                      <w:pPr>
                        <w:pStyle w:val="BodyText"/>
                        <w:ind w:right="3"/>
                      </w:pPr>
                      <w:r w:rsidRPr="00E23D5C">
                        <w:rPr>
                          <w:b/>
                          <w:bCs/>
                        </w:rPr>
                        <w:t>Key Finding #2:</w:t>
                      </w:r>
                      <w:r w:rsidRPr="00E23D5C">
                        <w:t xml:space="preserve"> Just over half of participants who join TWES do not connect with a post-release employment service provider within 13 weeks of their release. Increasing the number of participants who do connect with post-release employment service providers is challenging under the current model. </w:t>
                      </w:r>
                    </w:p>
                    <w:p w14:paraId="13D58DE6" w14:textId="77777777" w:rsidR="004A7973" w:rsidRDefault="004A7973" w:rsidP="004A7973">
                      <w:pPr>
                        <w:pStyle w:val="BodyText"/>
                        <w:ind w:right="3"/>
                      </w:pPr>
                      <w:r>
                        <w:t xml:space="preserve">Options for </w:t>
                      </w:r>
                      <w:r w:rsidRPr="00E23D5C">
                        <w:t>consideration</w:t>
                      </w:r>
                      <w:r>
                        <w:t>:</w:t>
                      </w:r>
                    </w:p>
                    <w:p w14:paraId="5F3C5D27" w14:textId="02B17E8F" w:rsidR="004A7973" w:rsidRPr="004A7973" w:rsidRDefault="004A7973" w:rsidP="004A7973">
                      <w:pPr>
                        <w:pStyle w:val="Numberedlist"/>
                      </w:pPr>
                      <w:r w:rsidRPr="00E23D5C">
                        <w:t xml:space="preserve">NIAA and DESE to reconsider the current service design </w:t>
                      </w:r>
                      <w:proofErr w:type="gramStart"/>
                      <w:r w:rsidRPr="00E23D5C">
                        <w:t>in light of</w:t>
                      </w:r>
                      <w:proofErr w:type="gramEnd"/>
                      <w:r w:rsidRPr="00E23D5C">
                        <w:t xml:space="preserve"> high exit rates, including initiatives that potentially improve completion rates to ensure the program is value for money. (Refer to options for consideration under other Key Findings)</w:t>
                      </w:r>
                    </w:p>
                  </w:txbxContent>
                </v:textbox>
                <w10:anchorlock/>
              </v:shape>
            </w:pict>
          </mc:Fallback>
        </mc:AlternateContent>
      </w:r>
    </w:p>
    <w:p w14:paraId="6A0F6149" w14:textId="77777777" w:rsidR="004A7973" w:rsidRPr="004A7973" w:rsidRDefault="004A7973" w:rsidP="004A7973"/>
    <w:p w14:paraId="05AF1F8B" w14:textId="42CF4B19" w:rsidR="00B073E1" w:rsidRPr="00E23D5C" w:rsidRDefault="00161C62" w:rsidP="00305B4B">
      <w:pPr>
        <w:pStyle w:val="BodyText"/>
        <w:ind w:right="3"/>
      </w:pPr>
      <w:r w:rsidRPr="00E23D5C">
        <w:t xml:space="preserve">TWES aims to improve the quality of Aboriginal and Torres Strait Islander prisoners’ engagement with employment services. </w:t>
      </w:r>
      <w:r w:rsidR="00EB1FCC" w:rsidRPr="00E23D5C">
        <w:t xml:space="preserve">About 44% of </w:t>
      </w:r>
      <w:r w:rsidRPr="00E23D5C">
        <w:t xml:space="preserve">all participants who commence with </w:t>
      </w:r>
      <w:r w:rsidR="002A1B09" w:rsidRPr="00E23D5C">
        <w:t xml:space="preserve">TWES </w:t>
      </w:r>
      <w:r w:rsidR="00EB1FCC" w:rsidRPr="00E23D5C">
        <w:t xml:space="preserve">connect with a post-release employment service provider </w:t>
      </w:r>
      <w:r w:rsidR="004034F8" w:rsidRPr="00E23D5C">
        <w:t>in the 13</w:t>
      </w:r>
      <w:r w:rsidR="00C43D20" w:rsidRPr="00E23D5C">
        <w:t>-</w:t>
      </w:r>
      <w:r w:rsidR="004034F8" w:rsidRPr="00E23D5C">
        <w:t>week period after they leave prison</w:t>
      </w:r>
      <w:r w:rsidR="008F16B6" w:rsidRPr="00E23D5C">
        <w:t xml:space="preserve"> – these participants are reflected on </w:t>
      </w:r>
      <w:r w:rsidR="008F16B6" w:rsidRPr="00E23D5C">
        <w:lastRenderedPageBreak/>
        <w:t xml:space="preserve">the first row in </w:t>
      </w:r>
      <w:r w:rsidR="008F16B6" w:rsidRPr="00E23D5C">
        <w:rPr>
          <w:b/>
          <w:bCs/>
        </w:rPr>
        <w:fldChar w:fldCharType="begin"/>
      </w:r>
      <w:r w:rsidR="008F16B6" w:rsidRPr="00E23D5C">
        <w:rPr>
          <w:b/>
          <w:bCs/>
        </w:rPr>
        <w:instrText xml:space="preserve"> REF _Ref72440272 \h </w:instrText>
      </w:r>
      <w:r w:rsidR="00B5119D" w:rsidRPr="00E23D5C">
        <w:rPr>
          <w:b/>
          <w:bCs/>
        </w:rPr>
        <w:instrText xml:space="preserve"> \* MERGEFORMAT </w:instrText>
      </w:r>
      <w:r w:rsidR="008F16B6" w:rsidRPr="00E23D5C">
        <w:rPr>
          <w:b/>
          <w:bCs/>
        </w:rPr>
      </w:r>
      <w:r w:rsidR="008F16B6" w:rsidRPr="00E23D5C">
        <w:rPr>
          <w:b/>
          <w:bCs/>
        </w:rPr>
        <w:fldChar w:fldCharType="separate"/>
      </w:r>
      <w:r w:rsidR="00E93A98" w:rsidRPr="00E23D5C">
        <w:rPr>
          <w:b/>
          <w:bCs/>
        </w:rPr>
        <w:t>Table 4</w:t>
      </w:r>
      <w:r w:rsidR="008F16B6" w:rsidRPr="00E23D5C">
        <w:rPr>
          <w:b/>
          <w:bCs/>
        </w:rPr>
        <w:fldChar w:fldCharType="end"/>
      </w:r>
      <w:r w:rsidR="004034F8" w:rsidRPr="00E23D5C">
        <w:rPr>
          <w:b/>
          <w:bCs/>
        </w:rPr>
        <w:t>.</w:t>
      </w:r>
      <w:r w:rsidR="004034F8" w:rsidRPr="00E23D5C">
        <w:t xml:space="preserve"> </w:t>
      </w:r>
      <w:r w:rsidR="00B073E1" w:rsidRPr="00E23D5C">
        <w:t>While it was not possible to compare TWES with other in-prison voluntary services, seeing almost half of TWES participants complete the service and connect with post-release employment service providers is a positive outcome in these circumstances.</w:t>
      </w:r>
    </w:p>
    <w:p w14:paraId="0436DEA0" w14:textId="77777777" w:rsidR="00E23D5C" w:rsidRPr="00E23D5C" w:rsidRDefault="00B073E1" w:rsidP="00305B4B">
      <w:pPr>
        <w:pStyle w:val="BodyText"/>
        <w:ind w:right="3"/>
      </w:pPr>
      <w:r w:rsidRPr="00E23D5C">
        <w:t xml:space="preserve">These results mean that </w:t>
      </w:r>
      <w:r w:rsidR="00DB7649" w:rsidRPr="00E23D5C">
        <w:t>56%</w:t>
      </w:r>
      <w:r w:rsidRPr="00E23D5C">
        <w:t xml:space="preserve"> of participants commencing TWES exit the program without commencing with a post-release employment service provider. </w:t>
      </w:r>
      <w:r w:rsidR="000B6331" w:rsidRPr="00E23D5C">
        <w:t xml:space="preserve">Participants exit TWES </w:t>
      </w:r>
      <w:r w:rsidR="00006F57" w:rsidRPr="00E23D5C">
        <w:t xml:space="preserve">early </w:t>
      </w:r>
      <w:r w:rsidR="00871F33" w:rsidRPr="00E23D5C">
        <w:t xml:space="preserve">for a range of reasons, </w:t>
      </w:r>
      <w:r w:rsidR="00DD2CDF" w:rsidRPr="00E23D5C">
        <w:t>many</w:t>
      </w:r>
      <w:r w:rsidR="00871F33" w:rsidRPr="00E23D5C">
        <w:t xml:space="preserve"> of which are </w:t>
      </w:r>
      <w:r w:rsidR="007C74EB" w:rsidRPr="00E23D5C">
        <w:t xml:space="preserve">beyond the control of TWES </w:t>
      </w:r>
      <w:r w:rsidR="00D61836" w:rsidRPr="00E23D5C">
        <w:t xml:space="preserve">providers </w:t>
      </w:r>
      <w:r w:rsidR="007C74EB" w:rsidRPr="00E23D5C">
        <w:t xml:space="preserve">and </w:t>
      </w:r>
      <w:r w:rsidR="00DD2CDF" w:rsidRPr="00E23D5C">
        <w:t xml:space="preserve">even </w:t>
      </w:r>
      <w:r w:rsidR="007C74EB" w:rsidRPr="00E23D5C">
        <w:t xml:space="preserve">participants themselves. </w:t>
      </w:r>
      <w:r w:rsidR="00EB52CB" w:rsidRPr="00E23D5C">
        <w:t>T</w:t>
      </w:r>
      <w:r w:rsidR="00432FE5" w:rsidRPr="00E23D5C">
        <w:t xml:space="preserve">he TWES </w:t>
      </w:r>
      <w:r w:rsidR="0037240A" w:rsidRPr="00E23D5C">
        <w:t>p</w:t>
      </w:r>
      <w:r w:rsidR="00432FE5" w:rsidRPr="00E23D5C">
        <w:t xml:space="preserve">rogram logic identified the continued participation of prisoners as a key assumption </w:t>
      </w:r>
      <w:r w:rsidR="00EB52CB" w:rsidRPr="00E23D5C">
        <w:t>(see</w:t>
      </w:r>
      <w:r w:rsidR="00AB6EA7" w:rsidRPr="00E23D5C">
        <w:t xml:space="preserve"> </w:t>
      </w:r>
      <w:r w:rsidR="00AB6EA7" w:rsidRPr="00E23D5C">
        <w:rPr>
          <w:b/>
          <w:bCs/>
        </w:rPr>
        <w:t xml:space="preserve">Section </w:t>
      </w:r>
      <w:r w:rsidR="00AB6EA7" w:rsidRPr="00E23D5C">
        <w:rPr>
          <w:b/>
          <w:bCs/>
        </w:rPr>
        <w:fldChar w:fldCharType="begin"/>
      </w:r>
      <w:r w:rsidR="00AB6EA7" w:rsidRPr="00E23D5C">
        <w:rPr>
          <w:b/>
          <w:bCs/>
        </w:rPr>
        <w:instrText xml:space="preserve"> REF _Ref75010590 \r \h  \* MERGEFORMAT </w:instrText>
      </w:r>
      <w:r w:rsidR="00AB6EA7" w:rsidRPr="00E23D5C">
        <w:rPr>
          <w:b/>
          <w:bCs/>
        </w:rPr>
      </w:r>
      <w:r w:rsidR="00AB6EA7" w:rsidRPr="00E23D5C">
        <w:rPr>
          <w:b/>
          <w:bCs/>
        </w:rPr>
        <w:fldChar w:fldCharType="separate"/>
      </w:r>
      <w:r w:rsidR="00E93A98" w:rsidRPr="00E23D5C">
        <w:rPr>
          <w:b/>
          <w:bCs/>
        </w:rPr>
        <w:t>3</w:t>
      </w:r>
      <w:r w:rsidR="00AB6EA7" w:rsidRPr="00E23D5C">
        <w:rPr>
          <w:b/>
          <w:bCs/>
        </w:rPr>
        <w:fldChar w:fldCharType="end"/>
      </w:r>
      <w:r w:rsidR="00EB52CB" w:rsidRPr="00E23D5C">
        <w:t>)</w:t>
      </w:r>
      <w:r w:rsidR="00432FE5" w:rsidRPr="00E23D5C">
        <w:t xml:space="preserve">. </w:t>
      </w:r>
      <w:r w:rsidR="00EE7E90" w:rsidRPr="00E23D5C">
        <w:t xml:space="preserve">Administrative </w:t>
      </w:r>
      <w:r w:rsidR="00E43A73" w:rsidRPr="00E23D5C">
        <w:t xml:space="preserve">data </w:t>
      </w:r>
      <w:r w:rsidR="00EE7E90" w:rsidRPr="00E23D5C">
        <w:t xml:space="preserve">(ESS database) </w:t>
      </w:r>
      <w:r w:rsidR="00E43A73" w:rsidRPr="00E23D5C">
        <w:t xml:space="preserve">shows </w:t>
      </w:r>
      <w:r w:rsidR="000114A7" w:rsidRPr="00E23D5C">
        <w:t xml:space="preserve">why </w:t>
      </w:r>
      <w:r w:rsidR="00862177" w:rsidRPr="00E23D5C">
        <w:t>participants</w:t>
      </w:r>
      <w:r w:rsidR="000114A7" w:rsidRPr="00E23D5C">
        <w:t xml:space="preserve"> exit </w:t>
      </w:r>
      <w:r w:rsidR="00862177" w:rsidRPr="00E23D5C">
        <w:t xml:space="preserve">from </w:t>
      </w:r>
      <w:r w:rsidR="000114A7" w:rsidRPr="00E23D5C">
        <w:t>TWES</w:t>
      </w:r>
      <w:r w:rsidR="00862177" w:rsidRPr="00E23D5C">
        <w:t xml:space="preserve"> and the reasons why (</w:t>
      </w:r>
      <w:r w:rsidR="00B5119D" w:rsidRPr="00E23D5C">
        <w:rPr>
          <w:b/>
          <w:bCs/>
        </w:rPr>
        <w:fldChar w:fldCharType="begin"/>
      </w:r>
      <w:r w:rsidR="00B5119D" w:rsidRPr="00E23D5C">
        <w:rPr>
          <w:b/>
          <w:bCs/>
        </w:rPr>
        <w:instrText xml:space="preserve"> REF _Ref72440272 \h  \* MERGEFORMAT </w:instrText>
      </w:r>
      <w:r w:rsidR="00B5119D" w:rsidRPr="00E23D5C">
        <w:rPr>
          <w:b/>
          <w:bCs/>
        </w:rPr>
      </w:r>
      <w:r w:rsidR="00B5119D" w:rsidRPr="00E23D5C">
        <w:rPr>
          <w:b/>
          <w:bCs/>
        </w:rPr>
        <w:fldChar w:fldCharType="separate"/>
      </w:r>
      <w:r w:rsidR="00E93A98" w:rsidRPr="00E23D5C">
        <w:rPr>
          <w:b/>
          <w:bCs/>
        </w:rPr>
        <w:t>Table 4</w:t>
      </w:r>
      <w:r w:rsidR="00B5119D" w:rsidRPr="00E23D5C">
        <w:rPr>
          <w:b/>
          <w:bCs/>
        </w:rPr>
        <w:fldChar w:fldCharType="end"/>
      </w:r>
      <w:r w:rsidR="00862177" w:rsidRPr="00E23D5C">
        <w:t>).</w:t>
      </w:r>
      <w:bookmarkStart w:id="76" w:name="bookmark16"/>
      <w:bookmarkStart w:id="77" w:name="_Ref72440272"/>
      <w:bookmarkEnd w:id="76"/>
    </w:p>
    <w:p w14:paraId="69765F36" w14:textId="7A03F0B9" w:rsidR="00706786" w:rsidRPr="002E2F2F" w:rsidRDefault="00706786" w:rsidP="00D94610">
      <w:pPr>
        <w:pStyle w:val="Caption"/>
      </w:pPr>
      <w:r w:rsidRPr="002E2F2F">
        <w:t xml:space="preserve">Table </w:t>
      </w:r>
      <w:r w:rsidRPr="002E2F2F">
        <w:fldChar w:fldCharType="begin"/>
      </w:r>
      <w:r w:rsidRPr="002E2F2F">
        <w:instrText xml:space="preserve"> SEQ Table \* ARABIC </w:instrText>
      </w:r>
      <w:r w:rsidRPr="002E2F2F">
        <w:fldChar w:fldCharType="separate"/>
      </w:r>
      <w:r w:rsidR="00E93A98" w:rsidRPr="002E2F2F">
        <w:t>4</w:t>
      </w:r>
      <w:r w:rsidRPr="002E2F2F">
        <w:fldChar w:fldCharType="end"/>
      </w:r>
      <w:bookmarkEnd w:id="77"/>
      <w:r w:rsidRPr="002E2F2F">
        <w:t>: TWES participant exit reasons</w:t>
      </w:r>
    </w:p>
    <w:tbl>
      <w:tblPr>
        <w:tblW w:w="9923" w:type="dxa"/>
        <w:tblLayout w:type="fixed"/>
        <w:tblCellMar>
          <w:left w:w="0" w:type="dxa"/>
          <w:right w:w="0" w:type="dxa"/>
        </w:tblCellMar>
        <w:tblLook w:val="0000" w:firstRow="0" w:lastRow="0" w:firstColumn="0" w:lastColumn="0" w:noHBand="0" w:noVBand="0"/>
        <w:tblCaption w:val="TWES participant exit reasons"/>
        <w:tblDescription w:val="A table of TWES participant exit reasons where 44% commenced with post-release employment services after exiting and 56% did not commence with post-release employment services. "/>
      </w:tblPr>
      <w:tblGrid>
        <w:gridCol w:w="5665"/>
        <w:gridCol w:w="2127"/>
        <w:gridCol w:w="2131"/>
      </w:tblGrid>
      <w:tr w:rsidR="00E13A3F" w:rsidRPr="00D46112" w14:paraId="31E760DE" w14:textId="77777777" w:rsidTr="007F09E7">
        <w:trPr>
          <w:trHeight w:val="284"/>
        </w:trPr>
        <w:tc>
          <w:tcPr>
            <w:tcW w:w="5665" w:type="dxa"/>
            <w:tcBorders>
              <w:top w:val="single" w:sz="4" w:space="0" w:color="B1B3AA"/>
              <w:left w:val="single" w:sz="4" w:space="0" w:color="B1B3AA"/>
              <w:bottom w:val="single" w:sz="4" w:space="0" w:color="B1B3AA"/>
              <w:right w:val="single" w:sz="4" w:space="0" w:color="B1B3AA"/>
            </w:tcBorders>
            <w:shd w:val="clear" w:color="auto" w:fill="002C61"/>
            <w:tcMar>
              <w:top w:w="85" w:type="dxa"/>
              <w:left w:w="85" w:type="dxa"/>
              <w:bottom w:w="85" w:type="dxa"/>
              <w:right w:w="85" w:type="dxa"/>
            </w:tcMar>
          </w:tcPr>
          <w:p w14:paraId="7ED79711" w14:textId="25E80EE3" w:rsidR="00E13A3F" w:rsidRPr="00D46112" w:rsidRDefault="00E13A3F" w:rsidP="00D94610">
            <w:pPr>
              <w:pStyle w:val="TableHeading"/>
            </w:pPr>
            <w:r w:rsidRPr="00D46112">
              <w:t>Exit reason</w:t>
            </w:r>
          </w:p>
        </w:tc>
        <w:tc>
          <w:tcPr>
            <w:tcW w:w="2127" w:type="dxa"/>
            <w:tcBorders>
              <w:top w:val="single" w:sz="4" w:space="0" w:color="B1B3AA"/>
              <w:left w:val="single" w:sz="4" w:space="0" w:color="B1B3AA"/>
              <w:bottom w:val="single" w:sz="4" w:space="0" w:color="B1B3AA"/>
              <w:right w:val="single" w:sz="4" w:space="0" w:color="B1B3AA"/>
            </w:tcBorders>
            <w:shd w:val="clear" w:color="auto" w:fill="002C61"/>
            <w:tcMar>
              <w:top w:w="85" w:type="dxa"/>
              <w:left w:w="85" w:type="dxa"/>
              <w:bottom w:w="85" w:type="dxa"/>
              <w:right w:w="85" w:type="dxa"/>
            </w:tcMar>
          </w:tcPr>
          <w:p w14:paraId="25F6EC44" w14:textId="41CA2CBF" w:rsidR="00E13A3F" w:rsidRPr="00D46112" w:rsidRDefault="00E13A3F" w:rsidP="00D94610">
            <w:pPr>
              <w:pStyle w:val="TableHeading"/>
            </w:pPr>
            <w:r w:rsidRPr="00D46112">
              <w:t>Number of participants</w:t>
            </w:r>
          </w:p>
        </w:tc>
        <w:tc>
          <w:tcPr>
            <w:tcW w:w="2131" w:type="dxa"/>
            <w:tcBorders>
              <w:top w:val="single" w:sz="4" w:space="0" w:color="B1B3AA"/>
              <w:left w:val="single" w:sz="4" w:space="0" w:color="B1B3AA"/>
              <w:bottom w:val="single" w:sz="4" w:space="0" w:color="B1B3AA"/>
              <w:right w:val="single" w:sz="4" w:space="0" w:color="B1B3AA"/>
            </w:tcBorders>
            <w:shd w:val="clear" w:color="auto" w:fill="002C61"/>
            <w:tcMar>
              <w:top w:w="85" w:type="dxa"/>
              <w:left w:w="85" w:type="dxa"/>
              <w:bottom w:w="85" w:type="dxa"/>
              <w:right w:w="85" w:type="dxa"/>
            </w:tcMar>
          </w:tcPr>
          <w:p w14:paraId="09EF06DF" w14:textId="10D0BC0E" w:rsidR="00E13A3F" w:rsidRPr="00D46112" w:rsidRDefault="00E13A3F" w:rsidP="00D94610">
            <w:pPr>
              <w:pStyle w:val="TableHeading"/>
            </w:pPr>
            <w:r w:rsidRPr="00D46112">
              <w:t xml:space="preserve">Percentage </w:t>
            </w:r>
            <w:r w:rsidR="00D94610">
              <w:br/>
            </w:r>
            <w:r w:rsidRPr="00D46112">
              <w:t>of</w:t>
            </w:r>
            <w:r w:rsidRPr="00D46112">
              <w:rPr>
                <w:spacing w:val="-2"/>
              </w:rPr>
              <w:t xml:space="preserve"> </w:t>
            </w:r>
            <w:r w:rsidRPr="00D46112">
              <w:t>total exits</w:t>
            </w:r>
          </w:p>
        </w:tc>
      </w:tr>
      <w:tr w:rsidR="00E13A3F" w:rsidRPr="00D46112" w14:paraId="1346A75B" w14:textId="77777777" w:rsidTr="00E06C4B">
        <w:trPr>
          <w:trHeight w:val="57"/>
        </w:trPr>
        <w:tc>
          <w:tcPr>
            <w:tcW w:w="5665" w:type="dxa"/>
            <w:tcBorders>
              <w:top w:val="single" w:sz="4" w:space="0" w:color="B1B3AA"/>
              <w:left w:val="single" w:sz="4" w:space="0" w:color="B1B3AA"/>
              <w:bottom w:val="single" w:sz="4" w:space="0" w:color="B1B3AA"/>
              <w:right w:val="single" w:sz="4" w:space="0" w:color="B1B3AA"/>
            </w:tcBorders>
            <w:shd w:val="clear" w:color="auto" w:fill="DDF0FA" w:themeFill="accent3" w:themeFillTint="33"/>
            <w:noWrap/>
            <w:tcMar>
              <w:top w:w="85" w:type="dxa"/>
              <w:left w:w="85" w:type="dxa"/>
              <w:bottom w:w="85" w:type="dxa"/>
              <w:right w:w="85" w:type="dxa"/>
            </w:tcMar>
          </w:tcPr>
          <w:p w14:paraId="147C05E9" w14:textId="6C794A39" w:rsidR="00E13A3F" w:rsidRPr="007F09E7" w:rsidRDefault="00E13A3F" w:rsidP="007F09E7">
            <w:pPr>
              <w:pStyle w:val="TableParagraph"/>
              <w:rPr>
                <w:b/>
                <w:bCs/>
              </w:rPr>
            </w:pPr>
            <w:r w:rsidRPr="007F09E7">
              <w:rPr>
                <w:b/>
                <w:bCs/>
              </w:rPr>
              <w:t>Participant</w:t>
            </w:r>
            <w:r w:rsidR="008F16B6" w:rsidRPr="007F09E7">
              <w:rPr>
                <w:b/>
                <w:bCs/>
              </w:rPr>
              <w:t xml:space="preserve"> commence</w:t>
            </w:r>
            <w:r w:rsidR="00377274" w:rsidRPr="007F09E7">
              <w:rPr>
                <w:b/>
                <w:bCs/>
              </w:rPr>
              <w:t>d</w:t>
            </w:r>
            <w:r w:rsidR="008F16B6" w:rsidRPr="007F09E7">
              <w:rPr>
                <w:b/>
                <w:bCs/>
              </w:rPr>
              <w:t xml:space="preserve"> with </w:t>
            </w:r>
            <w:r w:rsidRPr="007F09E7">
              <w:rPr>
                <w:b/>
                <w:bCs/>
              </w:rPr>
              <w:t>post-release employment service</w:t>
            </w:r>
            <w:r w:rsidR="00414669" w:rsidRPr="007F09E7">
              <w:rPr>
                <w:b/>
                <w:bCs/>
              </w:rPr>
              <w:t>s</w:t>
            </w:r>
            <w:r w:rsidR="00D6747A" w:rsidRPr="007F09E7">
              <w:rPr>
                <w:b/>
                <w:bCs/>
              </w:rPr>
              <w:t xml:space="preserve"> after exiting TWES</w:t>
            </w:r>
            <w:r w:rsidRPr="007F09E7">
              <w:rPr>
                <w:b/>
                <w:bCs/>
              </w:rPr>
              <w:t xml:space="preserve">* </w:t>
            </w:r>
          </w:p>
        </w:tc>
        <w:tc>
          <w:tcPr>
            <w:tcW w:w="2127" w:type="dxa"/>
            <w:tcBorders>
              <w:top w:val="single" w:sz="4" w:space="0" w:color="B1B3AA"/>
              <w:left w:val="single" w:sz="4" w:space="0" w:color="B1B3AA"/>
              <w:bottom w:val="single" w:sz="4" w:space="0" w:color="B1B3AA"/>
              <w:right w:val="single" w:sz="4" w:space="0" w:color="B1B3AA"/>
            </w:tcBorders>
            <w:shd w:val="clear" w:color="auto" w:fill="DDF0FA" w:themeFill="accent3" w:themeFillTint="33"/>
            <w:noWrap/>
            <w:tcMar>
              <w:top w:w="85" w:type="dxa"/>
              <w:left w:w="85" w:type="dxa"/>
              <w:bottom w:w="85" w:type="dxa"/>
              <w:right w:w="85" w:type="dxa"/>
            </w:tcMar>
          </w:tcPr>
          <w:p w14:paraId="74FB6647" w14:textId="01FE174E" w:rsidR="00E13A3F" w:rsidRPr="007F09E7" w:rsidRDefault="00E13A3F" w:rsidP="007F09E7">
            <w:pPr>
              <w:pStyle w:val="TableParagraph"/>
              <w:rPr>
                <w:b/>
                <w:bCs/>
              </w:rPr>
            </w:pPr>
            <w:r w:rsidRPr="007F09E7">
              <w:rPr>
                <w:b/>
                <w:bCs/>
              </w:rPr>
              <w:t>1,446</w:t>
            </w:r>
          </w:p>
        </w:tc>
        <w:tc>
          <w:tcPr>
            <w:tcW w:w="2131" w:type="dxa"/>
            <w:tcBorders>
              <w:top w:val="single" w:sz="4" w:space="0" w:color="B1B3AA"/>
              <w:left w:val="single" w:sz="4" w:space="0" w:color="B1B3AA"/>
              <w:bottom w:val="single" w:sz="4" w:space="0" w:color="B1B3AA"/>
              <w:right w:val="single" w:sz="4" w:space="0" w:color="B1B3AA"/>
            </w:tcBorders>
            <w:shd w:val="clear" w:color="auto" w:fill="DDF0FA" w:themeFill="accent3" w:themeFillTint="33"/>
            <w:noWrap/>
            <w:tcMar>
              <w:top w:w="85" w:type="dxa"/>
              <w:left w:w="85" w:type="dxa"/>
              <w:bottom w:w="85" w:type="dxa"/>
              <w:right w:w="85" w:type="dxa"/>
            </w:tcMar>
          </w:tcPr>
          <w:p w14:paraId="7EF4E01D" w14:textId="20A2F1C6" w:rsidR="00E13A3F" w:rsidRPr="007F09E7" w:rsidRDefault="00E13A3F" w:rsidP="007F09E7">
            <w:pPr>
              <w:pStyle w:val="TableParagraph"/>
              <w:rPr>
                <w:b/>
                <w:bCs/>
              </w:rPr>
            </w:pPr>
            <w:r w:rsidRPr="007F09E7">
              <w:rPr>
                <w:b/>
                <w:bCs/>
              </w:rPr>
              <w:t>44%</w:t>
            </w:r>
          </w:p>
        </w:tc>
      </w:tr>
      <w:tr w:rsidR="00414669" w:rsidRPr="00D46112" w14:paraId="186BD449" w14:textId="77777777" w:rsidTr="00E06C4B">
        <w:trPr>
          <w:trHeight w:val="57"/>
        </w:trPr>
        <w:tc>
          <w:tcPr>
            <w:tcW w:w="5665" w:type="dxa"/>
            <w:tcBorders>
              <w:top w:val="single" w:sz="4" w:space="0" w:color="B1B3AA"/>
              <w:left w:val="single" w:sz="4" w:space="0" w:color="B1B3AA"/>
              <w:bottom w:val="single" w:sz="4" w:space="0" w:color="B1B3AA"/>
              <w:right w:val="single" w:sz="4" w:space="0" w:color="B1B3AA"/>
            </w:tcBorders>
            <w:shd w:val="clear" w:color="auto" w:fill="DDF0FA" w:themeFill="accent3" w:themeFillTint="33"/>
            <w:noWrap/>
            <w:tcMar>
              <w:top w:w="85" w:type="dxa"/>
              <w:left w:w="85" w:type="dxa"/>
              <w:bottom w:w="85" w:type="dxa"/>
              <w:right w:w="85" w:type="dxa"/>
            </w:tcMar>
          </w:tcPr>
          <w:p w14:paraId="5C11B9B6" w14:textId="7B1BF1E2" w:rsidR="00414669" w:rsidRPr="007F09E7" w:rsidRDefault="00414669" w:rsidP="007F09E7">
            <w:pPr>
              <w:pStyle w:val="TableParagraph"/>
              <w:rPr>
                <w:b/>
                <w:bCs/>
              </w:rPr>
            </w:pPr>
            <w:r w:rsidRPr="007F09E7">
              <w:rPr>
                <w:b/>
                <w:bCs/>
              </w:rPr>
              <w:t>Participant d</w:t>
            </w:r>
            <w:r w:rsidR="00377274" w:rsidRPr="007F09E7">
              <w:rPr>
                <w:b/>
                <w:bCs/>
              </w:rPr>
              <w:t>id</w:t>
            </w:r>
            <w:r w:rsidRPr="007F09E7">
              <w:rPr>
                <w:b/>
                <w:bCs/>
              </w:rPr>
              <w:t xml:space="preserve"> not commence with post-release employment services</w:t>
            </w:r>
            <w:r w:rsidR="00D6747A" w:rsidRPr="007F09E7">
              <w:rPr>
                <w:b/>
                <w:bCs/>
              </w:rPr>
              <w:t xml:space="preserve"> after exiting TWES</w:t>
            </w:r>
            <w:r w:rsidR="00555020" w:rsidRPr="007F09E7">
              <w:rPr>
                <w:b/>
                <w:bCs/>
              </w:rPr>
              <w:t>, of which:</w:t>
            </w:r>
          </w:p>
        </w:tc>
        <w:tc>
          <w:tcPr>
            <w:tcW w:w="2127" w:type="dxa"/>
            <w:tcBorders>
              <w:top w:val="single" w:sz="4" w:space="0" w:color="B1B3AA"/>
              <w:left w:val="single" w:sz="4" w:space="0" w:color="B1B3AA"/>
              <w:bottom w:val="single" w:sz="4" w:space="0" w:color="B1B3AA"/>
              <w:right w:val="single" w:sz="4" w:space="0" w:color="B1B3AA"/>
            </w:tcBorders>
            <w:shd w:val="clear" w:color="auto" w:fill="DDF0FA" w:themeFill="accent3" w:themeFillTint="33"/>
            <w:noWrap/>
            <w:tcMar>
              <w:top w:w="85" w:type="dxa"/>
              <w:left w:w="85" w:type="dxa"/>
              <w:bottom w:w="85" w:type="dxa"/>
              <w:right w:w="85" w:type="dxa"/>
            </w:tcMar>
          </w:tcPr>
          <w:p w14:paraId="2F0E522F" w14:textId="72A68BC4" w:rsidR="00414669" w:rsidRPr="007F09E7" w:rsidRDefault="00555020" w:rsidP="007F09E7">
            <w:pPr>
              <w:pStyle w:val="TableParagraph"/>
              <w:rPr>
                <w:b/>
                <w:bCs/>
              </w:rPr>
            </w:pPr>
            <w:r w:rsidRPr="007F09E7">
              <w:rPr>
                <w:b/>
                <w:bCs/>
              </w:rPr>
              <w:t>1,870</w:t>
            </w:r>
          </w:p>
        </w:tc>
        <w:tc>
          <w:tcPr>
            <w:tcW w:w="2131" w:type="dxa"/>
            <w:tcBorders>
              <w:top w:val="single" w:sz="4" w:space="0" w:color="B1B3AA"/>
              <w:left w:val="single" w:sz="4" w:space="0" w:color="B1B3AA"/>
              <w:bottom w:val="single" w:sz="4" w:space="0" w:color="B1B3AA"/>
              <w:right w:val="single" w:sz="4" w:space="0" w:color="B1B3AA"/>
            </w:tcBorders>
            <w:shd w:val="clear" w:color="auto" w:fill="DDF0FA" w:themeFill="accent3" w:themeFillTint="33"/>
            <w:noWrap/>
            <w:tcMar>
              <w:top w:w="85" w:type="dxa"/>
              <w:left w:w="85" w:type="dxa"/>
              <w:bottom w:w="85" w:type="dxa"/>
              <w:right w:w="85" w:type="dxa"/>
            </w:tcMar>
          </w:tcPr>
          <w:p w14:paraId="5373B176" w14:textId="21E2A6C7" w:rsidR="00414669" w:rsidRPr="007F09E7" w:rsidRDefault="00555020" w:rsidP="007F09E7">
            <w:pPr>
              <w:pStyle w:val="TableParagraph"/>
              <w:rPr>
                <w:b/>
                <w:bCs/>
              </w:rPr>
            </w:pPr>
            <w:r w:rsidRPr="007F09E7">
              <w:rPr>
                <w:b/>
                <w:bCs/>
              </w:rPr>
              <w:t>56%</w:t>
            </w:r>
          </w:p>
        </w:tc>
      </w:tr>
      <w:tr w:rsidR="00E13A3F" w:rsidRPr="00D46112" w14:paraId="586D89C9" w14:textId="77777777" w:rsidTr="007F09E7">
        <w:trPr>
          <w:trHeight w:val="57"/>
        </w:trPr>
        <w:tc>
          <w:tcPr>
            <w:tcW w:w="5665"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58D80884" w14:textId="016B2172" w:rsidR="00E13A3F" w:rsidRPr="007F09E7" w:rsidRDefault="00E13A3F" w:rsidP="007F09E7">
            <w:pPr>
              <w:pStyle w:val="TableParagraph"/>
              <w:rPr>
                <w:b/>
                <w:bCs/>
              </w:rPr>
            </w:pPr>
            <w:r w:rsidRPr="007F09E7">
              <w:rPr>
                <w:b/>
                <w:bCs/>
              </w:rPr>
              <w:t>Participant not connected with post-release ESP</w:t>
            </w:r>
          </w:p>
        </w:tc>
        <w:tc>
          <w:tcPr>
            <w:tcW w:w="2127"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72CB8B96" w14:textId="67721E0E" w:rsidR="00E13A3F" w:rsidRPr="007F09E7" w:rsidRDefault="00E13A3F" w:rsidP="007F09E7">
            <w:pPr>
              <w:pStyle w:val="TableParagraph"/>
              <w:rPr>
                <w:b/>
                <w:bCs/>
              </w:rPr>
            </w:pPr>
            <w:r w:rsidRPr="007F09E7">
              <w:rPr>
                <w:b/>
                <w:bCs/>
              </w:rPr>
              <w:t>720</w:t>
            </w:r>
          </w:p>
        </w:tc>
        <w:tc>
          <w:tcPr>
            <w:tcW w:w="2131"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05B6FF51" w14:textId="0DD7FBD3" w:rsidR="00E13A3F" w:rsidRPr="007F09E7" w:rsidRDefault="00E13A3F" w:rsidP="007F09E7">
            <w:pPr>
              <w:pStyle w:val="TableParagraph"/>
              <w:rPr>
                <w:b/>
                <w:bCs/>
              </w:rPr>
            </w:pPr>
            <w:r w:rsidRPr="007F09E7">
              <w:rPr>
                <w:b/>
                <w:bCs/>
              </w:rPr>
              <w:t>22%</w:t>
            </w:r>
          </w:p>
        </w:tc>
      </w:tr>
      <w:tr w:rsidR="00C65691" w:rsidRPr="00D46112" w14:paraId="3D161F43" w14:textId="77777777" w:rsidTr="007F09E7">
        <w:trPr>
          <w:trHeight w:hRule="exact" w:val="425"/>
        </w:trPr>
        <w:tc>
          <w:tcPr>
            <w:tcW w:w="5665"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1810FE76" w14:textId="567AFD00" w:rsidR="00C65691" w:rsidRPr="007F09E7" w:rsidRDefault="00C65691" w:rsidP="007F09E7">
            <w:pPr>
              <w:pStyle w:val="TableParagraph"/>
              <w:rPr>
                <w:b/>
                <w:bCs/>
              </w:rPr>
            </w:pPr>
            <w:r w:rsidRPr="007F09E7">
              <w:rPr>
                <w:b/>
                <w:bCs/>
              </w:rPr>
              <w:t>Participant exit</w:t>
            </w:r>
            <w:r w:rsidR="00976DAF" w:rsidRPr="007F09E7">
              <w:rPr>
                <w:b/>
                <w:bCs/>
              </w:rPr>
              <w:t>ed early</w:t>
            </w:r>
            <w:r w:rsidRPr="007F09E7">
              <w:rPr>
                <w:b/>
                <w:bCs/>
              </w:rPr>
              <w:t xml:space="preserve"> because they disengaged from the service</w:t>
            </w:r>
          </w:p>
        </w:tc>
        <w:tc>
          <w:tcPr>
            <w:tcW w:w="2127"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5EFEC2DE" w14:textId="71298E9A" w:rsidR="00C65691" w:rsidRPr="007F09E7" w:rsidRDefault="00C65691" w:rsidP="007F09E7">
            <w:pPr>
              <w:pStyle w:val="TableParagraph"/>
              <w:rPr>
                <w:b/>
                <w:bCs/>
              </w:rPr>
            </w:pPr>
            <w:r w:rsidRPr="007F09E7">
              <w:rPr>
                <w:b/>
                <w:bCs/>
              </w:rPr>
              <w:t>388</w:t>
            </w:r>
          </w:p>
        </w:tc>
        <w:tc>
          <w:tcPr>
            <w:tcW w:w="2131"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6E869BDB" w14:textId="62508F2C" w:rsidR="00C65691" w:rsidRPr="007F09E7" w:rsidRDefault="00C65691" w:rsidP="007F09E7">
            <w:pPr>
              <w:pStyle w:val="TableParagraph"/>
              <w:rPr>
                <w:b/>
                <w:bCs/>
              </w:rPr>
            </w:pPr>
            <w:r w:rsidRPr="007F09E7">
              <w:rPr>
                <w:b/>
                <w:bCs/>
              </w:rPr>
              <w:t>12%</w:t>
            </w:r>
          </w:p>
        </w:tc>
      </w:tr>
      <w:tr w:rsidR="00C65691" w:rsidRPr="00D46112" w14:paraId="62DCA2D0" w14:textId="77777777" w:rsidTr="007F09E7">
        <w:trPr>
          <w:trHeight w:val="57"/>
        </w:trPr>
        <w:tc>
          <w:tcPr>
            <w:tcW w:w="5665"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7C99EAB9" w14:textId="4791741C" w:rsidR="00C65691" w:rsidRPr="007F09E7" w:rsidRDefault="00C65691" w:rsidP="007F09E7">
            <w:pPr>
              <w:pStyle w:val="TableParagraph"/>
              <w:rPr>
                <w:i/>
                <w:iCs/>
              </w:rPr>
            </w:pPr>
            <w:r w:rsidRPr="007F09E7">
              <w:rPr>
                <w:i/>
                <w:iCs/>
              </w:rPr>
              <w:t>Participant not participating, not contactable</w:t>
            </w:r>
          </w:p>
        </w:tc>
        <w:tc>
          <w:tcPr>
            <w:tcW w:w="2127"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37CEBE68" w14:textId="322029F1" w:rsidR="00C65691" w:rsidRPr="00D94610" w:rsidRDefault="00C65691" w:rsidP="007F09E7">
            <w:pPr>
              <w:pStyle w:val="TableParagraph"/>
            </w:pPr>
            <w:r w:rsidRPr="00D94610">
              <w:t>331</w:t>
            </w:r>
          </w:p>
        </w:tc>
        <w:tc>
          <w:tcPr>
            <w:tcW w:w="2131"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116B77B9" w14:textId="16F5DF3D" w:rsidR="00C65691" w:rsidRPr="00D94610" w:rsidRDefault="00C65691" w:rsidP="007F09E7">
            <w:pPr>
              <w:pStyle w:val="TableParagraph"/>
            </w:pPr>
            <w:r w:rsidRPr="00D94610">
              <w:t>10%</w:t>
            </w:r>
          </w:p>
        </w:tc>
      </w:tr>
      <w:tr w:rsidR="00C65691" w:rsidRPr="00D46112" w14:paraId="0016413C" w14:textId="77777777" w:rsidTr="007F09E7">
        <w:trPr>
          <w:trHeight w:val="57"/>
        </w:trPr>
        <w:tc>
          <w:tcPr>
            <w:tcW w:w="5665"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03BBD92F" w14:textId="7181F515" w:rsidR="00C65691" w:rsidRPr="007F09E7" w:rsidRDefault="00C65691" w:rsidP="007F09E7">
            <w:pPr>
              <w:pStyle w:val="TableParagraph"/>
              <w:rPr>
                <w:i/>
                <w:iCs/>
              </w:rPr>
            </w:pPr>
            <w:r w:rsidRPr="007F09E7">
              <w:rPr>
                <w:i/>
                <w:iCs/>
              </w:rPr>
              <w:t>Participant requests exit</w:t>
            </w:r>
          </w:p>
        </w:tc>
        <w:tc>
          <w:tcPr>
            <w:tcW w:w="2127"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5887A4E5" w14:textId="21A4233D" w:rsidR="00C65691" w:rsidRPr="00D94610" w:rsidRDefault="00C65691" w:rsidP="007F09E7">
            <w:pPr>
              <w:pStyle w:val="TableParagraph"/>
            </w:pPr>
            <w:r w:rsidRPr="00D94610">
              <w:t>50</w:t>
            </w:r>
          </w:p>
        </w:tc>
        <w:tc>
          <w:tcPr>
            <w:tcW w:w="2131"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66CDCBF4" w14:textId="30E89156" w:rsidR="00C65691" w:rsidRPr="00D94610" w:rsidRDefault="00C65691" w:rsidP="007F09E7">
            <w:pPr>
              <w:pStyle w:val="TableParagraph"/>
            </w:pPr>
            <w:r w:rsidRPr="00D94610">
              <w:t>2%</w:t>
            </w:r>
          </w:p>
        </w:tc>
      </w:tr>
      <w:tr w:rsidR="00C65691" w:rsidRPr="00D46112" w14:paraId="602D11F6" w14:textId="77777777" w:rsidTr="007F09E7">
        <w:trPr>
          <w:trHeight w:val="57"/>
        </w:trPr>
        <w:tc>
          <w:tcPr>
            <w:tcW w:w="5665"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267A740C" w14:textId="651C503B" w:rsidR="00C65691" w:rsidRPr="007F09E7" w:rsidRDefault="00C65691" w:rsidP="007F09E7">
            <w:pPr>
              <w:pStyle w:val="TableParagraph"/>
              <w:rPr>
                <w:i/>
                <w:iCs/>
              </w:rPr>
            </w:pPr>
            <w:r w:rsidRPr="007F09E7">
              <w:rPr>
                <w:i/>
                <w:iCs/>
              </w:rPr>
              <w:t>Participant is not compliant</w:t>
            </w:r>
          </w:p>
        </w:tc>
        <w:tc>
          <w:tcPr>
            <w:tcW w:w="2127"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42C2A688" w14:textId="0A3EC5EC" w:rsidR="00C65691" w:rsidRPr="00D94610" w:rsidRDefault="00C65691" w:rsidP="007F09E7">
            <w:pPr>
              <w:pStyle w:val="TableParagraph"/>
            </w:pPr>
            <w:r w:rsidRPr="00D94610">
              <w:t>7</w:t>
            </w:r>
          </w:p>
        </w:tc>
        <w:tc>
          <w:tcPr>
            <w:tcW w:w="2131"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407B95C2" w14:textId="253BA416" w:rsidR="00C65691" w:rsidRPr="00D94610" w:rsidRDefault="00C65691" w:rsidP="007F09E7">
            <w:pPr>
              <w:pStyle w:val="TableParagraph"/>
            </w:pPr>
            <w:r w:rsidRPr="00D94610">
              <w:t>0%</w:t>
            </w:r>
          </w:p>
        </w:tc>
      </w:tr>
      <w:tr w:rsidR="00C65691" w:rsidRPr="00D46112" w14:paraId="6DF1A56A" w14:textId="77777777" w:rsidTr="007F09E7">
        <w:trPr>
          <w:trHeight w:val="57"/>
        </w:trPr>
        <w:tc>
          <w:tcPr>
            <w:tcW w:w="5665"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395E575A" w14:textId="076C1E36" w:rsidR="00C65691" w:rsidRPr="007F09E7" w:rsidRDefault="00C65691" w:rsidP="007F09E7">
            <w:pPr>
              <w:pStyle w:val="TableParagraph"/>
              <w:rPr>
                <w:b/>
                <w:bCs/>
              </w:rPr>
            </w:pPr>
            <w:r w:rsidRPr="007F09E7">
              <w:rPr>
                <w:b/>
                <w:bCs/>
              </w:rPr>
              <w:t xml:space="preserve">Participant exited </w:t>
            </w:r>
            <w:r w:rsidR="00976DAF" w:rsidRPr="007F09E7">
              <w:rPr>
                <w:b/>
                <w:bCs/>
              </w:rPr>
              <w:t xml:space="preserve">early </w:t>
            </w:r>
            <w:r w:rsidRPr="007F09E7">
              <w:rPr>
                <w:b/>
                <w:bCs/>
              </w:rPr>
              <w:t>because the terms of their sentence changed</w:t>
            </w:r>
          </w:p>
        </w:tc>
        <w:tc>
          <w:tcPr>
            <w:tcW w:w="2127"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73C748D7" w14:textId="15269539" w:rsidR="00C65691" w:rsidRPr="007F09E7" w:rsidRDefault="00C65691" w:rsidP="007F09E7">
            <w:pPr>
              <w:pStyle w:val="TableParagraph"/>
              <w:rPr>
                <w:b/>
                <w:bCs/>
              </w:rPr>
            </w:pPr>
            <w:r w:rsidRPr="007F09E7">
              <w:rPr>
                <w:b/>
                <w:bCs/>
              </w:rPr>
              <w:t>203</w:t>
            </w:r>
          </w:p>
        </w:tc>
        <w:tc>
          <w:tcPr>
            <w:tcW w:w="2131"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3F424F86" w14:textId="5D8D25C0" w:rsidR="00C65691" w:rsidRPr="007F09E7" w:rsidRDefault="00C65691" w:rsidP="007F09E7">
            <w:pPr>
              <w:pStyle w:val="TableParagraph"/>
              <w:rPr>
                <w:b/>
                <w:bCs/>
              </w:rPr>
            </w:pPr>
            <w:r w:rsidRPr="007F09E7">
              <w:rPr>
                <w:b/>
                <w:bCs/>
              </w:rPr>
              <w:t>6%</w:t>
            </w:r>
          </w:p>
        </w:tc>
      </w:tr>
      <w:tr w:rsidR="00C65691" w:rsidRPr="00D46112" w14:paraId="653D0D2F" w14:textId="77777777" w:rsidTr="007F09E7">
        <w:trPr>
          <w:trHeight w:val="57"/>
        </w:trPr>
        <w:tc>
          <w:tcPr>
            <w:tcW w:w="5665"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617060AC" w14:textId="5932FF93" w:rsidR="00C65691" w:rsidRPr="007F09E7" w:rsidRDefault="00C65691" w:rsidP="007F09E7">
            <w:pPr>
              <w:pStyle w:val="TableParagraph"/>
              <w:rPr>
                <w:i/>
                <w:iCs/>
              </w:rPr>
            </w:pPr>
            <w:r w:rsidRPr="007F09E7">
              <w:rPr>
                <w:i/>
                <w:iCs/>
              </w:rPr>
              <w:t>Participant transferred to another prison</w:t>
            </w:r>
          </w:p>
        </w:tc>
        <w:tc>
          <w:tcPr>
            <w:tcW w:w="2127"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4F161E21" w14:textId="1685F867" w:rsidR="00C65691" w:rsidRPr="00D94610" w:rsidRDefault="00C65691" w:rsidP="007F09E7">
            <w:pPr>
              <w:pStyle w:val="TableParagraph"/>
            </w:pPr>
            <w:r w:rsidRPr="00D94610">
              <w:t>94</w:t>
            </w:r>
          </w:p>
        </w:tc>
        <w:tc>
          <w:tcPr>
            <w:tcW w:w="2131"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1E8EBEDE" w14:textId="2C974370" w:rsidR="00C65691" w:rsidRPr="00D94610" w:rsidRDefault="00C65691" w:rsidP="007F09E7">
            <w:pPr>
              <w:pStyle w:val="TableParagraph"/>
            </w:pPr>
            <w:r w:rsidRPr="00D94610">
              <w:t>3%</w:t>
            </w:r>
          </w:p>
        </w:tc>
      </w:tr>
      <w:tr w:rsidR="00C65691" w:rsidRPr="00D46112" w14:paraId="77B10E4E" w14:textId="77777777" w:rsidTr="007F09E7">
        <w:trPr>
          <w:trHeight w:val="57"/>
        </w:trPr>
        <w:tc>
          <w:tcPr>
            <w:tcW w:w="5665"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700A149B" w14:textId="5A22C481" w:rsidR="00C65691" w:rsidRPr="007F09E7" w:rsidRDefault="00C65691" w:rsidP="007F09E7">
            <w:pPr>
              <w:pStyle w:val="TableParagraph"/>
              <w:rPr>
                <w:i/>
                <w:iCs/>
              </w:rPr>
            </w:pPr>
            <w:r w:rsidRPr="007F09E7">
              <w:rPr>
                <w:i/>
                <w:iCs/>
              </w:rPr>
              <w:t>Exit due to no longer eligible for release</w:t>
            </w:r>
          </w:p>
        </w:tc>
        <w:tc>
          <w:tcPr>
            <w:tcW w:w="2127"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2A5FD2B0" w14:textId="69925AB7" w:rsidR="00C65691" w:rsidRPr="00D94610" w:rsidRDefault="00C65691" w:rsidP="007F09E7">
            <w:pPr>
              <w:pStyle w:val="TableParagraph"/>
            </w:pPr>
            <w:r w:rsidRPr="00D94610">
              <w:t>109</w:t>
            </w:r>
          </w:p>
        </w:tc>
        <w:tc>
          <w:tcPr>
            <w:tcW w:w="2131"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39226608" w14:textId="2EAF0775" w:rsidR="00C65691" w:rsidRPr="00D94610" w:rsidRDefault="00C65691" w:rsidP="007F09E7">
            <w:pPr>
              <w:pStyle w:val="TableParagraph"/>
            </w:pPr>
            <w:r w:rsidRPr="00D94610">
              <w:t>3%</w:t>
            </w:r>
          </w:p>
        </w:tc>
      </w:tr>
      <w:tr w:rsidR="00C65691" w:rsidRPr="00D46112" w14:paraId="5F23553F" w14:textId="77777777" w:rsidTr="007F09E7">
        <w:trPr>
          <w:trHeight w:val="57"/>
        </w:trPr>
        <w:tc>
          <w:tcPr>
            <w:tcW w:w="5665"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2C6EF952" w14:textId="5D5E18C7" w:rsidR="00C65691" w:rsidRPr="007F09E7" w:rsidRDefault="00C65691" w:rsidP="007F09E7">
            <w:pPr>
              <w:pStyle w:val="TableParagraph"/>
              <w:rPr>
                <w:b/>
                <w:bCs/>
              </w:rPr>
            </w:pPr>
            <w:r w:rsidRPr="007F09E7">
              <w:rPr>
                <w:b/>
                <w:bCs/>
              </w:rPr>
              <w:t>Participant not eligible for / have exemption from employment services</w:t>
            </w:r>
          </w:p>
        </w:tc>
        <w:tc>
          <w:tcPr>
            <w:tcW w:w="2127"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385F927C" w14:textId="7E717A1A" w:rsidR="00C65691" w:rsidRPr="007F09E7" w:rsidRDefault="00C65691" w:rsidP="007F09E7">
            <w:pPr>
              <w:pStyle w:val="TableParagraph"/>
              <w:rPr>
                <w:b/>
                <w:bCs/>
              </w:rPr>
            </w:pPr>
            <w:r w:rsidRPr="007F09E7">
              <w:rPr>
                <w:b/>
                <w:bCs/>
              </w:rPr>
              <w:t>140</w:t>
            </w:r>
          </w:p>
        </w:tc>
        <w:tc>
          <w:tcPr>
            <w:tcW w:w="2131"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458374C4" w14:textId="626640C9" w:rsidR="00C65691" w:rsidRPr="007F09E7" w:rsidRDefault="00C65691" w:rsidP="007F09E7">
            <w:pPr>
              <w:pStyle w:val="TableParagraph"/>
              <w:rPr>
                <w:b/>
                <w:bCs/>
              </w:rPr>
            </w:pPr>
            <w:r w:rsidRPr="007F09E7">
              <w:rPr>
                <w:b/>
                <w:bCs/>
              </w:rPr>
              <w:t>4%</w:t>
            </w:r>
          </w:p>
        </w:tc>
      </w:tr>
      <w:tr w:rsidR="00C65691" w:rsidRPr="00D46112" w14:paraId="1B27A09C" w14:textId="77777777" w:rsidTr="007F09E7">
        <w:trPr>
          <w:trHeight w:val="57"/>
        </w:trPr>
        <w:tc>
          <w:tcPr>
            <w:tcW w:w="5665"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285AE493" w14:textId="07D05D47" w:rsidR="00C65691" w:rsidRPr="007F09E7" w:rsidRDefault="00C65691" w:rsidP="007F09E7">
            <w:pPr>
              <w:pStyle w:val="TableParagraph"/>
              <w:rPr>
                <w:i/>
                <w:iCs/>
              </w:rPr>
            </w:pPr>
            <w:r w:rsidRPr="007F09E7">
              <w:rPr>
                <w:i/>
                <w:iCs/>
              </w:rPr>
              <w:t>Participant not eligible for employment services</w:t>
            </w:r>
          </w:p>
        </w:tc>
        <w:tc>
          <w:tcPr>
            <w:tcW w:w="2127"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41FFA4C2" w14:textId="5F9722BD" w:rsidR="00C65691" w:rsidRPr="00D94610" w:rsidRDefault="00C65691" w:rsidP="007F09E7">
            <w:pPr>
              <w:pStyle w:val="TableParagraph"/>
            </w:pPr>
            <w:r w:rsidRPr="00D94610">
              <w:t>104</w:t>
            </w:r>
          </w:p>
        </w:tc>
        <w:tc>
          <w:tcPr>
            <w:tcW w:w="2131"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076079A7" w14:textId="441CA478" w:rsidR="00C65691" w:rsidRPr="00D94610" w:rsidRDefault="00C65691" w:rsidP="007F09E7">
            <w:pPr>
              <w:pStyle w:val="TableParagraph"/>
            </w:pPr>
            <w:r w:rsidRPr="00D94610">
              <w:t>3%</w:t>
            </w:r>
          </w:p>
        </w:tc>
      </w:tr>
      <w:tr w:rsidR="00C65691" w:rsidRPr="00D46112" w14:paraId="6ABCD5D2" w14:textId="77777777" w:rsidTr="007F09E7">
        <w:trPr>
          <w:trHeight w:val="57"/>
        </w:trPr>
        <w:tc>
          <w:tcPr>
            <w:tcW w:w="5665"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4AA72D9B" w14:textId="19DE7A72" w:rsidR="00C65691" w:rsidRPr="007F09E7" w:rsidRDefault="00C65691" w:rsidP="007F09E7">
            <w:pPr>
              <w:pStyle w:val="TableParagraph"/>
              <w:rPr>
                <w:i/>
                <w:iCs/>
              </w:rPr>
            </w:pPr>
            <w:r w:rsidRPr="007F09E7">
              <w:rPr>
                <w:i/>
                <w:iCs/>
              </w:rPr>
              <w:t>Participant has Services Australia exemption post-release</w:t>
            </w:r>
          </w:p>
        </w:tc>
        <w:tc>
          <w:tcPr>
            <w:tcW w:w="2127"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0A8D76AB" w14:textId="070C1BA5" w:rsidR="00C65691" w:rsidRPr="00D94610" w:rsidRDefault="00C65691" w:rsidP="007F09E7">
            <w:pPr>
              <w:pStyle w:val="TableParagraph"/>
            </w:pPr>
            <w:r w:rsidRPr="00D94610">
              <w:t>36</w:t>
            </w:r>
          </w:p>
        </w:tc>
        <w:tc>
          <w:tcPr>
            <w:tcW w:w="2131"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700E2C0D" w14:textId="768D2D34" w:rsidR="00C65691" w:rsidRPr="00D94610" w:rsidRDefault="00C65691" w:rsidP="007F09E7">
            <w:pPr>
              <w:pStyle w:val="TableParagraph"/>
            </w:pPr>
            <w:r w:rsidRPr="00D94610">
              <w:t>1%</w:t>
            </w:r>
          </w:p>
        </w:tc>
      </w:tr>
      <w:tr w:rsidR="00C65691" w:rsidRPr="00D46112" w14:paraId="3076A854" w14:textId="77777777" w:rsidTr="007F09E7">
        <w:trPr>
          <w:trHeight w:val="57"/>
        </w:trPr>
        <w:tc>
          <w:tcPr>
            <w:tcW w:w="5665"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38844124" w14:textId="3F0C15E5" w:rsidR="00C65691" w:rsidRPr="007F09E7" w:rsidRDefault="00C65691" w:rsidP="007F09E7">
            <w:pPr>
              <w:pStyle w:val="TableParagraph"/>
              <w:rPr>
                <w:b/>
                <w:bCs/>
              </w:rPr>
            </w:pPr>
            <w:r w:rsidRPr="007F09E7">
              <w:rPr>
                <w:b/>
                <w:bCs/>
              </w:rPr>
              <w:t>Other exit reasons</w:t>
            </w:r>
          </w:p>
        </w:tc>
        <w:tc>
          <w:tcPr>
            <w:tcW w:w="2127"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44C3C6B6" w14:textId="68293B49" w:rsidR="00C65691" w:rsidRPr="007F09E7" w:rsidRDefault="00C65691" w:rsidP="007F09E7">
            <w:pPr>
              <w:pStyle w:val="TableParagraph"/>
              <w:rPr>
                <w:b/>
                <w:bCs/>
              </w:rPr>
            </w:pPr>
            <w:r w:rsidRPr="007F09E7">
              <w:rPr>
                <w:b/>
                <w:bCs/>
              </w:rPr>
              <w:t>419</w:t>
            </w:r>
          </w:p>
        </w:tc>
        <w:tc>
          <w:tcPr>
            <w:tcW w:w="2131" w:type="dxa"/>
            <w:tcBorders>
              <w:top w:val="single" w:sz="4" w:space="0" w:color="B1B3AA"/>
              <w:left w:val="single" w:sz="4" w:space="0" w:color="B1B3AA"/>
              <w:bottom w:val="single" w:sz="4" w:space="0" w:color="B1B3AA"/>
              <w:right w:val="single" w:sz="4" w:space="0" w:color="B1B3AA"/>
            </w:tcBorders>
            <w:noWrap/>
            <w:tcMar>
              <w:top w:w="85" w:type="dxa"/>
              <w:left w:w="85" w:type="dxa"/>
              <w:bottom w:w="85" w:type="dxa"/>
              <w:right w:w="85" w:type="dxa"/>
            </w:tcMar>
          </w:tcPr>
          <w:p w14:paraId="25AB1CA5" w14:textId="71BBFFF0" w:rsidR="00C65691" w:rsidRPr="007F09E7" w:rsidRDefault="00C65691" w:rsidP="007F09E7">
            <w:pPr>
              <w:pStyle w:val="TableParagraph"/>
              <w:rPr>
                <w:b/>
                <w:bCs/>
              </w:rPr>
            </w:pPr>
            <w:r w:rsidRPr="007F09E7">
              <w:rPr>
                <w:b/>
                <w:bCs/>
              </w:rPr>
              <w:t>13%</w:t>
            </w:r>
          </w:p>
        </w:tc>
      </w:tr>
      <w:tr w:rsidR="00C65691" w:rsidRPr="00D94610" w14:paraId="7AC9067B" w14:textId="77777777" w:rsidTr="007F09E7">
        <w:trPr>
          <w:trHeight w:val="451"/>
        </w:trPr>
        <w:tc>
          <w:tcPr>
            <w:tcW w:w="5665" w:type="dxa"/>
            <w:tcBorders>
              <w:top w:val="single" w:sz="4" w:space="0" w:color="B1B3AA"/>
              <w:left w:val="single" w:sz="4" w:space="0" w:color="D9D9D9"/>
              <w:bottom w:val="single" w:sz="4" w:space="0" w:color="D9D9D9"/>
              <w:right w:val="single" w:sz="4" w:space="0" w:color="D9D9D9"/>
            </w:tcBorders>
            <w:shd w:val="clear" w:color="auto" w:fill="002C61"/>
            <w:tcMar>
              <w:top w:w="85" w:type="dxa"/>
              <w:left w:w="85" w:type="dxa"/>
              <w:bottom w:w="85" w:type="dxa"/>
              <w:right w:w="85" w:type="dxa"/>
            </w:tcMar>
          </w:tcPr>
          <w:p w14:paraId="532475CE" w14:textId="14F8937F" w:rsidR="00C65691" w:rsidRPr="00D94610" w:rsidRDefault="00C65691" w:rsidP="007F09E7">
            <w:pPr>
              <w:pStyle w:val="TableParagraph"/>
            </w:pPr>
            <w:r w:rsidRPr="00D94610">
              <w:t>Total</w:t>
            </w:r>
          </w:p>
        </w:tc>
        <w:tc>
          <w:tcPr>
            <w:tcW w:w="2127" w:type="dxa"/>
            <w:tcBorders>
              <w:top w:val="single" w:sz="4" w:space="0" w:color="B1B3AA"/>
              <w:left w:val="single" w:sz="4" w:space="0" w:color="D9D9D9"/>
              <w:bottom w:val="single" w:sz="4" w:space="0" w:color="D9D9D9"/>
              <w:right w:val="single" w:sz="4" w:space="0" w:color="D9D9D9"/>
            </w:tcBorders>
            <w:shd w:val="clear" w:color="auto" w:fill="002C61"/>
            <w:tcMar>
              <w:top w:w="85" w:type="dxa"/>
              <w:left w:w="85" w:type="dxa"/>
              <w:bottom w:w="85" w:type="dxa"/>
              <w:right w:w="85" w:type="dxa"/>
            </w:tcMar>
          </w:tcPr>
          <w:p w14:paraId="38C85121" w14:textId="13983192" w:rsidR="00C65691" w:rsidRPr="00D94610" w:rsidRDefault="00C65691" w:rsidP="007F09E7">
            <w:pPr>
              <w:pStyle w:val="TableParagraph"/>
            </w:pPr>
            <w:r w:rsidRPr="00D94610">
              <w:t>3316</w:t>
            </w:r>
          </w:p>
        </w:tc>
        <w:tc>
          <w:tcPr>
            <w:tcW w:w="2131" w:type="dxa"/>
            <w:tcBorders>
              <w:top w:val="single" w:sz="4" w:space="0" w:color="B1B3AA"/>
              <w:left w:val="single" w:sz="4" w:space="0" w:color="D9D9D9"/>
              <w:bottom w:val="single" w:sz="4" w:space="0" w:color="D9D9D9"/>
              <w:right w:val="single" w:sz="4" w:space="0" w:color="D9D9D9"/>
            </w:tcBorders>
            <w:shd w:val="clear" w:color="auto" w:fill="002C61"/>
            <w:tcMar>
              <w:top w:w="85" w:type="dxa"/>
              <w:left w:w="85" w:type="dxa"/>
              <w:bottom w:w="85" w:type="dxa"/>
              <w:right w:w="85" w:type="dxa"/>
            </w:tcMar>
          </w:tcPr>
          <w:p w14:paraId="77DD2B0A" w14:textId="258E4077" w:rsidR="00C65691" w:rsidRPr="00D94610" w:rsidRDefault="00C65691" w:rsidP="007F09E7">
            <w:pPr>
              <w:pStyle w:val="TableParagraph"/>
            </w:pPr>
            <w:r w:rsidRPr="00D94610">
              <w:t>100%</w:t>
            </w:r>
          </w:p>
        </w:tc>
      </w:tr>
    </w:tbl>
    <w:p w14:paraId="4E2EC5F0" w14:textId="271EA088" w:rsidR="0029275A" w:rsidRPr="002E2F2F" w:rsidRDefault="009A3A59" w:rsidP="00305B4B">
      <w:pPr>
        <w:pStyle w:val="Caption"/>
        <w:ind w:right="3"/>
      </w:pPr>
      <w:r w:rsidRPr="002E2F2F">
        <w:t xml:space="preserve">* Post-release employment services </w:t>
      </w:r>
      <w:r w:rsidR="00292FEA" w:rsidRPr="002E2F2F">
        <w:t>include</w:t>
      </w:r>
      <w:r w:rsidRPr="002E2F2F">
        <w:t xml:space="preserve"> jobactive, CDP, Disability Employment Services (DES), Transition to Work (TtW), ParentsNext, and the New Enterprise Incentive Scheme (NEIS)</w:t>
      </w:r>
      <w:bookmarkStart w:id="78" w:name="bookmark17"/>
      <w:bookmarkEnd w:id="78"/>
    </w:p>
    <w:p w14:paraId="1F7F3625" w14:textId="4ACFDF9F" w:rsidR="00C170F8" w:rsidRPr="002E2F2F" w:rsidRDefault="00C43D20" w:rsidP="00305B4B">
      <w:pPr>
        <w:pStyle w:val="BodyText"/>
        <w:ind w:right="3"/>
      </w:pPr>
      <w:r>
        <w:br/>
      </w:r>
      <w:r w:rsidR="003A42B2" w:rsidRPr="002E2F2F">
        <w:rPr>
          <w:b/>
          <w:bCs/>
        </w:rPr>
        <w:fldChar w:fldCharType="begin"/>
      </w:r>
      <w:r w:rsidR="003A42B2" w:rsidRPr="002E2F2F">
        <w:rPr>
          <w:b/>
          <w:bCs/>
        </w:rPr>
        <w:instrText xml:space="preserve"> REF _Ref72440272 \h  \* MERGEFORMAT </w:instrText>
      </w:r>
      <w:r w:rsidR="003A42B2" w:rsidRPr="002E2F2F">
        <w:rPr>
          <w:b/>
          <w:bCs/>
        </w:rPr>
      </w:r>
      <w:r w:rsidR="003A42B2" w:rsidRPr="002E2F2F">
        <w:rPr>
          <w:b/>
          <w:bCs/>
        </w:rPr>
        <w:fldChar w:fldCharType="separate"/>
      </w:r>
      <w:r w:rsidR="00E93A98" w:rsidRPr="002E2F2F">
        <w:rPr>
          <w:b/>
          <w:bCs/>
        </w:rPr>
        <w:t>Table 4</w:t>
      </w:r>
      <w:r w:rsidR="003A42B2" w:rsidRPr="002E2F2F">
        <w:rPr>
          <w:b/>
          <w:bCs/>
        </w:rPr>
        <w:fldChar w:fldCharType="end"/>
      </w:r>
      <w:r w:rsidR="00FD4011" w:rsidRPr="002E2F2F">
        <w:t xml:space="preserve"> </w:t>
      </w:r>
      <w:r w:rsidR="00712824" w:rsidRPr="002E2F2F">
        <w:t xml:space="preserve">identifies two major exit points from TWES: the first is </w:t>
      </w:r>
      <w:r w:rsidR="00B1702C" w:rsidRPr="002E2F2F">
        <w:t>when participants are not transferred to a post-release employment service provider (22%)</w:t>
      </w:r>
      <w:r w:rsidR="007276C0" w:rsidRPr="002E2F2F">
        <w:t>; the second</w:t>
      </w:r>
      <w:r w:rsidR="00B1702C" w:rsidRPr="002E2F2F">
        <w:t xml:space="preserve"> </w:t>
      </w:r>
      <w:r w:rsidR="007276C0" w:rsidRPr="002E2F2F">
        <w:t xml:space="preserve">is </w:t>
      </w:r>
      <w:r w:rsidR="00B1702C" w:rsidRPr="002E2F2F">
        <w:t>when participants exit TWES early while still in prison</w:t>
      </w:r>
      <w:r w:rsidR="00023970" w:rsidRPr="002E2F2F">
        <w:t>. TWES providers have limited opportunities to</w:t>
      </w:r>
      <w:r w:rsidR="007276C0" w:rsidRPr="002E2F2F">
        <w:t xml:space="preserve"> reduce these </w:t>
      </w:r>
      <w:r w:rsidR="00712824" w:rsidRPr="002E2F2F">
        <w:t xml:space="preserve">early exits because it </w:t>
      </w:r>
      <w:r w:rsidR="00DD2CDF" w:rsidRPr="002E2F2F">
        <w:t xml:space="preserve">is a voluntary program delivered in prisons that participants can choose to leave at any time. Further, participants may not engage with </w:t>
      </w:r>
      <w:r w:rsidR="00DD2CDF" w:rsidRPr="002E2F2F">
        <w:lastRenderedPageBreak/>
        <w:t xml:space="preserve">employment services after their release for a wide range of reasons – including that they may seek employment independently of employment services, or not have access to employment services in a remote community. </w:t>
      </w:r>
    </w:p>
    <w:p w14:paraId="1EB50B44" w14:textId="6178D7F7" w:rsidR="00892471" w:rsidRPr="002E2F2F" w:rsidRDefault="004422EA" w:rsidP="00305B4B">
      <w:pPr>
        <w:pStyle w:val="Heading3"/>
        <w:ind w:right="3"/>
      </w:pPr>
      <w:bookmarkStart w:id="79" w:name="bookmark18"/>
      <w:bookmarkStart w:id="80" w:name="_Ref56156856"/>
      <w:bookmarkStart w:id="81" w:name="_Ref69306196"/>
      <w:bookmarkEnd w:id="79"/>
      <w:r w:rsidRPr="002E2F2F">
        <w:t xml:space="preserve">Why were elements of TWES such as the ESAt or </w:t>
      </w:r>
      <w:r w:rsidR="00CE0751" w:rsidRPr="002E2F2F">
        <w:t>F</w:t>
      </w:r>
      <w:r w:rsidRPr="002E2F2F">
        <w:t xml:space="preserve">acilitated </w:t>
      </w:r>
      <w:r w:rsidR="00CE0751" w:rsidRPr="002E2F2F">
        <w:t>T</w:t>
      </w:r>
      <w:r w:rsidRPr="002E2F2F">
        <w:t>ransfer</w:t>
      </w:r>
      <w:r w:rsidR="00CE0751" w:rsidRPr="002E2F2F">
        <w:t>s</w:t>
      </w:r>
      <w:r w:rsidRPr="002E2F2F">
        <w:t xml:space="preserve"> not carried out</w:t>
      </w:r>
      <w:bookmarkEnd w:id="80"/>
      <w:bookmarkEnd w:id="81"/>
      <w:r w:rsidRPr="002E2F2F">
        <w:t>?</w:t>
      </w:r>
    </w:p>
    <w:p w14:paraId="05975F59" w14:textId="0E613FE8" w:rsidR="00CF227A" w:rsidRPr="002E2F2F" w:rsidRDefault="00706B21" w:rsidP="00305B4B">
      <w:pPr>
        <w:pStyle w:val="BodyText"/>
        <w:ind w:right="3"/>
      </w:pPr>
      <w:r w:rsidRPr="002E2F2F">
        <w:t>T</w:t>
      </w:r>
      <w:r w:rsidR="006E33A8" w:rsidRPr="002E2F2F">
        <w:t xml:space="preserve">he TWES Guidelines state that TWES </w:t>
      </w:r>
      <w:r w:rsidR="00D61836" w:rsidRPr="002E2F2F">
        <w:t xml:space="preserve">providers </w:t>
      </w:r>
      <w:r w:rsidR="006E33A8" w:rsidRPr="002E2F2F">
        <w:t>must engage participants to undertake four core servicing activities:</w:t>
      </w:r>
      <w:r w:rsidR="003E0EAB" w:rsidRPr="002E2F2F">
        <w:t xml:space="preserve"> </w:t>
      </w:r>
      <w:r w:rsidR="007A615F" w:rsidRPr="002E2F2F">
        <w:t xml:space="preserve">conduct </w:t>
      </w:r>
      <w:r w:rsidR="003E0EAB" w:rsidRPr="002E2F2F">
        <w:t>the JSCI</w:t>
      </w:r>
      <w:r w:rsidR="007A615F" w:rsidRPr="002E2F2F">
        <w:t xml:space="preserve">, </w:t>
      </w:r>
      <w:r w:rsidR="007F731C" w:rsidRPr="002E2F2F">
        <w:t xml:space="preserve">organise </w:t>
      </w:r>
      <w:r w:rsidR="007A615F" w:rsidRPr="002E2F2F">
        <w:t>Services Australia to conduct the ESAt</w:t>
      </w:r>
      <w:r w:rsidR="0044652A" w:rsidRPr="002E2F2F">
        <w:t>, develop the Transition Plan, and where possible organis</w:t>
      </w:r>
      <w:r w:rsidR="004734CC" w:rsidRPr="002E2F2F">
        <w:t>e</w:t>
      </w:r>
      <w:r w:rsidR="0044652A" w:rsidRPr="002E2F2F">
        <w:t xml:space="preserve"> a Facilitated Transfer Meeting between the participant and the post-release employment service provider that they have been referred to by Services Australia. </w:t>
      </w:r>
    </w:p>
    <w:p w14:paraId="45606BD4" w14:textId="01175D70" w:rsidR="005D6123" w:rsidRPr="002E2F2F" w:rsidRDefault="00552D6D" w:rsidP="00305B4B">
      <w:pPr>
        <w:pStyle w:val="BodyText"/>
        <w:ind w:right="3"/>
      </w:pPr>
      <w:r w:rsidRPr="002E2F2F">
        <w:t>T</w:t>
      </w:r>
      <w:r w:rsidR="000C5ABC" w:rsidRPr="002E2F2F">
        <w:t>he TWES program logic</w:t>
      </w:r>
      <w:r w:rsidRPr="002E2F2F">
        <w:t xml:space="preserve"> assumes that completing these </w:t>
      </w:r>
      <w:r w:rsidR="00651C1E" w:rsidRPr="002E2F2F">
        <w:t xml:space="preserve">activities </w:t>
      </w:r>
      <w:r w:rsidR="00292FEA" w:rsidRPr="002E2F2F">
        <w:t>is</w:t>
      </w:r>
      <w:r w:rsidR="00651C1E" w:rsidRPr="002E2F2F">
        <w:t xml:space="preserve"> </w:t>
      </w:r>
      <w:r w:rsidRPr="002E2F2F">
        <w:t xml:space="preserve">important to achieve </w:t>
      </w:r>
      <w:r w:rsidR="00651C1E" w:rsidRPr="002E2F2F">
        <w:t>subsequent outcomes</w:t>
      </w:r>
      <w:r w:rsidR="00F24F12" w:rsidRPr="002E2F2F">
        <w:t xml:space="preserve"> for </w:t>
      </w:r>
      <w:r w:rsidR="00CF227A" w:rsidRPr="002E2F2F">
        <w:t>participants</w:t>
      </w:r>
      <w:r w:rsidR="00BA7909" w:rsidRPr="002E2F2F">
        <w:t xml:space="preserve">, including improved </w:t>
      </w:r>
      <w:r w:rsidR="00CF227A" w:rsidRPr="002E2F2F">
        <w:t>engagement with employment services after they leave prison (see</w:t>
      </w:r>
      <w:r w:rsidR="00AB6EA7" w:rsidRPr="002E2F2F">
        <w:t xml:space="preserve"> </w:t>
      </w:r>
      <w:r w:rsidR="00AB6EA7" w:rsidRPr="002E2F2F">
        <w:rPr>
          <w:b/>
          <w:bCs/>
        </w:rPr>
        <w:t xml:space="preserve">Section </w:t>
      </w:r>
      <w:r w:rsidR="00AB6EA7" w:rsidRPr="002E2F2F">
        <w:rPr>
          <w:b/>
          <w:bCs/>
        </w:rPr>
        <w:fldChar w:fldCharType="begin"/>
      </w:r>
      <w:r w:rsidR="00AB6EA7" w:rsidRPr="002E2F2F">
        <w:rPr>
          <w:b/>
          <w:bCs/>
        </w:rPr>
        <w:instrText xml:space="preserve"> REF _Ref75010590 \r \h  \* MERGEFORMAT </w:instrText>
      </w:r>
      <w:r w:rsidR="00AB6EA7" w:rsidRPr="002E2F2F">
        <w:rPr>
          <w:b/>
          <w:bCs/>
        </w:rPr>
      </w:r>
      <w:r w:rsidR="00AB6EA7" w:rsidRPr="002E2F2F">
        <w:rPr>
          <w:b/>
          <w:bCs/>
        </w:rPr>
        <w:fldChar w:fldCharType="separate"/>
      </w:r>
      <w:r w:rsidR="00E93A98" w:rsidRPr="002E2F2F">
        <w:rPr>
          <w:b/>
          <w:bCs/>
        </w:rPr>
        <w:t>3</w:t>
      </w:r>
      <w:r w:rsidR="00AB6EA7" w:rsidRPr="002E2F2F">
        <w:rPr>
          <w:b/>
          <w:bCs/>
        </w:rPr>
        <w:fldChar w:fldCharType="end"/>
      </w:r>
      <w:r w:rsidR="00CF227A" w:rsidRPr="002E2F2F">
        <w:t>).</w:t>
      </w:r>
    </w:p>
    <w:p w14:paraId="7A8BBBF9" w14:textId="206DB971" w:rsidR="006E33A8" w:rsidRPr="002E2F2F" w:rsidRDefault="008252BF" w:rsidP="00305B4B">
      <w:pPr>
        <w:pStyle w:val="BodyText"/>
        <w:ind w:right="3"/>
      </w:pPr>
      <w:r w:rsidRPr="002E2F2F">
        <w:t xml:space="preserve">Administrative data from the ESS database was analysed to understand the number of TWES participants who received </w:t>
      </w:r>
      <w:r w:rsidR="002B0D7B" w:rsidRPr="002E2F2F">
        <w:t>each of these core servicing activities</w:t>
      </w:r>
      <w:r w:rsidR="000038E4" w:rsidRPr="002E2F2F">
        <w:t>, and therefore is considered to have ‘completed TWES’</w:t>
      </w:r>
      <w:r w:rsidR="002B0D7B" w:rsidRPr="002E2F2F">
        <w:t>.</w:t>
      </w:r>
      <w:r w:rsidR="002C25A3" w:rsidRPr="002E2F2F">
        <w:rPr>
          <w:rStyle w:val="FootnoteReference"/>
          <w:rFonts w:ascii="Arial" w:hAnsi="Arial" w:cs="Arial"/>
        </w:rPr>
        <w:footnoteReference w:id="21"/>
      </w:r>
      <w:r w:rsidR="00AB4FA6" w:rsidRPr="002E2F2F">
        <w:t xml:space="preserve"> </w:t>
      </w:r>
      <w:r w:rsidR="00063104" w:rsidRPr="002E2F2F">
        <w:t>Data on</w:t>
      </w:r>
      <w:r w:rsidR="003C16F9" w:rsidRPr="002E2F2F">
        <w:t xml:space="preserve"> the number of </w:t>
      </w:r>
      <w:r w:rsidR="007F4EA1" w:rsidRPr="002E2F2F">
        <w:t xml:space="preserve">participants receiving </w:t>
      </w:r>
      <w:r w:rsidR="00063104" w:rsidRPr="002E2F2F">
        <w:t>JSCI</w:t>
      </w:r>
      <w:r w:rsidR="007F4EA1" w:rsidRPr="002E2F2F">
        <w:t>s</w:t>
      </w:r>
      <w:r w:rsidR="00063104" w:rsidRPr="002E2F2F">
        <w:t xml:space="preserve"> could not be used in this analysis</w:t>
      </w:r>
      <w:r w:rsidR="00442C6C" w:rsidRPr="002E2F2F">
        <w:t>, and it was assumed that all participants with an Approved Transition Plan have a completed JSCI</w:t>
      </w:r>
      <w:r w:rsidR="00063104" w:rsidRPr="002E2F2F">
        <w:t>.</w:t>
      </w:r>
      <w:r w:rsidR="00032A50" w:rsidRPr="00F014F2">
        <w:rPr>
          <w:rStyle w:val="FootnoteReference"/>
          <w:rFonts w:ascii="Arial" w:hAnsi="Arial" w:cs="Arial"/>
        </w:rPr>
        <w:footnoteReference w:id="22"/>
      </w:r>
      <w:r w:rsidR="00032A50" w:rsidRPr="00F014F2">
        <w:rPr>
          <w:vertAlign w:val="superscript"/>
        </w:rPr>
        <w:t xml:space="preserve"> </w:t>
      </w:r>
      <w:r w:rsidR="006E33A8" w:rsidRPr="002E2F2F">
        <w:t xml:space="preserve">This section presents </w:t>
      </w:r>
      <w:r w:rsidR="00076586" w:rsidRPr="002E2F2F">
        <w:t>the results of this analysis</w:t>
      </w:r>
      <w:r w:rsidR="006E33A8" w:rsidRPr="002E2F2F">
        <w:t>, together with findings from stakeholder interviews on why core servicing activities may not have taken place.</w:t>
      </w:r>
    </w:p>
    <w:p w14:paraId="3A65496D" w14:textId="2C15EB7B" w:rsidR="00726180" w:rsidRPr="002E2F2F" w:rsidRDefault="00F27D87" w:rsidP="00305B4B">
      <w:pPr>
        <w:pStyle w:val="Heading3"/>
        <w:ind w:right="3"/>
      </w:pPr>
      <w:r w:rsidRPr="002E2F2F">
        <w:t>Data on overall</w:t>
      </w:r>
      <w:r w:rsidR="002C25A3" w:rsidRPr="002E2F2F">
        <w:t xml:space="preserve"> number of participants ‘completing TWES’ </w:t>
      </w:r>
    </w:p>
    <w:p w14:paraId="5ABEB7E2" w14:textId="7F4FD356" w:rsidR="006E33A8" w:rsidRPr="002E2F2F" w:rsidRDefault="00A12BDD" w:rsidP="00305B4B">
      <w:pPr>
        <w:pStyle w:val="BodyText"/>
        <w:ind w:right="3"/>
      </w:pPr>
      <w:bookmarkStart w:id="82" w:name="_Ref69373207"/>
      <w:r w:rsidRPr="002E2F2F">
        <w:t>As of February 2</w:t>
      </w:r>
      <w:r w:rsidR="007F0111" w:rsidRPr="002E2F2F">
        <w:t xml:space="preserve">8, </w:t>
      </w:r>
      <w:r w:rsidR="00FE2D62" w:rsidRPr="002E2F2F">
        <w:t>485</w:t>
      </w:r>
      <w:r w:rsidR="00A71962" w:rsidRPr="002E2F2F">
        <w:t xml:space="preserve"> (</w:t>
      </w:r>
      <w:r w:rsidR="00FE2D62" w:rsidRPr="002E2F2F">
        <w:t>11%</w:t>
      </w:r>
      <w:r w:rsidR="00A71962" w:rsidRPr="002E2F2F">
        <w:t>)</w:t>
      </w:r>
      <w:r w:rsidR="006E33A8" w:rsidRPr="002E2F2F">
        <w:t xml:space="preserve"> </w:t>
      </w:r>
      <w:r w:rsidRPr="002E2F2F">
        <w:t xml:space="preserve">of </w:t>
      </w:r>
      <w:r w:rsidR="006E33A8" w:rsidRPr="002E2F2F">
        <w:t>TWES participants ha</w:t>
      </w:r>
      <w:r w:rsidR="001926D0" w:rsidRPr="002E2F2F">
        <w:t>d</w:t>
      </w:r>
      <w:r w:rsidR="006E33A8" w:rsidRPr="002E2F2F">
        <w:t xml:space="preserve"> competed</w:t>
      </w:r>
      <w:r w:rsidR="00076586" w:rsidRPr="002E2F2F">
        <w:t xml:space="preserve"> all </w:t>
      </w:r>
      <w:r w:rsidR="00063104" w:rsidRPr="002E2F2F">
        <w:t>four core services</w:t>
      </w:r>
      <w:r w:rsidR="00D5447A" w:rsidRPr="002E2F2F">
        <w:t>.</w:t>
      </w:r>
      <w:r w:rsidR="006E33A8" w:rsidRPr="002E2F2F">
        <w:t xml:space="preserve"> Remote sites had a slightly higher </w:t>
      </w:r>
      <w:r w:rsidR="00D5447A" w:rsidRPr="002E2F2F">
        <w:t xml:space="preserve">proportion </w:t>
      </w:r>
      <w:r w:rsidR="006E33A8" w:rsidRPr="002E2F2F">
        <w:t xml:space="preserve">(14%) compared to non-remote (see </w:t>
      </w:r>
      <w:r w:rsidR="006E33A8" w:rsidRPr="002E2F2F">
        <w:rPr>
          <w:b/>
          <w:bCs/>
        </w:rPr>
        <w:fldChar w:fldCharType="begin"/>
      </w:r>
      <w:r w:rsidR="006E33A8" w:rsidRPr="002E2F2F">
        <w:rPr>
          <w:b/>
          <w:bCs/>
        </w:rPr>
        <w:instrText xml:space="preserve"> REF _Ref71656854 \h  \* MERGEFORMAT </w:instrText>
      </w:r>
      <w:r w:rsidR="006E33A8" w:rsidRPr="002E2F2F">
        <w:rPr>
          <w:b/>
          <w:bCs/>
        </w:rPr>
      </w:r>
      <w:r w:rsidR="006E33A8" w:rsidRPr="002E2F2F">
        <w:rPr>
          <w:b/>
          <w:bCs/>
        </w:rPr>
        <w:fldChar w:fldCharType="separate"/>
      </w:r>
      <w:r w:rsidR="00E93A98" w:rsidRPr="002E2F2F">
        <w:rPr>
          <w:b/>
          <w:bCs/>
        </w:rPr>
        <w:t>Table 5</w:t>
      </w:r>
      <w:r w:rsidR="006E33A8" w:rsidRPr="002E2F2F">
        <w:rPr>
          <w:b/>
          <w:bCs/>
        </w:rPr>
        <w:fldChar w:fldCharType="end"/>
      </w:r>
      <w:r w:rsidR="006E33A8" w:rsidRPr="002E2F2F">
        <w:t>).</w:t>
      </w:r>
    </w:p>
    <w:p w14:paraId="00FDEFC9" w14:textId="6034FE2F" w:rsidR="006E33A8" w:rsidRPr="002E2F2F" w:rsidRDefault="006E33A8" w:rsidP="00D94610">
      <w:pPr>
        <w:pStyle w:val="Caption"/>
      </w:pPr>
      <w:bookmarkStart w:id="83" w:name="_Ref71656854"/>
      <w:bookmarkEnd w:id="82"/>
      <w:r w:rsidRPr="002E2F2F">
        <w:t xml:space="preserve">Table </w:t>
      </w:r>
      <w:r w:rsidRPr="002E2F2F">
        <w:fldChar w:fldCharType="begin"/>
      </w:r>
      <w:r w:rsidRPr="002E2F2F">
        <w:instrText xml:space="preserve"> SEQ Table \* ARABIC </w:instrText>
      </w:r>
      <w:r w:rsidRPr="002E2F2F">
        <w:fldChar w:fldCharType="separate"/>
      </w:r>
      <w:r w:rsidR="00E93A98" w:rsidRPr="002E2F2F">
        <w:t>5</w:t>
      </w:r>
      <w:r w:rsidRPr="002E2F2F">
        <w:fldChar w:fldCharType="end"/>
      </w:r>
      <w:bookmarkEnd w:id="83"/>
      <w:r w:rsidRPr="002E2F2F">
        <w:t xml:space="preserve">: </w:t>
      </w:r>
      <w:r w:rsidR="002460E3" w:rsidRPr="002E2F2F">
        <w:t>P</w:t>
      </w:r>
      <w:r w:rsidR="003F0E25" w:rsidRPr="002E2F2F">
        <w:t xml:space="preserve">articipants </w:t>
      </w:r>
      <w:r w:rsidR="009F1749" w:rsidRPr="002E2F2F">
        <w:t>commencing and completing TWES (non-remote and remote)</w:t>
      </w:r>
    </w:p>
    <w:tbl>
      <w:tblPr>
        <w:tblW w:w="0" w:type="auto"/>
        <w:tblInd w:w="23" w:type="dxa"/>
        <w:tblLayout w:type="fixed"/>
        <w:tblCellMar>
          <w:left w:w="0" w:type="dxa"/>
          <w:right w:w="0" w:type="dxa"/>
        </w:tblCellMar>
        <w:tblLook w:val="0000" w:firstRow="0" w:lastRow="0" w:firstColumn="0" w:lastColumn="0" w:noHBand="0" w:noVBand="0"/>
        <w:tblCaption w:val="Participants commencing and completing TWES (non-remote and remote)"/>
        <w:tblDescription w:val="A table of the number of participants completing TWES where 11% had completed all four core services, and that remote sites had a slightly higher proportion of 14%.  "/>
      </w:tblPr>
      <w:tblGrid>
        <w:gridCol w:w="1532"/>
        <w:gridCol w:w="2551"/>
        <w:gridCol w:w="3544"/>
        <w:gridCol w:w="2126"/>
      </w:tblGrid>
      <w:tr w:rsidR="006E33A8" w:rsidRPr="006B0D0D" w14:paraId="7C4D49F1" w14:textId="77777777" w:rsidTr="00D94610">
        <w:trPr>
          <w:trHeight w:hRule="exact" w:val="492"/>
        </w:trPr>
        <w:tc>
          <w:tcPr>
            <w:tcW w:w="1532" w:type="dxa"/>
            <w:tcBorders>
              <w:top w:val="single" w:sz="4" w:space="0" w:color="B1B3AA"/>
              <w:left w:val="single" w:sz="4" w:space="0" w:color="B1B3AA"/>
              <w:bottom w:val="single" w:sz="4" w:space="0" w:color="B1B3AA"/>
              <w:right w:val="single" w:sz="4" w:space="0" w:color="B1B3AA"/>
            </w:tcBorders>
            <w:shd w:val="clear" w:color="auto" w:fill="002D62" w:themeFill="background2"/>
            <w:noWrap/>
            <w:tcMar>
              <w:top w:w="85" w:type="dxa"/>
              <w:left w:w="85" w:type="dxa"/>
              <w:bottom w:w="85" w:type="dxa"/>
              <w:right w:w="85" w:type="dxa"/>
            </w:tcMar>
          </w:tcPr>
          <w:p w14:paraId="6785611C" w14:textId="77777777" w:rsidR="006E33A8" w:rsidRPr="00C14F1C" w:rsidRDefault="006E33A8" w:rsidP="00D94610">
            <w:pPr>
              <w:pStyle w:val="TableHeading"/>
            </w:pPr>
            <w:r w:rsidRPr="006B0D0D">
              <w:t>Region</w:t>
            </w:r>
          </w:p>
        </w:tc>
        <w:tc>
          <w:tcPr>
            <w:tcW w:w="2551" w:type="dxa"/>
            <w:tcBorders>
              <w:top w:val="single" w:sz="4" w:space="0" w:color="B1B3AA"/>
              <w:left w:val="single" w:sz="4" w:space="0" w:color="B1B3AA"/>
              <w:bottom w:val="single" w:sz="4" w:space="0" w:color="B1B3AA"/>
              <w:right w:val="single" w:sz="4" w:space="0" w:color="B1B3AA"/>
            </w:tcBorders>
            <w:shd w:val="clear" w:color="auto" w:fill="002D62" w:themeFill="background2"/>
            <w:noWrap/>
            <w:tcMar>
              <w:top w:w="85" w:type="dxa"/>
              <w:left w:w="85" w:type="dxa"/>
              <w:bottom w:w="85" w:type="dxa"/>
              <w:right w:w="85" w:type="dxa"/>
            </w:tcMar>
          </w:tcPr>
          <w:p w14:paraId="18B16A67" w14:textId="2E62326D" w:rsidR="006E33A8" w:rsidRPr="00C14F1C" w:rsidRDefault="00A80B3D" w:rsidP="00D94610">
            <w:pPr>
              <w:pStyle w:val="TableHeading"/>
            </w:pPr>
            <w:r>
              <w:t>All TWES participants</w:t>
            </w:r>
          </w:p>
        </w:tc>
        <w:tc>
          <w:tcPr>
            <w:tcW w:w="3544" w:type="dxa"/>
            <w:tcBorders>
              <w:top w:val="single" w:sz="4" w:space="0" w:color="B1B3AA"/>
              <w:left w:val="single" w:sz="4" w:space="0" w:color="B1B3AA"/>
              <w:bottom w:val="single" w:sz="4" w:space="0" w:color="B1B3AA"/>
              <w:right w:val="single" w:sz="4" w:space="0" w:color="B1B3AA"/>
            </w:tcBorders>
            <w:shd w:val="clear" w:color="auto" w:fill="002D62" w:themeFill="background2"/>
            <w:noWrap/>
            <w:tcMar>
              <w:top w:w="85" w:type="dxa"/>
              <w:left w:w="85" w:type="dxa"/>
              <w:bottom w:w="85" w:type="dxa"/>
              <w:right w:w="85" w:type="dxa"/>
            </w:tcMar>
          </w:tcPr>
          <w:p w14:paraId="694BAB56" w14:textId="79C0EEFC" w:rsidR="006E33A8" w:rsidRPr="006B0D0D" w:rsidRDefault="00A80B3D" w:rsidP="00D94610">
            <w:pPr>
              <w:pStyle w:val="TableHeading"/>
            </w:pPr>
            <w:r>
              <w:t>‘</w:t>
            </w:r>
            <w:r w:rsidR="003F0E25">
              <w:t>Participants completing TWES</w:t>
            </w:r>
            <w:r>
              <w:t>’</w:t>
            </w:r>
          </w:p>
        </w:tc>
        <w:tc>
          <w:tcPr>
            <w:tcW w:w="2126" w:type="dxa"/>
            <w:tcBorders>
              <w:top w:val="single" w:sz="4" w:space="0" w:color="B1B3AA"/>
              <w:left w:val="single" w:sz="4" w:space="0" w:color="B1B3AA"/>
              <w:bottom w:val="single" w:sz="4" w:space="0" w:color="B1B3AA"/>
              <w:right w:val="single" w:sz="4" w:space="0" w:color="B1B3AA"/>
            </w:tcBorders>
            <w:shd w:val="clear" w:color="auto" w:fill="002D62" w:themeFill="background2"/>
            <w:noWrap/>
            <w:tcMar>
              <w:top w:w="85" w:type="dxa"/>
              <w:left w:w="85" w:type="dxa"/>
              <w:bottom w:w="85" w:type="dxa"/>
              <w:right w:w="85" w:type="dxa"/>
            </w:tcMar>
          </w:tcPr>
          <w:p w14:paraId="69EB2091" w14:textId="11652CF7" w:rsidR="006E33A8" w:rsidRPr="00C14F1C" w:rsidRDefault="003F0E25" w:rsidP="00D94610">
            <w:pPr>
              <w:pStyle w:val="TableHeading"/>
            </w:pPr>
            <w:r>
              <w:t>As a percentage</w:t>
            </w:r>
          </w:p>
        </w:tc>
      </w:tr>
      <w:tr w:rsidR="006E33A8" w:rsidRPr="006B0D0D" w14:paraId="3B5D4273" w14:textId="77777777" w:rsidTr="00D94610">
        <w:trPr>
          <w:trHeight w:val="284"/>
        </w:trPr>
        <w:tc>
          <w:tcPr>
            <w:tcW w:w="1532"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3C1A98A3" w14:textId="77777777" w:rsidR="006E33A8" w:rsidRPr="006B0D0D" w:rsidRDefault="006E33A8" w:rsidP="007F09E7">
            <w:pPr>
              <w:pStyle w:val="TableParagraph"/>
            </w:pPr>
            <w:r w:rsidRPr="006B0D0D">
              <w:t>Non-Remote</w:t>
            </w:r>
          </w:p>
        </w:tc>
        <w:tc>
          <w:tcPr>
            <w:tcW w:w="2551"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635E893E" w14:textId="77777777" w:rsidR="006E33A8" w:rsidRPr="006B0D0D" w:rsidRDefault="006E33A8" w:rsidP="007F09E7">
            <w:pPr>
              <w:pStyle w:val="TableParagraph"/>
            </w:pPr>
            <w:r w:rsidRPr="006B0D0D">
              <w:t>4,154</w:t>
            </w:r>
          </w:p>
        </w:tc>
        <w:tc>
          <w:tcPr>
            <w:tcW w:w="3544"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3CC3FC2C" w14:textId="77777777" w:rsidR="006E33A8" w:rsidRPr="006B0D0D" w:rsidRDefault="006E33A8" w:rsidP="007F09E7">
            <w:pPr>
              <w:pStyle w:val="TableParagraph"/>
            </w:pPr>
            <w:r w:rsidRPr="006B0D0D">
              <w:t>438</w:t>
            </w:r>
          </w:p>
        </w:tc>
        <w:tc>
          <w:tcPr>
            <w:tcW w:w="2126"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45ADE5FF" w14:textId="77777777" w:rsidR="006E33A8" w:rsidRPr="006B0D0D" w:rsidRDefault="006E33A8" w:rsidP="007F09E7">
            <w:pPr>
              <w:pStyle w:val="TableParagraph"/>
            </w:pPr>
            <w:r w:rsidRPr="006B0D0D">
              <w:t>11%</w:t>
            </w:r>
          </w:p>
        </w:tc>
      </w:tr>
      <w:tr w:rsidR="006E33A8" w:rsidRPr="006B0D0D" w14:paraId="76E490BB" w14:textId="77777777" w:rsidTr="00D94610">
        <w:trPr>
          <w:trHeight w:val="284"/>
        </w:trPr>
        <w:tc>
          <w:tcPr>
            <w:tcW w:w="1532"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03CB1551" w14:textId="77777777" w:rsidR="006E33A8" w:rsidRPr="006B0D0D" w:rsidRDefault="006E33A8" w:rsidP="007F09E7">
            <w:pPr>
              <w:pStyle w:val="TableParagraph"/>
            </w:pPr>
            <w:r w:rsidRPr="006B0D0D">
              <w:t>Remote</w:t>
            </w:r>
          </w:p>
        </w:tc>
        <w:tc>
          <w:tcPr>
            <w:tcW w:w="2551"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20FD683E" w14:textId="77777777" w:rsidR="006E33A8" w:rsidRPr="006B0D0D" w:rsidRDefault="006E33A8" w:rsidP="007F09E7">
            <w:pPr>
              <w:pStyle w:val="TableParagraph"/>
            </w:pPr>
            <w:r w:rsidRPr="006B0D0D">
              <w:t>348</w:t>
            </w:r>
          </w:p>
        </w:tc>
        <w:tc>
          <w:tcPr>
            <w:tcW w:w="3544"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3494E59F" w14:textId="77777777" w:rsidR="006E33A8" w:rsidRPr="006B0D0D" w:rsidRDefault="006E33A8" w:rsidP="007F09E7">
            <w:pPr>
              <w:pStyle w:val="TableParagraph"/>
            </w:pPr>
            <w:r w:rsidRPr="006B0D0D">
              <w:t>47</w:t>
            </w:r>
          </w:p>
        </w:tc>
        <w:tc>
          <w:tcPr>
            <w:tcW w:w="2126"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4F39C919" w14:textId="77777777" w:rsidR="006E33A8" w:rsidRPr="006B0D0D" w:rsidRDefault="006E33A8" w:rsidP="007F09E7">
            <w:pPr>
              <w:pStyle w:val="TableParagraph"/>
            </w:pPr>
            <w:r w:rsidRPr="006B0D0D">
              <w:t>14%</w:t>
            </w:r>
          </w:p>
        </w:tc>
      </w:tr>
      <w:tr w:rsidR="006E33A8" w:rsidRPr="006B0D0D" w14:paraId="55AE195C" w14:textId="77777777" w:rsidTr="00D94610">
        <w:trPr>
          <w:trHeight w:val="68"/>
        </w:trPr>
        <w:tc>
          <w:tcPr>
            <w:tcW w:w="1532" w:type="dxa"/>
            <w:tcBorders>
              <w:top w:val="single" w:sz="4" w:space="0" w:color="B1B3AA"/>
              <w:left w:val="single" w:sz="4" w:space="0" w:color="B1B3AA"/>
              <w:bottom w:val="single" w:sz="4" w:space="0" w:color="B1B3AA"/>
              <w:right w:val="single" w:sz="4" w:space="0" w:color="B1B3AA"/>
            </w:tcBorders>
            <w:shd w:val="clear" w:color="auto" w:fill="002D62" w:themeFill="background2"/>
            <w:tcMar>
              <w:top w:w="85" w:type="dxa"/>
              <w:left w:w="85" w:type="dxa"/>
              <w:bottom w:w="85" w:type="dxa"/>
              <w:right w:w="85" w:type="dxa"/>
            </w:tcMar>
          </w:tcPr>
          <w:p w14:paraId="39914F2B" w14:textId="77777777" w:rsidR="006E33A8" w:rsidRPr="00D94610" w:rsidRDefault="006E33A8" w:rsidP="007F09E7">
            <w:pPr>
              <w:pStyle w:val="TableParagraph"/>
            </w:pPr>
            <w:r w:rsidRPr="00D94610">
              <w:t>Total</w:t>
            </w:r>
          </w:p>
        </w:tc>
        <w:tc>
          <w:tcPr>
            <w:tcW w:w="2551" w:type="dxa"/>
            <w:tcBorders>
              <w:top w:val="single" w:sz="4" w:space="0" w:color="B1B3AA"/>
              <w:left w:val="single" w:sz="4" w:space="0" w:color="B1B3AA"/>
              <w:bottom w:val="single" w:sz="4" w:space="0" w:color="B1B3AA"/>
              <w:right w:val="single" w:sz="4" w:space="0" w:color="B1B3AA"/>
            </w:tcBorders>
            <w:shd w:val="clear" w:color="auto" w:fill="002D62" w:themeFill="background2"/>
            <w:tcMar>
              <w:top w:w="85" w:type="dxa"/>
              <w:left w:w="85" w:type="dxa"/>
              <w:bottom w:w="85" w:type="dxa"/>
              <w:right w:w="85" w:type="dxa"/>
            </w:tcMar>
          </w:tcPr>
          <w:p w14:paraId="1696FA91" w14:textId="77777777" w:rsidR="006E33A8" w:rsidRPr="00D94610" w:rsidRDefault="006E33A8" w:rsidP="007F09E7">
            <w:pPr>
              <w:pStyle w:val="TableParagraph"/>
            </w:pPr>
            <w:r w:rsidRPr="00D94610">
              <w:t>4,502</w:t>
            </w:r>
          </w:p>
        </w:tc>
        <w:tc>
          <w:tcPr>
            <w:tcW w:w="3544" w:type="dxa"/>
            <w:tcBorders>
              <w:top w:val="single" w:sz="4" w:space="0" w:color="B1B3AA"/>
              <w:left w:val="single" w:sz="4" w:space="0" w:color="B1B3AA"/>
              <w:bottom w:val="single" w:sz="4" w:space="0" w:color="B1B3AA"/>
              <w:right w:val="single" w:sz="4" w:space="0" w:color="B1B3AA"/>
            </w:tcBorders>
            <w:shd w:val="clear" w:color="auto" w:fill="002D62" w:themeFill="background2"/>
            <w:tcMar>
              <w:top w:w="85" w:type="dxa"/>
              <w:left w:w="85" w:type="dxa"/>
              <w:bottom w:w="85" w:type="dxa"/>
              <w:right w:w="85" w:type="dxa"/>
            </w:tcMar>
          </w:tcPr>
          <w:p w14:paraId="39174D44" w14:textId="77777777" w:rsidR="006E33A8" w:rsidRPr="00D94610" w:rsidRDefault="006E33A8" w:rsidP="007F09E7">
            <w:pPr>
              <w:pStyle w:val="TableParagraph"/>
            </w:pPr>
            <w:r w:rsidRPr="00D94610">
              <w:t>485</w:t>
            </w:r>
          </w:p>
        </w:tc>
        <w:tc>
          <w:tcPr>
            <w:tcW w:w="2126" w:type="dxa"/>
            <w:tcBorders>
              <w:top w:val="single" w:sz="4" w:space="0" w:color="B1B3AA"/>
              <w:left w:val="single" w:sz="4" w:space="0" w:color="B1B3AA"/>
              <w:bottom w:val="single" w:sz="4" w:space="0" w:color="B1B3AA"/>
              <w:right w:val="single" w:sz="4" w:space="0" w:color="B1B3AA"/>
            </w:tcBorders>
            <w:shd w:val="clear" w:color="auto" w:fill="002D62" w:themeFill="background2"/>
            <w:tcMar>
              <w:top w:w="85" w:type="dxa"/>
              <w:left w:w="85" w:type="dxa"/>
              <w:bottom w:w="85" w:type="dxa"/>
              <w:right w:w="85" w:type="dxa"/>
            </w:tcMar>
          </w:tcPr>
          <w:p w14:paraId="4DFBF335" w14:textId="77777777" w:rsidR="006E33A8" w:rsidRPr="00D94610" w:rsidRDefault="006E33A8" w:rsidP="007F09E7">
            <w:pPr>
              <w:pStyle w:val="TableParagraph"/>
            </w:pPr>
            <w:r w:rsidRPr="00D94610">
              <w:t>11%</w:t>
            </w:r>
          </w:p>
        </w:tc>
      </w:tr>
    </w:tbl>
    <w:p w14:paraId="333592AC" w14:textId="77777777" w:rsidR="002E2F2F" w:rsidRDefault="002E2F2F" w:rsidP="007F09E7">
      <w:pPr>
        <w:pStyle w:val="TableParagraph"/>
      </w:pPr>
    </w:p>
    <w:p w14:paraId="130FC7D9" w14:textId="1E86C4B8" w:rsidR="006E33A8" w:rsidRPr="002E2F2F" w:rsidRDefault="006E33A8" w:rsidP="00305B4B">
      <w:pPr>
        <w:pStyle w:val="BodyText"/>
        <w:ind w:right="3"/>
      </w:pPr>
      <w:r w:rsidRPr="002E2F2F">
        <w:t>Analysing by state</w:t>
      </w:r>
      <w:r w:rsidR="00FF5980" w:rsidRPr="002E2F2F">
        <w:t>/</w:t>
      </w:r>
      <w:r w:rsidR="00B63B84" w:rsidRPr="002E2F2F">
        <w:t>t</w:t>
      </w:r>
      <w:r w:rsidRPr="002E2F2F">
        <w:t xml:space="preserve">erritory, NT and VIC had the highest percentage of </w:t>
      </w:r>
      <w:r w:rsidR="00D5447A" w:rsidRPr="002E2F2F">
        <w:t xml:space="preserve">participants completing </w:t>
      </w:r>
      <w:r w:rsidRPr="002E2F2F">
        <w:t>TWES at 19% and 13% respectively</w:t>
      </w:r>
      <w:r w:rsidR="00270F72" w:rsidRPr="002E2F2F">
        <w:t xml:space="preserve"> (</w:t>
      </w:r>
      <w:r w:rsidR="00270F72" w:rsidRPr="002E2F2F">
        <w:rPr>
          <w:b/>
          <w:bCs/>
        </w:rPr>
        <w:fldChar w:fldCharType="begin"/>
      </w:r>
      <w:r w:rsidR="00270F72" w:rsidRPr="002E2F2F">
        <w:rPr>
          <w:b/>
          <w:bCs/>
        </w:rPr>
        <w:instrText xml:space="preserve"> REF _Ref72766894 \h </w:instrText>
      </w:r>
      <w:r w:rsidR="004609AB" w:rsidRPr="002E2F2F">
        <w:rPr>
          <w:b/>
          <w:bCs/>
        </w:rPr>
        <w:instrText xml:space="preserve"> \* MERGEFORMAT </w:instrText>
      </w:r>
      <w:r w:rsidR="00270F72" w:rsidRPr="002E2F2F">
        <w:rPr>
          <w:b/>
          <w:bCs/>
        </w:rPr>
      </w:r>
      <w:r w:rsidR="00270F72" w:rsidRPr="002E2F2F">
        <w:rPr>
          <w:b/>
          <w:bCs/>
        </w:rPr>
        <w:fldChar w:fldCharType="separate"/>
      </w:r>
      <w:r w:rsidR="00E93A98" w:rsidRPr="002E2F2F">
        <w:rPr>
          <w:b/>
          <w:bCs/>
        </w:rPr>
        <w:t>Table 6</w:t>
      </w:r>
      <w:r w:rsidR="00270F72" w:rsidRPr="002E2F2F">
        <w:rPr>
          <w:b/>
          <w:bCs/>
        </w:rPr>
        <w:fldChar w:fldCharType="end"/>
      </w:r>
      <w:r w:rsidR="00270F72" w:rsidRPr="002E2F2F">
        <w:t>)</w:t>
      </w:r>
      <w:r w:rsidRPr="002E2F2F">
        <w:t xml:space="preserve">. Notably, TAS had no </w:t>
      </w:r>
      <w:r w:rsidR="00D5447A" w:rsidRPr="002E2F2F">
        <w:t xml:space="preserve">participants completing TWES </w:t>
      </w:r>
      <w:r w:rsidRPr="002E2F2F">
        <w:t xml:space="preserve">as </w:t>
      </w:r>
      <w:r w:rsidR="00270F72" w:rsidRPr="002E2F2F">
        <w:t>of</w:t>
      </w:r>
      <w:r w:rsidRPr="002E2F2F">
        <w:t xml:space="preserve"> 28 February 2021 despite 12 of its 13 </w:t>
      </w:r>
      <w:r w:rsidR="00D5447A" w:rsidRPr="002E2F2F">
        <w:t xml:space="preserve">participants </w:t>
      </w:r>
      <w:r w:rsidRPr="002E2F2F">
        <w:t xml:space="preserve">having exited TWES. ACT </w:t>
      </w:r>
      <w:r w:rsidR="00C47724" w:rsidRPr="002E2F2F">
        <w:t>also ha</w:t>
      </w:r>
      <w:r w:rsidR="00B92C6A" w:rsidRPr="002E2F2F">
        <w:t>d</w:t>
      </w:r>
      <w:r w:rsidR="00C47724" w:rsidRPr="002E2F2F">
        <w:t xml:space="preserve"> </w:t>
      </w:r>
      <w:r w:rsidR="001926D0" w:rsidRPr="002E2F2F">
        <w:t>a</w:t>
      </w:r>
      <w:r w:rsidR="00C47724" w:rsidRPr="002E2F2F">
        <w:t xml:space="preserve"> very low</w:t>
      </w:r>
      <w:r w:rsidRPr="002E2F2F">
        <w:t xml:space="preserve"> </w:t>
      </w:r>
      <w:r w:rsidR="00DE44E6" w:rsidRPr="002E2F2F">
        <w:t xml:space="preserve">proportion of participants completing TWES </w:t>
      </w:r>
      <w:r w:rsidR="00C47724" w:rsidRPr="002E2F2F">
        <w:t>(not provided below for privacy reasons)</w:t>
      </w:r>
      <w:r w:rsidRPr="002E2F2F">
        <w:t xml:space="preserve"> and SA had six </w:t>
      </w:r>
      <w:r w:rsidR="00DE44E6" w:rsidRPr="002E2F2F">
        <w:t>participants completing TWES</w:t>
      </w:r>
      <w:r w:rsidRPr="002E2F2F">
        <w:t>.</w:t>
      </w:r>
    </w:p>
    <w:p w14:paraId="4A68B9BD" w14:textId="3B873231" w:rsidR="006E33A8" w:rsidRPr="002E2F2F" w:rsidRDefault="006E33A8" w:rsidP="00D94610">
      <w:pPr>
        <w:pStyle w:val="Caption"/>
      </w:pPr>
      <w:bookmarkStart w:id="84" w:name="_Ref72766894"/>
      <w:r w:rsidRPr="00D94610">
        <w:t>Table</w:t>
      </w:r>
      <w:r w:rsidRPr="002E2F2F">
        <w:t xml:space="preserve"> </w:t>
      </w:r>
      <w:r w:rsidRPr="002E2F2F">
        <w:fldChar w:fldCharType="begin"/>
      </w:r>
      <w:r w:rsidRPr="002E2F2F">
        <w:instrText xml:space="preserve"> SEQ Table \* ARABIC </w:instrText>
      </w:r>
      <w:r w:rsidRPr="002E2F2F">
        <w:fldChar w:fldCharType="separate"/>
      </w:r>
      <w:r w:rsidR="00E93A98" w:rsidRPr="002E2F2F">
        <w:t>6</w:t>
      </w:r>
      <w:r w:rsidRPr="002E2F2F">
        <w:fldChar w:fldCharType="end"/>
      </w:r>
      <w:bookmarkEnd w:id="84"/>
      <w:r w:rsidRPr="002E2F2F">
        <w:t xml:space="preserve">: </w:t>
      </w:r>
      <w:r w:rsidR="009F1749" w:rsidRPr="002E2F2F">
        <w:t xml:space="preserve">Participants commencing </w:t>
      </w:r>
      <w:r w:rsidR="009F1749" w:rsidRPr="00D94610">
        <w:t>and</w:t>
      </w:r>
      <w:r w:rsidR="009F1749" w:rsidRPr="002E2F2F">
        <w:t xml:space="preserve"> completing TWES </w:t>
      </w:r>
      <w:r w:rsidRPr="002E2F2F">
        <w:t>(</w:t>
      </w:r>
      <w:r w:rsidR="00B63B84" w:rsidRPr="002E2F2F">
        <w:t>states</w:t>
      </w:r>
      <w:r w:rsidR="00FF5980" w:rsidRPr="002E2F2F">
        <w:t>/</w:t>
      </w:r>
      <w:r w:rsidR="00B63B84" w:rsidRPr="002E2F2F">
        <w:t>territories</w:t>
      </w:r>
      <w:r w:rsidRPr="002E2F2F">
        <w:t>)</w:t>
      </w:r>
    </w:p>
    <w:tbl>
      <w:tblPr>
        <w:tblW w:w="0" w:type="auto"/>
        <w:tblInd w:w="32" w:type="dxa"/>
        <w:tblBorders>
          <w:top w:val="single" w:sz="8" w:space="0" w:color="B1B3AA"/>
          <w:left w:val="single" w:sz="8" w:space="0" w:color="B1B3AA"/>
          <w:bottom w:val="single" w:sz="8" w:space="0" w:color="B1B3AA"/>
          <w:right w:val="single" w:sz="8" w:space="0" w:color="B1B3AA"/>
          <w:insideH w:val="single" w:sz="8" w:space="0" w:color="B1B3AA"/>
          <w:insideV w:val="single" w:sz="8" w:space="0" w:color="B1B3AA"/>
        </w:tblBorders>
        <w:tblLayout w:type="fixed"/>
        <w:tblCellMar>
          <w:left w:w="0" w:type="dxa"/>
          <w:right w:w="0" w:type="dxa"/>
        </w:tblCellMar>
        <w:tblLook w:val="0000" w:firstRow="0" w:lastRow="0" w:firstColumn="0" w:lastColumn="0" w:noHBand="0" w:noVBand="0"/>
        <w:tblCaption w:val="Participants commencing and completeing TWES (states/territories)"/>
        <w:tblDescription w:val="A table of the number of participants completing TWES by state and territory where NT and VIC had the highest percentage of participants completing at 19% and 13% respectively."/>
      </w:tblPr>
      <w:tblGrid>
        <w:gridCol w:w="1518"/>
        <w:gridCol w:w="2551"/>
        <w:gridCol w:w="3544"/>
        <w:gridCol w:w="2126"/>
      </w:tblGrid>
      <w:tr w:rsidR="003A5F89" w:rsidRPr="006B0D0D" w14:paraId="407DC898" w14:textId="5DD8D52B" w:rsidTr="00D94610">
        <w:trPr>
          <w:trHeight w:val="136"/>
        </w:trPr>
        <w:tc>
          <w:tcPr>
            <w:tcW w:w="1518" w:type="dxa"/>
            <w:shd w:val="clear" w:color="auto" w:fill="002D62"/>
            <w:noWrap/>
            <w:tcMar>
              <w:top w:w="85" w:type="dxa"/>
              <w:left w:w="85" w:type="dxa"/>
              <w:bottom w:w="85" w:type="dxa"/>
              <w:right w:w="85" w:type="dxa"/>
            </w:tcMar>
          </w:tcPr>
          <w:p w14:paraId="57DBAF26" w14:textId="28242C60" w:rsidR="003A5F89" w:rsidRPr="006B0D0D" w:rsidRDefault="003A5F89" w:rsidP="00D94610">
            <w:pPr>
              <w:pStyle w:val="TableHeading"/>
            </w:pPr>
            <w:r w:rsidRPr="006B0D0D">
              <w:t>Region</w:t>
            </w:r>
          </w:p>
        </w:tc>
        <w:tc>
          <w:tcPr>
            <w:tcW w:w="2551" w:type="dxa"/>
            <w:shd w:val="clear" w:color="auto" w:fill="002D62"/>
            <w:noWrap/>
            <w:tcMar>
              <w:top w:w="85" w:type="dxa"/>
              <w:left w:w="85" w:type="dxa"/>
              <w:bottom w:w="85" w:type="dxa"/>
              <w:right w:w="85" w:type="dxa"/>
            </w:tcMar>
          </w:tcPr>
          <w:p w14:paraId="6DBD96EA" w14:textId="635E0B2C" w:rsidR="003A5F89" w:rsidRPr="006B0D0D" w:rsidRDefault="00FB517E" w:rsidP="00D94610">
            <w:pPr>
              <w:pStyle w:val="TableHeading"/>
            </w:pPr>
            <w:r>
              <w:t>All TWES participants</w:t>
            </w:r>
          </w:p>
        </w:tc>
        <w:tc>
          <w:tcPr>
            <w:tcW w:w="3544" w:type="dxa"/>
            <w:shd w:val="clear" w:color="auto" w:fill="002D62"/>
            <w:noWrap/>
            <w:tcMar>
              <w:top w:w="85" w:type="dxa"/>
              <w:left w:w="85" w:type="dxa"/>
              <w:bottom w:w="85" w:type="dxa"/>
              <w:right w:w="85" w:type="dxa"/>
            </w:tcMar>
          </w:tcPr>
          <w:p w14:paraId="1D5377E9" w14:textId="740656A6" w:rsidR="003A5F89" w:rsidRPr="006B0D0D" w:rsidRDefault="003A5F89" w:rsidP="00D94610">
            <w:pPr>
              <w:pStyle w:val="TableHeading"/>
            </w:pPr>
            <w:r>
              <w:t>Participants completing TWES</w:t>
            </w:r>
          </w:p>
        </w:tc>
        <w:tc>
          <w:tcPr>
            <w:tcW w:w="2126" w:type="dxa"/>
            <w:shd w:val="clear" w:color="auto" w:fill="002D62"/>
            <w:noWrap/>
            <w:tcMar>
              <w:top w:w="85" w:type="dxa"/>
              <w:left w:w="85" w:type="dxa"/>
              <w:bottom w:w="85" w:type="dxa"/>
              <w:right w:w="85" w:type="dxa"/>
            </w:tcMar>
          </w:tcPr>
          <w:p w14:paraId="7CEA3846" w14:textId="54D3AF78" w:rsidR="003A5F89" w:rsidRPr="006B0D0D" w:rsidRDefault="003A5F89" w:rsidP="00D94610">
            <w:pPr>
              <w:pStyle w:val="TableHeading"/>
            </w:pPr>
            <w:r>
              <w:t>As a percentage</w:t>
            </w:r>
          </w:p>
        </w:tc>
      </w:tr>
      <w:tr w:rsidR="006E33A8" w:rsidRPr="006B0D0D" w14:paraId="21FBF181" w14:textId="7640689D" w:rsidTr="00D94610">
        <w:trPr>
          <w:trHeight w:val="284"/>
        </w:trPr>
        <w:tc>
          <w:tcPr>
            <w:tcW w:w="1518" w:type="dxa"/>
            <w:noWrap/>
            <w:tcMar>
              <w:top w:w="85" w:type="dxa"/>
              <w:left w:w="85" w:type="dxa"/>
              <w:bottom w:w="85" w:type="dxa"/>
              <w:right w:w="85" w:type="dxa"/>
            </w:tcMar>
          </w:tcPr>
          <w:p w14:paraId="3485501A" w14:textId="0035A05A" w:rsidR="006E33A8" w:rsidRPr="00D94610" w:rsidRDefault="006E33A8" w:rsidP="007F09E7">
            <w:pPr>
              <w:pStyle w:val="TableParagraph"/>
            </w:pPr>
            <w:r w:rsidRPr="00D94610">
              <w:t>ACT</w:t>
            </w:r>
          </w:p>
        </w:tc>
        <w:tc>
          <w:tcPr>
            <w:tcW w:w="2551" w:type="dxa"/>
            <w:noWrap/>
            <w:tcMar>
              <w:top w:w="85" w:type="dxa"/>
              <w:left w:w="85" w:type="dxa"/>
              <w:bottom w:w="85" w:type="dxa"/>
              <w:right w:w="85" w:type="dxa"/>
            </w:tcMar>
          </w:tcPr>
          <w:p w14:paraId="795EC9F6" w14:textId="7579161B" w:rsidR="006E33A8" w:rsidRPr="00D94610" w:rsidRDefault="006E33A8" w:rsidP="007F09E7">
            <w:pPr>
              <w:pStyle w:val="TableParagraph"/>
            </w:pPr>
            <w:r w:rsidRPr="00D94610">
              <w:t>44</w:t>
            </w:r>
          </w:p>
        </w:tc>
        <w:tc>
          <w:tcPr>
            <w:tcW w:w="3544" w:type="dxa"/>
            <w:noWrap/>
            <w:tcMar>
              <w:top w:w="85" w:type="dxa"/>
              <w:left w:w="85" w:type="dxa"/>
              <w:bottom w:w="85" w:type="dxa"/>
              <w:right w:w="85" w:type="dxa"/>
            </w:tcMar>
          </w:tcPr>
          <w:p w14:paraId="4476DE60" w14:textId="03512719" w:rsidR="006E33A8" w:rsidRPr="00D94610" w:rsidRDefault="00A0285A" w:rsidP="007F09E7">
            <w:pPr>
              <w:pStyle w:val="TableParagraph"/>
            </w:pPr>
            <w:r w:rsidRPr="00D94610">
              <w:t>Not provided</w:t>
            </w:r>
          </w:p>
        </w:tc>
        <w:tc>
          <w:tcPr>
            <w:tcW w:w="2126" w:type="dxa"/>
            <w:noWrap/>
            <w:tcMar>
              <w:top w:w="85" w:type="dxa"/>
              <w:left w:w="85" w:type="dxa"/>
              <w:bottom w:w="85" w:type="dxa"/>
              <w:right w:w="85" w:type="dxa"/>
            </w:tcMar>
          </w:tcPr>
          <w:p w14:paraId="1F3DD408" w14:textId="00C08F26" w:rsidR="006E33A8" w:rsidRPr="00D94610" w:rsidRDefault="006E33A8" w:rsidP="007F09E7">
            <w:pPr>
              <w:pStyle w:val="TableParagraph"/>
            </w:pPr>
            <w:r w:rsidRPr="00D94610">
              <w:t>5%</w:t>
            </w:r>
          </w:p>
        </w:tc>
      </w:tr>
      <w:tr w:rsidR="006E33A8" w:rsidRPr="006B0D0D" w14:paraId="6242BDD7" w14:textId="603EF609" w:rsidTr="00D94610">
        <w:trPr>
          <w:trHeight w:val="284"/>
        </w:trPr>
        <w:tc>
          <w:tcPr>
            <w:tcW w:w="1518" w:type="dxa"/>
            <w:noWrap/>
            <w:tcMar>
              <w:top w:w="85" w:type="dxa"/>
              <w:left w:w="85" w:type="dxa"/>
              <w:bottom w:w="85" w:type="dxa"/>
              <w:right w:w="85" w:type="dxa"/>
            </w:tcMar>
          </w:tcPr>
          <w:p w14:paraId="596C96FC" w14:textId="5D353D1B" w:rsidR="006E33A8" w:rsidRPr="00D94610" w:rsidRDefault="006E33A8" w:rsidP="007F09E7">
            <w:pPr>
              <w:pStyle w:val="TableParagraph"/>
            </w:pPr>
            <w:r w:rsidRPr="00D94610">
              <w:lastRenderedPageBreak/>
              <w:t>NSW</w:t>
            </w:r>
          </w:p>
        </w:tc>
        <w:tc>
          <w:tcPr>
            <w:tcW w:w="2551" w:type="dxa"/>
            <w:noWrap/>
            <w:tcMar>
              <w:top w:w="85" w:type="dxa"/>
              <w:left w:w="85" w:type="dxa"/>
              <w:bottom w:w="85" w:type="dxa"/>
              <w:right w:w="85" w:type="dxa"/>
            </w:tcMar>
          </w:tcPr>
          <w:p w14:paraId="35E9396F" w14:textId="76B47314" w:rsidR="006E33A8" w:rsidRPr="00D94610" w:rsidRDefault="006E33A8" w:rsidP="007F09E7">
            <w:pPr>
              <w:pStyle w:val="TableParagraph"/>
            </w:pPr>
            <w:r w:rsidRPr="00D94610">
              <w:t>1,336</w:t>
            </w:r>
          </w:p>
        </w:tc>
        <w:tc>
          <w:tcPr>
            <w:tcW w:w="3544" w:type="dxa"/>
            <w:noWrap/>
            <w:tcMar>
              <w:top w:w="85" w:type="dxa"/>
              <w:left w:w="85" w:type="dxa"/>
              <w:bottom w:w="85" w:type="dxa"/>
              <w:right w:w="85" w:type="dxa"/>
            </w:tcMar>
          </w:tcPr>
          <w:p w14:paraId="4F4D22C7" w14:textId="09AB57ED" w:rsidR="006E33A8" w:rsidRPr="00D94610" w:rsidRDefault="006E33A8" w:rsidP="007F09E7">
            <w:pPr>
              <w:pStyle w:val="TableParagraph"/>
            </w:pPr>
            <w:r w:rsidRPr="00D94610">
              <w:t>166</w:t>
            </w:r>
          </w:p>
        </w:tc>
        <w:tc>
          <w:tcPr>
            <w:tcW w:w="2126" w:type="dxa"/>
            <w:noWrap/>
            <w:tcMar>
              <w:top w:w="85" w:type="dxa"/>
              <w:left w:w="85" w:type="dxa"/>
              <w:bottom w:w="85" w:type="dxa"/>
              <w:right w:w="85" w:type="dxa"/>
            </w:tcMar>
          </w:tcPr>
          <w:p w14:paraId="5D3C02C2" w14:textId="262B2534" w:rsidR="006E33A8" w:rsidRPr="00D94610" w:rsidRDefault="006E33A8" w:rsidP="007F09E7">
            <w:pPr>
              <w:pStyle w:val="TableParagraph"/>
            </w:pPr>
            <w:r w:rsidRPr="00D94610">
              <w:t>12%</w:t>
            </w:r>
          </w:p>
        </w:tc>
      </w:tr>
      <w:tr w:rsidR="006E33A8" w:rsidRPr="006B0D0D" w14:paraId="30AF7A9E" w14:textId="4281962C" w:rsidTr="00D94610">
        <w:trPr>
          <w:trHeight w:val="284"/>
        </w:trPr>
        <w:tc>
          <w:tcPr>
            <w:tcW w:w="1518" w:type="dxa"/>
            <w:noWrap/>
            <w:tcMar>
              <w:top w:w="85" w:type="dxa"/>
              <w:left w:w="85" w:type="dxa"/>
              <w:bottom w:w="85" w:type="dxa"/>
              <w:right w:w="85" w:type="dxa"/>
            </w:tcMar>
          </w:tcPr>
          <w:p w14:paraId="3579DA7E" w14:textId="2193B3F3" w:rsidR="006E33A8" w:rsidRPr="00D94610" w:rsidRDefault="006E33A8" w:rsidP="007F09E7">
            <w:pPr>
              <w:pStyle w:val="TableParagraph"/>
            </w:pPr>
            <w:r w:rsidRPr="00D94610">
              <w:t>NT</w:t>
            </w:r>
          </w:p>
        </w:tc>
        <w:tc>
          <w:tcPr>
            <w:tcW w:w="2551" w:type="dxa"/>
            <w:noWrap/>
            <w:tcMar>
              <w:top w:w="85" w:type="dxa"/>
              <w:left w:w="85" w:type="dxa"/>
              <w:bottom w:w="85" w:type="dxa"/>
              <w:right w:w="85" w:type="dxa"/>
            </w:tcMar>
          </w:tcPr>
          <w:p w14:paraId="1EBFD124" w14:textId="3A6B3A7C" w:rsidR="006E33A8" w:rsidRPr="00D94610" w:rsidRDefault="006E33A8" w:rsidP="007F09E7">
            <w:pPr>
              <w:pStyle w:val="TableParagraph"/>
            </w:pPr>
            <w:r w:rsidRPr="00D94610">
              <w:t>286</w:t>
            </w:r>
          </w:p>
        </w:tc>
        <w:tc>
          <w:tcPr>
            <w:tcW w:w="3544" w:type="dxa"/>
            <w:noWrap/>
            <w:tcMar>
              <w:top w:w="85" w:type="dxa"/>
              <w:left w:w="85" w:type="dxa"/>
              <w:bottom w:w="85" w:type="dxa"/>
              <w:right w:w="85" w:type="dxa"/>
            </w:tcMar>
          </w:tcPr>
          <w:p w14:paraId="3FC722DA" w14:textId="3EAF6C48" w:rsidR="006E33A8" w:rsidRPr="00D94610" w:rsidRDefault="006E33A8" w:rsidP="007F09E7">
            <w:pPr>
              <w:pStyle w:val="TableParagraph"/>
            </w:pPr>
            <w:r w:rsidRPr="00D94610">
              <w:t>53</w:t>
            </w:r>
          </w:p>
        </w:tc>
        <w:tc>
          <w:tcPr>
            <w:tcW w:w="2126" w:type="dxa"/>
            <w:noWrap/>
            <w:tcMar>
              <w:top w:w="85" w:type="dxa"/>
              <w:left w:w="85" w:type="dxa"/>
              <w:bottom w:w="85" w:type="dxa"/>
              <w:right w:w="85" w:type="dxa"/>
            </w:tcMar>
          </w:tcPr>
          <w:p w14:paraId="5590D7B1" w14:textId="6AD9D9B3" w:rsidR="006E33A8" w:rsidRPr="00D94610" w:rsidRDefault="006E33A8" w:rsidP="007F09E7">
            <w:pPr>
              <w:pStyle w:val="TableParagraph"/>
            </w:pPr>
            <w:r w:rsidRPr="00D94610">
              <w:t>19%</w:t>
            </w:r>
          </w:p>
        </w:tc>
      </w:tr>
      <w:tr w:rsidR="006E33A8" w:rsidRPr="006B0D0D" w14:paraId="29EB90FD" w14:textId="3F4F84D0" w:rsidTr="00D94610">
        <w:trPr>
          <w:trHeight w:val="284"/>
        </w:trPr>
        <w:tc>
          <w:tcPr>
            <w:tcW w:w="1518" w:type="dxa"/>
            <w:noWrap/>
            <w:tcMar>
              <w:top w:w="85" w:type="dxa"/>
              <w:left w:w="85" w:type="dxa"/>
              <w:bottom w:w="85" w:type="dxa"/>
              <w:right w:w="85" w:type="dxa"/>
            </w:tcMar>
          </w:tcPr>
          <w:p w14:paraId="56FFC6A7" w14:textId="2196424B" w:rsidR="006E33A8" w:rsidRPr="00D94610" w:rsidRDefault="006E33A8" w:rsidP="007F09E7">
            <w:pPr>
              <w:pStyle w:val="TableParagraph"/>
            </w:pPr>
            <w:r w:rsidRPr="00D94610">
              <w:t>QLD</w:t>
            </w:r>
          </w:p>
        </w:tc>
        <w:tc>
          <w:tcPr>
            <w:tcW w:w="2551" w:type="dxa"/>
            <w:noWrap/>
            <w:tcMar>
              <w:top w:w="85" w:type="dxa"/>
              <w:left w:w="85" w:type="dxa"/>
              <w:bottom w:w="85" w:type="dxa"/>
              <w:right w:w="85" w:type="dxa"/>
            </w:tcMar>
          </w:tcPr>
          <w:p w14:paraId="2D74EAE8" w14:textId="1C79EFAC" w:rsidR="006E33A8" w:rsidRPr="00D94610" w:rsidRDefault="006E33A8" w:rsidP="007F09E7">
            <w:pPr>
              <w:pStyle w:val="TableParagraph"/>
            </w:pPr>
            <w:r w:rsidRPr="00D94610">
              <w:t>1,429</w:t>
            </w:r>
          </w:p>
        </w:tc>
        <w:tc>
          <w:tcPr>
            <w:tcW w:w="3544" w:type="dxa"/>
            <w:noWrap/>
            <w:tcMar>
              <w:top w:w="85" w:type="dxa"/>
              <w:left w:w="85" w:type="dxa"/>
              <w:bottom w:w="85" w:type="dxa"/>
              <w:right w:w="85" w:type="dxa"/>
            </w:tcMar>
          </w:tcPr>
          <w:p w14:paraId="796491E1" w14:textId="0CEC4FD9" w:rsidR="006E33A8" w:rsidRPr="00D94610" w:rsidRDefault="006E33A8" w:rsidP="007F09E7">
            <w:pPr>
              <w:pStyle w:val="TableParagraph"/>
            </w:pPr>
            <w:r w:rsidRPr="00D94610">
              <w:t>151</w:t>
            </w:r>
          </w:p>
        </w:tc>
        <w:tc>
          <w:tcPr>
            <w:tcW w:w="2126" w:type="dxa"/>
            <w:noWrap/>
            <w:tcMar>
              <w:top w:w="85" w:type="dxa"/>
              <w:left w:w="85" w:type="dxa"/>
              <w:bottom w:w="85" w:type="dxa"/>
              <w:right w:w="85" w:type="dxa"/>
            </w:tcMar>
          </w:tcPr>
          <w:p w14:paraId="223D6F82" w14:textId="60BFF60F" w:rsidR="006E33A8" w:rsidRPr="00D94610" w:rsidRDefault="006E33A8" w:rsidP="007F09E7">
            <w:pPr>
              <w:pStyle w:val="TableParagraph"/>
            </w:pPr>
            <w:r w:rsidRPr="00D94610">
              <w:t>11%</w:t>
            </w:r>
          </w:p>
        </w:tc>
      </w:tr>
      <w:tr w:rsidR="006E33A8" w:rsidRPr="006B0D0D" w14:paraId="2D788990" w14:textId="00E228E7" w:rsidTr="00D94610">
        <w:trPr>
          <w:trHeight w:val="284"/>
        </w:trPr>
        <w:tc>
          <w:tcPr>
            <w:tcW w:w="1518" w:type="dxa"/>
            <w:noWrap/>
            <w:tcMar>
              <w:top w:w="85" w:type="dxa"/>
              <w:left w:w="85" w:type="dxa"/>
              <w:bottom w:w="85" w:type="dxa"/>
              <w:right w:w="85" w:type="dxa"/>
            </w:tcMar>
          </w:tcPr>
          <w:p w14:paraId="4D260DAE" w14:textId="6925114D" w:rsidR="006E33A8" w:rsidRPr="00D94610" w:rsidRDefault="006E33A8" w:rsidP="007F09E7">
            <w:pPr>
              <w:pStyle w:val="TableParagraph"/>
            </w:pPr>
            <w:r w:rsidRPr="00D94610">
              <w:t>SA</w:t>
            </w:r>
          </w:p>
        </w:tc>
        <w:tc>
          <w:tcPr>
            <w:tcW w:w="2551" w:type="dxa"/>
            <w:noWrap/>
            <w:tcMar>
              <w:top w:w="85" w:type="dxa"/>
              <w:left w:w="85" w:type="dxa"/>
              <w:bottom w:w="85" w:type="dxa"/>
              <w:right w:w="85" w:type="dxa"/>
            </w:tcMar>
          </w:tcPr>
          <w:p w14:paraId="47E7A8E6" w14:textId="4E15B7B3" w:rsidR="006E33A8" w:rsidRPr="00D94610" w:rsidRDefault="006E33A8" w:rsidP="007F09E7">
            <w:pPr>
              <w:pStyle w:val="TableParagraph"/>
            </w:pPr>
            <w:r w:rsidRPr="00D94610">
              <w:t>120</w:t>
            </w:r>
          </w:p>
        </w:tc>
        <w:tc>
          <w:tcPr>
            <w:tcW w:w="3544" w:type="dxa"/>
            <w:noWrap/>
            <w:tcMar>
              <w:top w:w="85" w:type="dxa"/>
              <w:left w:w="85" w:type="dxa"/>
              <w:bottom w:w="85" w:type="dxa"/>
              <w:right w:w="85" w:type="dxa"/>
            </w:tcMar>
          </w:tcPr>
          <w:p w14:paraId="1D474D7C" w14:textId="32352A1E" w:rsidR="006E33A8" w:rsidRPr="00D94610" w:rsidRDefault="006E33A8" w:rsidP="007F09E7">
            <w:pPr>
              <w:pStyle w:val="TableParagraph"/>
            </w:pPr>
            <w:r w:rsidRPr="00D94610">
              <w:t>6</w:t>
            </w:r>
          </w:p>
        </w:tc>
        <w:tc>
          <w:tcPr>
            <w:tcW w:w="2126" w:type="dxa"/>
            <w:noWrap/>
            <w:tcMar>
              <w:top w:w="85" w:type="dxa"/>
              <w:left w:w="85" w:type="dxa"/>
              <w:bottom w:w="85" w:type="dxa"/>
              <w:right w:w="85" w:type="dxa"/>
            </w:tcMar>
          </w:tcPr>
          <w:p w14:paraId="53743DED" w14:textId="3C9D7D71" w:rsidR="006E33A8" w:rsidRPr="00D94610" w:rsidRDefault="006E33A8" w:rsidP="007F09E7">
            <w:pPr>
              <w:pStyle w:val="TableParagraph"/>
            </w:pPr>
            <w:r w:rsidRPr="00D94610">
              <w:t>5%</w:t>
            </w:r>
          </w:p>
        </w:tc>
      </w:tr>
      <w:tr w:rsidR="006E33A8" w:rsidRPr="006B0D0D" w14:paraId="062726CB" w14:textId="76D41CB3" w:rsidTr="00D94610">
        <w:trPr>
          <w:trHeight w:val="284"/>
        </w:trPr>
        <w:tc>
          <w:tcPr>
            <w:tcW w:w="1518" w:type="dxa"/>
            <w:noWrap/>
            <w:tcMar>
              <w:top w:w="85" w:type="dxa"/>
              <w:left w:w="85" w:type="dxa"/>
              <w:bottom w:w="85" w:type="dxa"/>
              <w:right w:w="85" w:type="dxa"/>
            </w:tcMar>
          </w:tcPr>
          <w:p w14:paraId="04421256" w14:textId="025D6A04" w:rsidR="006E33A8" w:rsidRPr="002E2F2F" w:rsidRDefault="006E33A8" w:rsidP="007F09E7">
            <w:pPr>
              <w:pStyle w:val="TableParagraph"/>
            </w:pPr>
            <w:r w:rsidRPr="002E2F2F">
              <w:t>TAS</w:t>
            </w:r>
          </w:p>
        </w:tc>
        <w:tc>
          <w:tcPr>
            <w:tcW w:w="2551" w:type="dxa"/>
            <w:noWrap/>
            <w:tcMar>
              <w:top w:w="85" w:type="dxa"/>
              <w:left w:w="85" w:type="dxa"/>
              <w:bottom w:w="85" w:type="dxa"/>
              <w:right w:w="85" w:type="dxa"/>
            </w:tcMar>
          </w:tcPr>
          <w:p w14:paraId="75C6297B" w14:textId="54B8C856" w:rsidR="006E33A8" w:rsidRPr="002E2F2F" w:rsidRDefault="006E33A8" w:rsidP="007F09E7">
            <w:pPr>
              <w:pStyle w:val="TableParagraph"/>
            </w:pPr>
            <w:r w:rsidRPr="002E2F2F">
              <w:t>13</w:t>
            </w:r>
          </w:p>
        </w:tc>
        <w:tc>
          <w:tcPr>
            <w:tcW w:w="3544" w:type="dxa"/>
            <w:noWrap/>
            <w:tcMar>
              <w:top w:w="85" w:type="dxa"/>
              <w:left w:w="85" w:type="dxa"/>
              <w:bottom w:w="85" w:type="dxa"/>
              <w:right w:w="85" w:type="dxa"/>
            </w:tcMar>
          </w:tcPr>
          <w:p w14:paraId="4E325562" w14:textId="4FEA5D84" w:rsidR="006E33A8" w:rsidRPr="002E2F2F" w:rsidRDefault="006E33A8" w:rsidP="007F09E7">
            <w:pPr>
              <w:pStyle w:val="TableParagraph"/>
            </w:pPr>
            <w:r w:rsidRPr="002E2F2F">
              <w:t>0</w:t>
            </w:r>
          </w:p>
        </w:tc>
        <w:tc>
          <w:tcPr>
            <w:tcW w:w="2126" w:type="dxa"/>
            <w:noWrap/>
            <w:tcMar>
              <w:top w:w="85" w:type="dxa"/>
              <w:left w:w="85" w:type="dxa"/>
              <w:bottom w:w="85" w:type="dxa"/>
              <w:right w:w="85" w:type="dxa"/>
            </w:tcMar>
          </w:tcPr>
          <w:p w14:paraId="7C027A9F" w14:textId="6D126C5D" w:rsidR="006E33A8" w:rsidRPr="002E2F2F" w:rsidRDefault="006E33A8" w:rsidP="007F09E7">
            <w:pPr>
              <w:pStyle w:val="TableParagraph"/>
            </w:pPr>
            <w:r w:rsidRPr="002E2F2F">
              <w:t>0%</w:t>
            </w:r>
          </w:p>
        </w:tc>
      </w:tr>
      <w:tr w:rsidR="006E33A8" w:rsidRPr="006B0D0D" w14:paraId="7E06ED40" w14:textId="5B37DEB8" w:rsidTr="00D94610">
        <w:trPr>
          <w:trHeight w:val="284"/>
        </w:trPr>
        <w:tc>
          <w:tcPr>
            <w:tcW w:w="1518" w:type="dxa"/>
            <w:noWrap/>
            <w:tcMar>
              <w:top w:w="85" w:type="dxa"/>
              <w:left w:w="85" w:type="dxa"/>
              <w:bottom w:w="85" w:type="dxa"/>
              <w:right w:w="85" w:type="dxa"/>
            </w:tcMar>
          </w:tcPr>
          <w:p w14:paraId="2707E522" w14:textId="298E5DC5" w:rsidR="006E33A8" w:rsidRPr="002E2F2F" w:rsidRDefault="006E33A8" w:rsidP="007F09E7">
            <w:pPr>
              <w:pStyle w:val="TableParagraph"/>
            </w:pPr>
            <w:r w:rsidRPr="002E2F2F">
              <w:t>VIC</w:t>
            </w:r>
          </w:p>
        </w:tc>
        <w:tc>
          <w:tcPr>
            <w:tcW w:w="2551" w:type="dxa"/>
            <w:noWrap/>
            <w:tcMar>
              <w:top w:w="85" w:type="dxa"/>
              <w:left w:w="85" w:type="dxa"/>
              <w:bottom w:w="85" w:type="dxa"/>
              <w:right w:w="85" w:type="dxa"/>
            </w:tcMar>
          </w:tcPr>
          <w:p w14:paraId="74EE0358" w14:textId="55B01FF0" w:rsidR="006E33A8" w:rsidRPr="002E2F2F" w:rsidRDefault="006E33A8" w:rsidP="007F09E7">
            <w:pPr>
              <w:pStyle w:val="TableParagraph"/>
            </w:pPr>
            <w:r w:rsidRPr="002E2F2F">
              <w:t>179</w:t>
            </w:r>
          </w:p>
        </w:tc>
        <w:tc>
          <w:tcPr>
            <w:tcW w:w="3544" w:type="dxa"/>
            <w:noWrap/>
            <w:tcMar>
              <w:top w:w="85" w:type="dxa"/>
              <w:left w:w="85" w:type="dxa"/>
              <w:bottom w:w="85" w:type="dxa"/>
              <w:right w:w="85" w:type="dxa"/>
            </w:tcMar>
          </w:tcPr>
          <w:p w14:paraId="6A03376F" w14:textId="60C61E11" w:rsidR="006E33A8" w:rsidRPr="002E2F2F" w:rsidRDefault="006E33A8" w:rsidP="007F09E7">
            <w:pPr>
              <w:pStyle w:val="TableParagraph"/>
            </w:pPr>
            <w:r w:rsidRPr="002E2F2F">
              <w:t>24</w:t>
            </w:r>
          </w:p>
        </w:tc>
        <w:tc>
          <w:tcPr>
            <w:tcW w:w="2126" w:type="dxa"/>
            <w:noWrap/>
            <w:tcMar>
              <w:top w:w="85" w:type="dxa"/>
              <w:left w:w="85" w:type="dxa"/>
              <w:bottom w:w="85" w:type="dxa"/>
              <w:right w:w="85" w:type="dxa"/>
            </w:tcMar>
          </w:tcPr>
          <w:p w14:paraId="18728FE4" w14:textId="2B7C50E3" w:rsidR="006E33A8" w:rsidRPr="002E2F2F" w:rsidRDefault="006E33A8" w:rsidP="007F09E7">
            <w:pPr>
              <w:pStyle w:val="TableParagraph"/>
            </w:pPr>
            <w:r w:rsidRPr="002E2F2F">
              <w:t>13%</w:t>
            </w:r>
          </w:p>
        </w:tc>
      </w:tr>
      <w:tr w:rsidR="006E33A8" w:rsidRPr="006B0D0D" w14:paraId="0AF7386A" w14:textId="7B928DE2" w:rsidTr="00D94610">
        <w:trPr>
          <w:trHeight w:val="284"/>
        </w:trPr>
        <w:tc>
          <w:tcPr>
            <w:tcW w:w="1518" w:type="dxa"/>
            <w:noWrap/>
            <w:tcMar>
              <w:top w:w="85" w:type="dxa"/>
              <w:left w:w="85" w:type="dxa"/>
              <w:bottom w:w="85" w:type="dxa"/>
              <w:right w:w="85" w:type="dxa"/>
            </w:tcMar>
          </w:tcPr>
          <w:p w14:paraId="6AC89EC4" w14:textId="78AA34DB" w:rsidR="006E33A8" w:rsidRPr="002E2F2F" w:rsidRDefault="006E33A8" w:rsidP="007F09E7">
            <w:pPr>
              <w:pStyle w:val="TableParagraph"/>
            </w:pPr>
            <w:r w:rsidRPr="002E2F2F">
              <w:t>WA</w:t>
            </w:r>
          </w:p>
        </w:tc>
        <w:tc>
          <w:tcPr>
            <w:tcW w:w="2551" w:type="dxa"/>
            <w:noWrap/>
            <w:tcMar>
              <w:top w:w="85" w:type="dxa"/>
              <w:left w:w="85" w:type="dxa"/>
              <w:bottom w:w="85" w:type="dxa"/>
              <w:right w:w="85" w:type="dxa"/>
            </w:tcMar>
          </w:tcPr>
          <w:p w14:paraId="2D7FC269" w14:textId="34BAA8F3" w:rsidR="006E33A8" w:rsidRPr="002E2F2F" w:rsidRDefault="006E33A8" w:rsidP="007F09E7">
            <w:pPr>
              <w:pStyle w:val="TableParagraph"/>
            </w:pPr>
            <w:r w:rsidRPr="002E2F2F">
              <w:t>1,095</w:t>
            </w:r>
          </w:p>
        </w:tc>
        <w:tc>
          <w:tcPr>
            <w:tcW w:w="3544" w:type="dxa"/>
            <w:noWrap/>
            <w:tcMar>
              <w:top w:w="85" w:type="dxa"/>
              <w:left w:w="85" w:type="dxa"/>
              <w:bottom w:w="85" w:type="dxa"/>
              <w:right w:w="85" w:type="dxa"/>
            </w:tcMar>
          </w:tcPr>
          <w:p w14:paraId="1951FDB4" w14:textId="77F041A0" w:rsidR="006E33A8" w:rsidRPr="002E2F2F" w:rsidRDefault="006E33A8" w:rsidP="007F09E7">
            <w:pPr>
              <w:pStyle w:val="TableParagraph"/>
            </w:pPr>
            <w:r w:rsidRPr="002E2F2F">
              <w:t>83</w:t>
            </w:r>
          </w:p>
        </w:tc>
        <w:tc>
          <w:tcPr>
            <w:tcW w:w="2126" w:type="dxa"/>
            <w:noWrap/>
            <w:tcMar>
              <w:top w:w="85" w:type="dxa"/>
              <w:left w:w="85" w:type="dxa"/>
              <w:bottom w:w="85" w:type="dxa"/>
              <w:right w:w="85" w:type="dxa"/>
            </w:tcMar>
          </w:tcPr>
          <w:p w14:paraId="797EA7C5" w14:textId="57127EAD" w:rsidR="006E33A8" w:rsidRPr="002E2F2F" w:rsidRDefault="006E33A8" w:rsidP="007F09E7">
            <w:pPr>
              <w:pStyle w:val="TableParagraph"/>
            </w:pPr>
            <w:r w:rsidRPr="002E2F2F">
              <w:t>8%</w:t>
            </w:r>
          </w:p>
        </w:tc>
      </w:tr>
      <w:tr w:rsidR="006E33A8" w:rsidRPr="006B0D0D" w14:paraId="164A4736" w14:textId="656F76A4" w:rsidTr="00D94610">
        <w:trPr>
          <w:trHeight w:val="108"/>
        </w:trPr>
        <w:tc>
          <w:tcPr>
            <w:tcW w:w="1518" w:type="dxa"/>
            <w:shd w:val="clear" w:color="auto" w:fill="002D62"/>
            <w:tcMar>
              <w:top w:w="85" w:type="dxa"/>
              <w:left w:w="85" w:type="dxa"/>
              <w:bottom w:w="85" w:type="dxa"/>
              <w:right w:w="85" w:type="dxa"/>
            </w:tcMar>
          </w:tcPr>
          <w:p w14:paraId="493BFA1F" w14:textId="59799176" w:rsidR="006E33A8" w:rsidRPr="00D94610" w:rsidRDefault="006E33A8" w:rsidP="007F09E7">
            <w:pPr>
              <w:pStyle w:val="TableParagraph"/>
            </w:pPr>
            <w:r w:rsidRPr="00D94610">
              <w:t>Total</w:t>
            </w:r>
          </w:p>
        </w:tc>
        <w:tc>
          <w:tcPr>
            <w:tcW w:w="2551" w:type="dxa"/>
            <w:shd w:val="clear" w:color="auto" w:fill="002D62"/>
            <w:tcMar>
              <w:top w:w="85" w:type="dxa"/>
              <w:left w:w="85" w:type="dxa"/>
              <w:bottom w:w="85" w:type="dxa"/>
              <w:right w:w="85" w:type="dxa"/>
            </w:tcMar>
          </w:tcPr>
          <w:p w14:paraId="1CF75945" w14:textId="27CE3E06" w:rsidR="006E33A8" w:rsidRPr="00D94610" w:rsidRDefault="006E33A8" w:rsidP="007F09E7">
            <w:pPr>
              <w:pStyle w:val="TableParagraph"/>
            </w:pPr>
            <w:r w:rsidRPr="00D94610">
              <w:t>4,502</w:t>
            </w:r>
          </w:p>
        </w:tc>
        <w:tc>
          <w:tcPr>
            <w:tcW w:w="3544" w:type="dxa"/>
            <w:shd w:val="clear" w:color="auto" w:fill="002D62"/>
            <w:tcMar>
              <w:top w:w="85" w:type="dxa"/>
              <w:left w:w="85" w:type="dxa"/>
              <w:bottom w:w="85" w:type="dxa"/>
              <w:right w:w="85" w:type="dxa"/>
            </w:tcMar>
          </w:tcPr>
          <w:p w14:paraId="58287605" w14:textId="2E2E4412" w:rsidR="006E33A8" w:rsidRPr="00D94610" w:rsidRDefault="006E33A8" w:rsidP="007F09E7">
            <w:pPr>
              <w:pStyle w:val="TableParagraph"/>
            </w:pPr>
            <w:r w:rsidRPr="00D94610">
              <w:t>485</w:t>
            </w:r>
          </w:p>
        </w:tc>
        <w:tc>
          <w:tcPr>
            <w:tcW w:w="2126" w:type="dxa"/>
            <w:shd w:val="clear" w:color="auto" w:fill="002D62"/>
            <w:tcMar>
              <w:top w:w="85" w:type="dxa"/>
              <w:left w:w="85" w:type="dxa"/>
              <w:bottom w:w="85" w:type="dxa"/>
              <w:right w:w="85" w:type="dxa"/>
            </w:tcMar>
          </w:tcPr>
          <w:p w14:paraId="2344825F" w14:textId="3FF642DA" w:rsidR="006E33A8" w:rsidRPr="00D94610" w:rsidRDefault="006E33A8" w:rsidP="007F09E7">
            <w:pPr>
              <w:pStyle w:val="TableParagraph"/>
            </w:pPr>
            <w:r w:rsidRPr="00D94610">
              <w:t>11%</w:t>
            </w:r>
          </w:p>
        </w:tc>
      </w:tr>
    </w:tbl>
    <w:p w14:paraId="06FF1D2C" w14:textId="77777777" w:rsidR="00D94610" w:rsidRDefault="00D94610" w:rsidP="00D94610">
      <w:pPr>
        <w:pStyle w:val="BodyText"/>
      </w:pPr>
    </w:p>
    <w:p w14:paraId="70056ECB" w14:textId="1B78592F" w:rsidR="00D94610" w:rsidRDefault="00525593" w:rsidP="00D94610">
      <w:pPr>
        <w:pStyle w:val="BodyText"/>
      </w:pPr>
      <w:r w:rsidRPr="00D94610">
        <w:t>W</w:t>
      </w:r>
      <w:r w:rsidR="00DE0ADB" w:rsidRPr="00D94610">
        <w:t xml:space="preserve">hen looking at the completion of core TWES servicing activities, </w:t>
      </w:r>
      <w:r w:rsidR="00C179BB" w:rsidRPr="00D94610">
        <w:t xml:space="preserve">ESS data </w:t>
      </w:r>
      <w:r w:rsidR="00027A3D" w:rsidRPr="00D94610">
        <w:t>shows</w:t>
      </w:r>
      <w:r w:rsidR="00C179BB" w:rsidRPr="00D94610">
        <w:t xml:space="preserve"> that </w:t>
      </w:r>
      <w:r w:rsidR="000D7286" w:rsidRPr="00D94610">
        <w:t xml:space="preserve">61% of participants complete an ESAt, </w:t>
      </w:r>
      <w:r w:rsidR="00C837DB" w:rsidRPr="00D94610">
        <w:t>36% complete an ESAt and an Approved Transition Plan</w:t>
      </w:r>
      <w:r w:rsidR="00CC41FE" w:rsidRPr="00D94610">
        <w:t xml:space="preserve">, and 11% complete these two activities and receive a Facilitated Transfer </w:t>
      </w:r>
      <w:r w:rsidR="00DE0ADB" w:rsidRPr="00D94610">
        <w:t xml:space="preserve">(see </w:t>
      </w:r>
      <w:r w:rsidR="00DE0ADB" w:rsidRPr="00D94610">
        <w:rPr>
          <w:b/>
          <w:bCs/>
        </w:rPr>
        <w:fldChar w:fldCharType="begin"/>
      </w:r>
      <w:r w:rsidR="00DE0ADB" w:rsidRPr="00D94610">
        <w:rPr>
          <w:b/>
          <w:bCs/>
        </w:rPr>
        <w:instrText xml:space="preserve"> REF _Ref71657666 \h  \* MERGEFORMAT </w:instrText>
      </w:r>
      <w:r w:rsidR="00DE0ADB" w:rsidRPr="00D94610">
        <w:rPr>
          <w:b/>
          <w:bCs/>
        </w:rPr>
      </w:r>
      <w:r w:rsidR="00DE0ADB" w:rsidRPr="00D94610">
        <w:rPr>
          <w:b/>
          <w:bCs/>
        </w:rPr>
        <w:fldChar w:fldCharType="separate"/>
      </w:r>
      <w:r w:rsidR="00E93A98" w:rsidRPr="00D94610">
        <w:rPr>
          <w:b/>
          <w:bCs/>
        </w:rPr>
        <w:t>Table 7</w:t>
      </w:r>
      <w:r w:rsidR="00DE0ADB" w:rsidRPr="00D94610">
        <w:rPr>
          <w:b/>
          <w:bCs/>
        </w:rPr>
        <w:fldChar w:fldCharType="end"/>
      </w:r>
      <w:r w:rsidR="00DE0ADB" w:rsidRPr="00D94610">
        <w:t>).</w:t>
      </w:r>
      <w:r w:rsidR="00270F72" w:rsidRPr="00D94610">
        <w:rPr>
          <w:vertAlign w:val="superscript"/>
        </w:rPr>
        <w:footnoteReference w:id="23"/>
      </w:r>
      <w:bookmarkStart w:id="85" w:name="_Ref71657666"/>
    </w:p>
    <w:p w14:paraId="671208A3" w14:textId="2B838802" w:rsidR="00DE0ADB" w:rsidRPr="002E2F2F" w:rsidRDefault="00DE0ADB" w:rsidP="00D94610">
      <w:pPr>
        <w:pStyle w:val="Caption"/>
      </w:pPr>
      <w:r w:rsidRPr="002E2F2F">
        <w:t xml:space="preserve">Table </w:t>
      </w:r>
      <w:r w:rsidRPr="002E2F2F">
        <w:fldChar w:fldCharType="begin"/>
      </w:r>
      <w:r w:rsidRPr="002E2F2F">
        <w:instrText xml:space="preserve"> SEQ Table \* ARABIC </w:instrText>
      </w:r>
      <w:r w:rsidRPr="002E2F2F">
        <w:fldChar w:fldCharType="separate"/>
      </w:r>
      <w:r w:rsidR="00E93A98" w:rsidRPr="002E2F2F">
        <w:t>7</w:t>
      </w:r>
      <w:r w:rsidRPr="002E2F2F">
        <w:fldChar w:fldCharType="end"/>
      </w:r>
      <w:bookmarkEnd w:id="85"/>
      <w:r w:rsidRPr="002E2F2F">
        <w:t xml:space="preserve">: </w:t>
      </w:r>
      <w:r w:rsidR="0038618E" w:rsidRPr="002E2F2F">
        <w:t xml:space="preserve">TWES participants </w:t>
      </w:r>
      <w:r w:rsidR="00725CAE" w:rsidRPr="002E2F2F">
        <w:t>complet</w:t>
      </w:r>
      <w:r w:rsidR="00D616BE" w:rsidRPr="002E2F2F">
        <w:t>ing</w:t>
      </w:r>
      <w:r w:rsidR="00725CAE" w:rsidRPr="002E2F2F">
        <w:t xml:space="preserve"> each of the core servicing activit</w:t>
      </w:r>
      <w:r w:rsidR="005C74B3" w:rsidRPr="002E2F2F">
        <w:t>i</w:t>
      </w:r>
      <w:r w:rsidR="00725CAE" w:rsidRPr="002E2F2F">
        <w:t>es</w:t>
      </w:r>
      <w:r w:rsidR="005C74B3" w:rsidRPr="002E2F2F">
        <w:t xml:space="preserve"> </w:t>
      </w:r>
      <w:r w:rsidRPr="002E2F2F">
        <w:t xml:space="preserve">(Non-remote </w:t>
      </w:r>
      <w:r w:rsidR="00FF5980" w:rsidRPr="002E2F2F">
        <w:t>and</w:t>
      </w:r>
      <w:r w:rsidRPr="002E2F2F">
        <w:t xml:space="preserve"> </w:t>
      </w:r>
      <w:r w:rsidR="00FF5980" w:rsidRPr="002E2F2F">
        <w:t>r</w:t>
      </w:r>
      <w:r w:rsidRPr="002E2F2F">
        <w:t>emote)</w:t>
      </w:r>
    </w:p>
    <w:tbl>
      <w:tblPr>
        <w:tblW w:w="10018" w:type="dxa"/>
        <w:tblInd w:w="42" w:type="dxa"/>
        <w:tblBorders>
          <w:top w:val="single" w:sz="4" w:space="0" w:color="B1B3AA"/>
          <w:left w:val="single" w:sz="4" w:space="0" w:color="B1B3AA"/>
          <w:bottom w:val="single" w:sz="4" w:space="0" w:color="B1B3AA"/>
          <w:right w:val="single" w:sz="4" w:space="0" w:color="B1B3AA"/>
          <w:insideH w:val="single" w:sz="4" w:space="0" w:color="B1B3AA"/>
          <w:insideV w:val="single" w:sz="4" w:space="0" w:color="B1B3AA"/>
        </w:tblBorders>
        <w:tblLayout w:type="fixed"/>
        <w:tblCellMar>
          <w:left w:w="0" w:type="dxa"/>
          <w:right w:w="0" w:type="dxa"/>
        </w:tblCellMar>
        <w:tblLook w:val="0000" w:firstRow="0" w:lastRow="0" w:firstColumn="0" w:lastColumn="0" w:noHBand="0" w:noVBand="0"/>
        <w:tblCaption w:val="TWES participants completing each of the core servicing activities (non-remote and remote)"/>
        <w:tblDescription w:val="A table of the number of participants completing TWES activities where 61% participants completed an ESAt, 36% completed an ESAt and an Approved Transition Plan and 11% complete these two activities and receive a Facilitated Transfer."/>
      </w:tblPr>
      <w:tblGrid>
        <w:gridCol w:w="2080"/>
        <w:gridCol w:w="1878"/>
        <w:gridCol w:w="2020"/>
        <w:gridCol w:w="2020"/>
        <w:gridCol w:w="2020"/>
      </w:tblGrid>
      <w:tr w:rsidR="00DE0ADB" w:rsidRPr="006B0D0D" w14:paraId="121FBB55" w14:textId="77777777" w:rsidTr="00F10418">
        <w:trPr>
          <w:trHeight w:val="480"/>
        </w:trPr>
        <w:tc>
          <w:tcPr>
            <w:tcW w:w="2080" w:type="dxa"/>
            <w:shd w:val="clear" w:color="auto" w:fill="002D62"/>
            <w:noWrap/>
            <w:tcMar>
              <w:top w:w="85" w:type="dxa"/>
              <w:left w:w="85" w:type="dxa"/>
              <w:bottom w:w="85" w:type="dxa"/>
              <w:right w:w="85" w:type="dxa"/>
            </w:tcMar>
          </w:tcPr>
          <w:p w14:paraId="39728CE0" w14:textId="77777777" w:rsidR="00DE0ADB" w:rsidRPr="006B0D0D" w:rsidRDefault="00DE0ADB" w:rsidP="00F10418">
            <w:pPr>
              <w:pStyle w:val="TableHeading"/>
            </w:pPr>
            <w:r w:rsidRPr="006B0D0D">
              <w:t>Region</w:t>
            </w:r>
          </w:p>
        </w:tc>
        <w:tc>
          <w:tcPr>
            <w:tcW w:w="1878" w:type="dxa"/>
            <w:shd w:val="clear" w:color="auto" w:fill="002D62"/>
            <w:noWrap/>
            <w:tcMar>
              <w:top w:w="85" w:type="dxa"/>
              <w:left w:w="85" w:type="dxa"/>
              <w:bottom w:w="85" w:type="dxa"/>
              <w:right w:w="85" w:type="dxa"/>
            </w:tcMar>
          </w:tcPr>
          <w:p w14:paraId="7B938384" w14:textId="3B3C4903" w:rsidR="00DE44E6" w:rsidRPr="00DE44E6" w:rsidRDefault="0038618E" w:rsidP="00F10418">
            <w:pPr>
              <w:pStyle w:val="TableHeading"/>
            </w:pPr>
            <w:r>
              <w:t>TWES Participants</w:t>
            </w:r>
          </w:p>
        </w:tc>
        <w:tc>
          <w:tcPr>
            <w:tcW w:w="2020" w:type="dxa"/>
            <w:shd w:val="clear" w:color="auto" w:fill="002D62"/>
            <w:noWrap/>
            <w:tcMar>
              <w:top w:w="85" w:type="dxa"/>
              <w:left w:w="85" w:type="dxa"/>
              <w:bottom w:w="85" w:type="dxa"/>
              <w:right w:w="85" w:type="dxa"/>
            </w:tcMar>
          </w:tcPr>
          <w:p w14:paraId="7ED8576A" w14:textId="55F1C0E2" w:rsidR="00DE0ADB" w:rsidRPr="006B0D0D" w:rsidRDefault="00725CAE" w:rsidP="00F10418">
            <w:pPr>
              <w:pStyle w:val="TableHeading"/>
            </w:pPr>
            <w:r>
              <w:t>Participants who complete an ESAt</w:t>
            </w:r>
          </w:p>
        </w:tc>
        <w:tc>
          <w:tcPr>
            <w:tcW w:w="2020" w:type="dxa"/>
            <w:shd w:val="clear" w:color="auto" w:fill="002D62"/>
            <w:noWrap/>
            <w:tcMar>
              <w:top w:w="85" w:type="dxa"/>
              <w:left w:w="85" w:type="dxa"/>
              <w:bottom w:w="85" w:type="dxa"/>
              <w:right w:w="85" w:type="dxa"/>
            </w:tcMar>
          </w:tcPr>
          <w:p w14:paraId="4C9E6EA6" w14:textId="47C0AC8A" w:rsidR="00DE0ADB" w:rsidRPr="006B0D0D" w:rsidRDefault="00725CAE" w:rsidP="00F10418">
            <w:pPr>
              <w:pStyle w:val="TableHeading"/>
            </w:pPr>
            <w:r>
              <w:t xml:space="preserve">AND complete an </w:t>
            </w:r>
            <w:r w:rsidR="00DE0ADB" w:rsidRPr="006B0D0D">
              <w:t>Approved Transition Plan</w:t>
            </w:r>
          </w:p>
        </w:tc>
        <w:tc>
          <w:tcPr>
            <w:tcW w:w="2020" w:type="dxa"/>
            <w:shd w:val="clear" w:color="auto" w:fill="002D62"/>
            <w:noWrap/>
            <w:tcMar>
              <w:top w:w="85" w:type="dxa"/>
              <w:left w:w="85" w:type="dxa"/>
              <w:bottom w:w="85" w:type="dxa"/>
              <w:right w:w="85" w:type="dxa"/>
            </w:tcMar>
          </w:tcPr>
          <w:p w14:paraId="449B3A7E" w14:textId="22F3289F" w:rsidR="00DE0ADB" w:rsidRPr="006B0D0D" w:rsidRDefault="00725CAE" w:rsidP="00F10418">
            <w:pPr>
              <w:pStyle w:val="TableHeading"/>
            </w:pPr>
            <w:r>
              <w:t xml:space="preserve">AND receive a </w:t>
            </w:r>
            <w:r w:rsidR="00DE0ADB" w:rsidRPr="006B0D0D">
              <w:t>Facilitated Transfer</w:t>
            </w:r>
            <w:r>
              <w:br/>
              <w:t>‘Participants completing TWES’</w:t>
            </w:r>
            <w:r w:rsidR="005C74B3">
              <w:t>*</w:t>
            </w:r>
          </w:p>
        </w:tc>
      </w:tr>
      <w:tr w:rsidR="00DE0ADB" w:rsidRPr="006B0D0D" w14:paraId="66C786E3" w14:textId="77777777" w:rsidTr="00F10418">
        <w:trPr>
          <w:trHeight w:val="284"/>
        </w:trPr>
        <w:tc>
          <w:tcPr>
            <w:tcW w:w="2080" w:type="dxa"/>
            <w:tcMar>
              <w:top w:w="85" w:type="dxa"/>
              <w:left w:w="85" w:type="dxa"/>
              <w:bottom w:w="85" w:type="dxa"/>
              <w:right w:w="85" w:type="dxa"/>
            </w:tcMar>
          </w:tcPr>
          <w:p w14:paraId="66627143" w14:textId="77777777" w:rsidR="00DE0ADB" w:rsidRPr="006B0D0D" w:rsidRDefault="00DE0ADB" w:rsidP="007F09E7">
            <w:pPr>
              <w:pStyle w:val="TableParagraph"/>
            </w:pPr>
            <w:r w:rsidRPr="006B0D0D">
              <w:t>Non-Remote</w:t>
            </w:r>
          </w:p>
        </w:tc>
        <w:tc>
          <w:tcPr>
            <w:tcW w:w="1878" w:type="dxa"/>
            <w:tcMar>
              <w:top w:w="85" w:type="dxa"/>
              <w:left w:w="85" w:type="dxa"/>
              <w:bottom w:w="85" w:type="dxa"/>
              <w:right w:w="85" w:type="dxa"/>
            </w:tcMar>
          </w:tcPr>
          <w:p w14:paraId="699FF8D2" w14:textId="77777777" w:rsidR="00DE0ADB" w:rsidRPr="006B0D0D" w:rsidRDefault="00DE0ADB" w:rsidP="007F09E7">
            <w:pPr>
              <w:pStyle w:val="TableParagraph"/>
            </w:pPr>
            <w:r w:rsidRPr="006B0D0D">
              <w:t>4,154</w:t>
            </w:r>
          </w:p>
        </w:tc>
        <w:tc>
          <w:tcPr>
            <w:tcW w:w="2020" w:type="dxa"/>
            <w:tcMar>
              <w:top w:w="85" w:type="dxa"/>
              <w:left w:w="85" w:type="dxa"/>
              <w:bottom w:w="85" w:type="dxa"/>
              <w:right w:w="85" w:type="dxa"/>
            </w:tcMar>
          </w:tcPr>
          <w:p w14:paraId="39197631" w14:textId="77777777" w:rsidR="00DE0ADB" w:rsidRPr="006B0D0D" w:rsidRDefault="00DE0ADB" w:rsidP="007F09E7">
            <w:pPr>
              <w:pStyle w:val="TableParagraph"/>
            </w:pPr>
            <w:r w:rsidRPr="006B0D0D">
              <w:t>2,548</w:t>
            </w:r>
          </w:p>
        </w:tc>
        <w:tc>
          <w:tcPr>
            <w:tcW w:w="2020" w:type="dxa"/>
            <w:tcMar>
              <w:top w:w="85" w:type="dxa"/>
              <w:left w:w="85" w:type="dxa"/>
              <w:bottom w:w="85" w:type="dxa"/>
              <w:right w:w="85" w:type="dxa"/>
            </w:tcMar>
          </w:tcPr>
          <w:p w14:paraId="20D810D7" w14:textId="77777777" w:rsidR="00DE0ADB" w:rsidRPr="006B0D0D" w:rsidRDefault="00DE0ADB" w:rsidP="007F09E7">
            <w:pPr>
              <w:pStyle w:val="TableParagraph"/>
            </w:pPr>
            <w:r w:rsidRPr="006B0D0D">
              <w:t>1,493</w:t>
            </w:r>
          </w:p>
        </w:tc>
        <w:tc>
          <w:tcPr>
            <w:tcW w:w="2020" w:type="dxa"/>
            <w:tcMar>
              <w:top w:w="85" w:type="dxa"/>
              <w:left w:w="85" w:type="dxa"/>
              <w:bottom w:w="85" w:type="dxa"/>
              <w:right w:w="85" w:type="dxa"/>
            </w:tcMar>
          </w:tcPr>
          <w:p w14:paraId="1C0AD62F" w14:textId="77777777" w:rsidR="00DE0ADB" w:rsidRPr="006B0D0D" w:rsidRDefault="00DE0ADB" w:rsidP="007F09E7">
            <w:pPr>
              <w:pStyle w:val="TableParagraph"/>
            </w:pPr>
            <w:r w:rsidRPr="006B0D0D">
              <w:t>438</w:t>
            </w:r>
          </w:p>
        </w:tc>
      </w:tr>
      <w:tr w:rsidR="00DE0ADB" w:rsidRPr="006B0D0D" w14:paraId="117E2B44" w14:textId="77777777" w:rsidTr="00F10418">
        <w:trPr>
          <w:trHeight w:val="284"/>
        </w:trPr>
        <w:tc>
          <w:tcPr>
            <w:tcW w:w="2080" w:type="dxa"/>
            <w:tcMar>
              <w:top w:w="85" w:type="dxa"/>
              <w:left w:w="85" w:type="dxa"/>
              <w:bottom w:w="85" w:type="dxa"/>
              <w:right w:w="85" w:type="dxa"/>
            </w:tcMar>
          </w:tcPr>
          <w:p w14:paraId="0F8EAD0D" w14:textId="77777777" w:rsidR="00DE0ADB" w:rsidRPr="006B0D0D" w:rsidRDefault="00DE0ADB" w:rsidP="007F09E7">
            <w:pPr>
              <w:pStyle w:val="TableParagraph"/>
            </w:pPr>
            <w:r w:rsidRPr="006B0D0D">
              <w:t>Remote</w:t>
            </w:r>
          </w:p>
        </w:tc>
        <w:tc>
          <w:tcPr>
            <w:tcW w:w="1878" w:type="dxa"/>
            <w:tcMar>
              <w:top w:w="85" w:type="dxa"/>
              <w:left w:w="85" w:type="dxa"/>
              <w:bottom w:w="85" w:type="dxa"/>
              <w:right w:w="85" w:type="dxa"/>
            </w:tcMar>
          </w:tcPr>
          <w:p w14:paraId="6F91857D" w14:textId="77777777" w:rsidR="00DE0ADB" w:rsidRPr="006B0D0D" w:rsidRDefault="00DE0ADB" w:rsidP="007F09E7">
            <w:pPr>
              <w:pStyle w:val="TableParagraph"/>
            </w:pPr>
            <w:r w:rsidRPr="006B0D0D">
              <w:t>348</w:t>
            </w:r>
          </w:p>
        </w:tc>
        <w:tc>
          <w:tcPr>
            <w:tcW w:w="2020" w:type="dxa"/>
            <w:tcMar>
              <w:top w:w="85" w:type="dxa"/>
              <w:left w:w="85" w:type="dxa"/>
              <w:bottom w:w="85" w:type="dxa"/>
              <w:right w:w="85" w:type="dxa"/>
            </w:tcMar>
          </w:tcPr>
          <w:p w14:paraId="3CBB0E56" w14:textId="77777777" w:rsidR="00DE0ADB" w:rsidRPr="006B0D0D" w:rsidRDefault="00DE0ADB" w:rsidP="007F09E7">
            <w:pPr>
              <w:pStyle w:val="TableParagraph"/>
            </w:pPr>
            <w:r w:rsidRPr="006B0D0D">
              <w:t>178</w:t>
            </w:r>
          </w:p>
        </w:tc>
        <w:tc>
          <w:tcPr>
            <w:tcW w:w="2020" w:type="dxa"/>
            <w:tcMar>
              <w:top w:w="85" w:type="dxa"/>
              <w:left w:w="85" w:type="dxa"/>
              <w:bottom w:w="85" w:type="dxa"/>
              <w:right w:w="85" w:type="dxa"/>
            </w:tcMar>
          </w:tcPr>
          <w:p w14:paraId="6F21D1E1" w14:textId="77777777" w:rsidR="00DE0ADB" w:rsidRPr="006B0D0D" w:rsidRDefault="00DE0ADB" w:rsidP="007F09E7">
            <w:pPr>
              <w:pStyle w:val="TableParagraph"/>
            </w:pPr>
            <w:r w:rsidRPr="006B0D0D">
              <w:t>123</w:t>
            </w:r>
          </w:p>
        </w:tc>
        <w:tc>
          <w:tcPr>
            <w:tcW w:w="2020" w:type="dxa"/>
            <w:tcMar>
              <w:top w:w="85" w:type="dxa"/>
              <w:left w:w="85" w:type="dxa"/>
              <w:bottom w:w="85" w:type="dxa"/>
              <w:right w:w="85" w:type="dxa"/>
            </w:tcMar>
          </w:tcPr>
          <w:p w14:paraId="7F7DA05E" w14:textId="77777777" w:rsidR="00DE0ADB" w:rsidRPr="006B0D0D" w:rsidRDefault="00DE0ADB" w:rsidP="007F09E7">
            <w:pPr>
              <w:pStyle w:val="TableParagraph"/>
            </w:pPr>
            <w:r w:rsidRPr="006B0D0D">
              <w:t>47</w:t>
            </w:r>
          </w:p>
        </w:tc>
      </w:tr>
      <w:tr w:rsidR="00DE0ADB" w:rsidRPr="006B0D0D" w14:paraId="0278A316" w14:textId="77777777" w:rsidTr="00F10418">
        <w:trPr>
          <w:trHeight w:val="284"/>
        </w:trPr>
        <w:tc>
          <w:tcPr>
            <w:tcW w:w="2080" w:type="dxa"/>
            <w:shd w:val="clear" w:color="auto" w:fill="002D62"/>
            <w:tcMar>
              <w:top w:w="85" w:type="dxa"/>
              <w:left w:w="85" w:type="dxa"/>
              <w:bottom w:w="85" w:type="dxa"/>
              <w:right w:w="85" w:type="dxa"/>
            </w:tcMar>
          </w:tcPr>
          <w:p w14:paraId="304E7F95" w14:textId="77777777" w:rsidR="00DE0ADB" w:rsidRPr="00F10418" w:rsidRDefault="00DE0ADB" w:rsidP="007F09E7">
            <w:pPr>
              <w:pStyle w:val="TableParagraph"/>
            </w:pPr>
            <w:r w:rsidRPr="00F10418">
              <w:t>Total</w:t>
            </w:r>
          </w:p>
        </w:tc>
        <w:tc>
          <w:tcPr>
            <w:tcW w:w="1878" w:type="dxa"/>
            <w:shd w:val="clear" w:color="auto" w:fill="002D62"/>
            <w:tcMar>
              <w:top w:w="85" w:type="dxa"/>
              <w:left w:w="85" w:type="dxa"/>
              <w:bottom w:w="85" w:type="dxa"/>
              <w:right w:w="85" w:type="dxa"/>
            </w:tcMar>
          </w:tcPr>
          <w:p w14:paraId="4E815397" w14:textId="77777777" w:rsidR="00DE0ADB" w:rsidRPr="00F10418" w:rsidRDefault="00DE0ADB" w:rsidP="007F09E7">
            <w:pPr>
              <w:pStyle w:val="TableParagraph"/>
            </w:pPr>
            <w:r w:rsidRPr="00F10418">
              <w:t>4,502</w:t>
            </w:r>
          </w:p>
        </w:tc>
        <w:tc>
          <w:tcPr>
            <w:tcW w:w="2020" w:type="dxa"/>
            <w:shd w:val="clear" w:color="auto" w:fill="002D62"/>
            <w:tcMar>
              <w:top w:w="85" w:type="dxa"/>
              <w:left w:w="85" w:type="dxa"/>
              <w:bottom w:w="85" w:type="dxa"/>
              <w:right w:w="85" w:type="dxa"/>
            </w:tcMar>
          </w:tcPr>
          <w:p w14:paraId="5270A73D" w14:textId="77777777" w:rsidR="00DE0ADB" w:rsidRPr="00F10418" w:rsidRDefault="00DE0ADB" w:rsidP="007F09E7">
            <w:pPr>
              <w:pStyle w:val="TableParagraph"/>
            </w:pPr>
            <w:r w:rsidRPr="00F10418">
              <w:t>2,726</w:t>
            </w:r>
          </w:p>
        </w:tc>
        <w:tc>
          <w:tcPr>
            <w:tcW w:w="2020" w:type="dxa"/>
            <w:shd w:val="clear" w:color="auto" w:fill="002D62"/>
            <w:tcMar>
              <w:top w:w="85" w:type="dxa"/>
              <w:left w:w="85" w:type="dxa"/>
              <w:bottom w:w="85" w:type="dxa"/>
              <w:right w:w="85" w:type="dxa"/>
            </w:tcMar>
          </w:tcPr>
          <w:p w14:paraId="46CCB1C4" w14:textId="77777777" w:rsidR="00DE0ADB" w:rsidRPr="00F10418" w:rsidRDefault="00DE0ADB" w:rsidP="007F09E7">
            <w:pPr>
              <w:pStyle w:val="TableParagraph"/>
            </w:pPr>
            <w:r w:rsidRPr="00F10418">
              <w:t>1,616</w:t>
            </w:r>
          </w:p>
        </w:tc>
        <w:tc>
          <w:tcPr>
            <w:tcW w:w="2020" w:type="dxa"/>
            <w:shd w:val="clear" w:color="auto" w:fill="002D62"/>
            <w:tcMar>
              <w:top w:w="85" w:type="dxa"/>
              <w:left w:w="85" w:type="dxa"/>
              <w:bottom w:w="85" w:type="dxa"/>
              <w:right w:w="85" w:type="dxa"/>
            </w:tcMar>
          </w:tcPr>
          <w:p w14:paraId="35CC878B" w14:textId="77777777" w:rsidR="00DE0ADB" w:rsidRPr="00F10418" w:rsidRDefault="00DE0ADB" w:rsidP="007F09E7">
            <w:pPr>
              <w:pStyle w:val="TableParagraph"/>
            </w:pPr>
            <w:r w:rsidRPr="00F10418">
              <w:t>485</w:t>
            </w:r>
          </w:p>
        </w:tc>
      </w:tr>
      <w:tr w:rsidR="00DE0ADB" w:rsidRPr="006B0D0D" w14:paraId="57DF15F3" w14:textId="77777777" w:rsidTr="00F10418">
        <w:trPr>
          <w:trHeight w:val="284"/>
        </w:trPr>
        <w:tc>
          <w:tcPr>
            <w:tcW w:w="2080" w:type="dxa"/>
            <w:shd w:val="clear" w:color="auto" w:fill="F1F1F1"/>
            <w:noWrap/>
            <w:tcMar>
              <w:top w:w="85" w:type="dxa"/>
              <w:left w:w="85" w:type="dxa"/>
              <w:bottom w:w="85" w:type="dxa"/>
              <w:right w:w="85" w:type="dxa"/>
            </w:tcMar>
          </w:tcPr>
          <w:p w14:paraId="69153052" w14:textId="31FBE848" w:rsidR="00DE0ADB" w:rsidRPr="006B0D0D" w:rsidRDefault="00DE0ADB" w:rsidP="007F09E7">
            <w:pPr>
              <w:pStyle w:val="TableParagraph"/>
            </w:pPr>
            <w:r w:rsidRPr="006B0D0D">
              <w:t xml:space="preserve">% </w:t>
            </w:r>
            <w:r w:rsidR="007026A6">
              <w:t>of all participants</w:t>
            </w:r>
          </w:p>
        </w:tc>
        <w:tc>
          <w:tcPr>
            <w:tcW w:w="1878" w:type="dxa"/>
            <w:shd w:val="clear" w:color="auto" w:fill="F1F1F1"/>
            <w:noWrap/>
            <w:tcMar>
              <w:top w:w="85" w:type="dxa"/>
              <w:left w:w="85" w:type="dxa"/>
              <w:bottom w:w="85" w:type="dxa"/>
              <w:right w:w="85" w:type="dxa"/>
            </w:tcMar>
          </w:tcPr>
          <w:p w14:paraId="6CEBB5DF" w14:textId="77777777" w:rsidR="00DE0ADB" w:rsidRPr="006B0D0D" w:rsidRDefault="00DE0ADB" w:rsidP="007F09E7">
            <w:pPr>
              <w:pStyle w:val="TableParagraph"/>
            </w:pPr>
          </w:p>
        </w:tc>
        <w:tc>
          <w:tcPr>
            <w:tcW w:w="2020" w:type="dxa"/>
            <w:shd w:val="clear" w:color="auto" w:fill="F1F1F1"/>
            <w:noWrap/>
            <w:tcMar>
              <w:top w:w="85" w:type="dxa"/>
              <w:left w:w="85" w:type="dxa"/>
              <w:bottom w:w="85" w:type="dxa"/>
              <w:right w:w="85" w:type="dxa"/>
            </w:tcMar>
          </w:tcPr>
          <w:p w14:paraId="29AD1510" w14:textId="77777777" w:rsidR="00DE0ADB" w:rsidRPr="006B0D0D" w:rsidRDefault="00DE0ADB" w:rsidP="007F09E7">
            <w:pPr>
              <w:pStyle w:val="TableParagraph"/>
            </w:pPr>
            <w:r w:rsidRPr="006B0D0D">
              <w:t>61%</w:t>
            </w:r>
          </w:p>
        </w:tc>
        <w:tc>
          <w:tcPr>
            <w:tcW w:w="2020" w:type="dxa"/>
            <w:shd w:val="clear" w:color="auto" w:fill="F1F1F1"/>
            <w:noWrap/>
            <w:tcMar>
              <w:top w:w="85" w:type="dxa"/>
              <w:left w:w="85" w:type="dxa"/>
              <w:bottom w:w="85" w:type="dxa"/>
              <w:right w:w="85" w:type="dxa"/>
            </w:tcMar>
          </w:tcPr>
          <w:p w14:paraId="700DD3C3" w14:textId="77777777" w:rsidR="00DE0ADB" w:rsidRPr="006B0D0D" w:rsidRDefault="00DE0ADB" w:rsidP="007F09E7">
            <w:pPr>
              <w:pStyle w:val="TableParagraph"/>
            </w:pPr>
            <w:r w:rsidRPr="006B0D0D">
              <w:t>36%</w:t>
            </w:r>
          </w:p>
        </w:tc>
        <w:tc>
          <w:tcPr>
            <w:tcW w:w="2020" w:type="dxa"/>
            <w:shd w:val="clear" w:color="auto" w:fill="F1F1F1"/>
            <w:noWrap/>
            <w:tcMar>
              <w:top w:w="85" w:type="dxa"/>
              <w:left w:w="85" w:type="dxa"/>
              <w:bottom w:w="85" w:type="dxa"/>
              <w:right w:w="85" w:type="dxa"/>
            </w:tcMar>
          </w:tcPr>
          <w:p w14:paraId="5D81CE95" w14:textId="77777777" w:rsidR="00DE0ADB" w:rsidRPr="006B0D0D" w:rsidRDefault="00DE0ADB" w:rsidP="007F09E7">
            <w:pPr>
              <w:pStyle w:val="TableParagraph"/>
            </w:pPr>
            <w:r w:rsidRPr="006B0D0D">
              <w:t>11%</w:t>
            </w:r>
          </w:p>
        </w:tc>
      </w:tr>
    </w:tbl>
    <w:p w14:paraId="7271AAC6" w14:textId="33453CF0" w:rsidR="005C74B3" w:rsidRPr="002E2F2F" w:rsidRDefault="005C74B3" w:rsidP="00F10418">
      <w:pPr>
        <w:pStyle w:val="Caption"/>
      </w:pPr>
      <w:r w:rsidRPr="002E2F2F">
        <w:t xml:space="preserve">* Participants who complete </w:t>
      </w:r>
      <w:r w:rsidR="00CE342B" w:rsidRPr="002E2F2F">
        <w:t>all core servicing activities are called ‘Participants completing TWES’</w:t>
      </w:r>
    </w:p>
    <w:p w14:paraId="2459F3BB" w14:textId="58A1EFE5" w:rsidR="00DE0ADB" w:rsidRPr="002E2F2F" w:rsidRDefault="00DE0ADB" w:rsidP="00305B4B">
      <w:pPr>
        <w:pStyle w:val="BodyText"/>
        <w:ind w:right="3"/>
      </w:pPr>
      <w:r w:rsidRPr="002E2F2F">
        <w:t xml:space="preserve">Comparing across </w:t>
      </w:r>
      <w:r w:rsidR="00B63B84" w:rsidRPr="002E2F2F">
        <w:t xml:space="preserve">states </w:t>
      </w:r>
      <w:r w:rsidR="00C720DC" w:rsidRPr="002E2F2F">
        <w:t xml:space="preserve">and </w:t>
      </w:r>
      <w:r w:rsidR="00B63B84" w:rsidRPr="002E2F2F">
        <w:t>territories</w:t>
      </w:r>
      <w:r w:rsidRPr="002E2F2F">
        <w:t>, analysis of ESS data demonstrates that TAS had relatively fewer participants complete ESAts and Approved Transition Plans than all other states</w:t>
      </w:r>
      <w:r w:rsidR="00675483" w:rsidRPr="002E2F2F">
        <w:t xml:space="preserve"> (</w:t>
      </w:r>
      <w:r w:rsidR="00675483" w:rsidRPr="002E2F2F">
        <w:rPr>
          <w:b/>
          <w:bCs/>
        </w:rPr>
        <w:fldChar w:fldCharType="begin"/>
      </w:r>
      <w:r w:rsidR="00675483" w:rsidRPr="002E2F2F">
        <w:rPr>
          <w:b/>
          <w:bCs/>
        </w:rPr>
        <w:instrText xml:space="preserve"> REF _Ref72958328 \h  \* MERGEFORMAT </w:instrText>
      </w:r>
      <w:r w:rsidR="00675483" w:rsidRPr="002E2F2F">
        <w:rPr>
          <w:b/>
          <w:bCs/>
        </w:rPr>
      </w:r>
      <w:r w:rsidR="00675483" w:rsidRPr="002E2F2F">
        <w:rPr>
          <w:b/>
          <w:bCs/>
        </w:rPr>
        <w:fldChar w:fldCharType="separate"/>
      </w:r>
      <w:r w:rsidR="00E93A98" w:rsidRPr="002E2F2F">
        <w:rPr>
          <w:b/>
          <w:bCs/>
        </w:rPr>
        <w:t>Table 8</w:t>
      </w:r>
      <w:r w:rsidR="00675483" w:rsidRPr="002E2F2F">
        <w:rPr>
          <w:b/>
          <w:bCs/>
        </w:rPr>
        <w:fldChar w:fldCharType="end"/>
      </w:r>
      <w:r w:rsidR="00675483" w:rsidRPr="002E2F2F">
        <w:t>)</w:t>
      </w:r>
      <w:r w:rsidRPr="002E2F2F">
        <w:t xml:space="preserve">. </w:t>
      </w:r>
    </w:p>
    <w:p w14:paraId="066F08C5" w14:textId="1DEEF43C" w:rsidR="00675483" w:rsidRPr="00D616BE" w:rsidRDefault="00675483" w:rsidP="00305B4B">
      <w:pPr>
        <w:pStyle w:val="Caption"/>
        <w:ind w:right="3"/>
      </w:pPr>
      <w:bookmarkStart w:id="86" w:name="bookmark19"/>
      <w:bookmarkStart w:id="87" w:name="_Ref72958328"/>
      <w:bookmarkEnd w:id="86"/>
      <w:r w:rsidRPr="00D616BE">
        <w:t xml:space="preserve">Table </w:t>
      </w:r>
      <w:r w:rsidRPr="00D616BE">
        <w:fldChar w:fldCharType="begin"/>
      </w:r>
      <w:r w:rsidRPr="00D616BE">
        <w:instrText xml:space="preserve"> SEQ Table \* ARABIC </w:instrText>
      </w:r>
      <w:r w:rsidRPr="00D616BE">
        <w:fldChar w:fldCharType="separate"/>
      </w:r>
      <w:r w:rsidR="00E93A98">
        <w:rPr>
          <w:noProof/>
        </w:rPr>
        <w:t>8</w:t>
      </w:r>
      <w:r w:rsidRPr="00D616BE">
        <w:fldChar w:fldCharType="end"/>
      </w:r>
      <w:bookmarkEnd w:id="87"/>
      <w:r w:rsidRPr="00D616BE">
        <w:t xml:space="preserve">: TWES </w:t>
      </w:r>
      <w:r w:rsidR="007F4EA1" w:rsidRPr="00D616BE">
        <w:t xml:space="preserve">participants </w:t>
      </w:r>
      <w:r w:rsidRPr="00D616BE">
        <w:t>completi</w:t>
      </w:r>
      <w:r w:rsidR="00D616BE" w:rsidRPr="00D616BE">
        <w:t>ng</w:t>
      </w:r>
      <w:r w:rsidRPr="00D616BE">
        <w:rPr>
          <w:spacing w:val="-2"/>
        </w:rPr>
        <w:t xml:space="preserve"> </w:t>
      </w:r>
      <w:r w:rsidRPr="00D616BE">
        <w:t>each of TWES</w:t>
      </w:r>
      <w:r w:rsidRPr="00D616BE">
        <w:rPr>
          <w:spacing w:val="-3"/>
        </w:rPr>
        <w:t xml:space="preserve"> </w:t>
      </w:r>
      <w:r w:rsidRPr="00D616BE">
        <w:t>core servicing</w:t>
      </w:r>
      <w:r w:rsidRPr="00D616BE">
        <w:rPr>
          <w:spacing w:val="-2"/>
        </w:rPr>
        <w:t xml:space="preserve"> </w:t>
      </w:r>
      <w:r w:rsidRPr="00D616BE">
        <w:t>activities</w:t>
      </w:r>
      <w:r w:rsidRPr="00D616BE">
        <w:rPr>
          <w:spacing w:val="1"/>
        </w:rPr>
        <w:t xml:space="preserve"> </w:t>
      </w:r>
      <w:r w:rsidRPr="00D616BE">
        <w:t>(</w:t>
      </w:r>
      <w:r w:rsidR="00467A51">
        <w:t>states</w:t>
      </w:r>
      <w:r w:rsidRPr="00D616BE">
        <w:t>/</w:t>
      </w:r>
      <w:r w:rsidR="00467A51">
        <w:t>territories</w:t>
      </w:r>
      <w:r w:rsidRPr="00D616BE">
        <w:t>)</w:t>
      </w:r>
    </w:p>
    <w:tbl>
      <w:tblPr>
        <w:tblW w:w="9958" w:type="dxa"/>
        <w:tblInd w:w="37" w:type="dxa"/>
        <w:tblBorders>
          <w:top w:val="single" w:sz="4" w:space="0" w:color="B1B3AA"/>
          <w:left w:val="single" w:sz="4" w:space="0" w:color="B1B3AA"/>
          <w:bottom w:val="single" w:sz="4" w:space="0" w:color="B1B3AA"/>
          <w:right w:val="single" w:sz="4" w:space="0" w:color="B1B3AA"/>
          <w:insideH w:val="single" w:sz="4" w:space="0" w:color="B1B3AA"/>
          <w:insideV w:val="single" w:sz="4" w:space="0" w:color="B1B3AA"/>
        </w:tblBorders>
        <w:tblLayout w:type="fixed"/>
        <w:tblCellMar>
          <w:left w:w="0" w:type="dxa"/>
          <w:right w:w="0" w:type="dxa"/>
        </w:tblCellMar>
        <w:tblLook w:val="0000" w:firstRow="0" w:lastRow="0" w:firstColumn="0" w:lastColumn="0" w:noHBand="0" w:noVBand="0"/>
        <w:tblCaption w:val="TWES participants completing each of the TWES core servcing activities (states/territories)"/>
        <w:tblDescription w:val="A table of the number of participants completing TWES activities by state and territory where TAS had relatively fewer participants complete an ESAt and an Approved Transition Plan than all other states and territories."/>
      </w:tblPr>
      <w:tblGrid>
        <w:gridCol w:w="2085"/>
        <w:gridCol w:w="1842"/>
        <w:gridCol w:w="1999"/>
        <w:gridCol w:w="2112"/>
        <w:gridCol w:w="1920"/>
      </w:tblGrid>
      <w:tr w:rsidR="00006BDE" w:rsidRPr="006B0D0D" w14:paraId="7B46A4E6" w14:textId="4EF8B4CB" w:rsidTr="00F10418">
        <w:trPr>
          <w:trHeight w:val="482"/>
        </w:trPr>
        <w:tc>
          <w:tcPr>
            <w:tcW w:w="2085" w:type="dxa"/>
            <w:shd w:val="clear" w:color="auto" w:fill="002D62" w:themeFill="background2"/>
            <w:noWrap/>
            <w:tcMar>
              <w:top w:w="85" w:type="dxa"/>
              <w:left w:w="85" w:type="dxa"/>
              <w:bottom w:w="85" w:type="dxa"/>
              <w:right w:w="85" w:type="dxa"/>
            </w:tcMar>
          </w:tcPr>
          <w:p w14:paraId="082B7B26" w14:textId="4F186D16" w:rsidR="00006BDE" w:rsidRPr="006B0D0D" w:rsidRDefault="00006BDE" w:rsidP="00F10418">
            <w:pPr>
              <w:pStyle w:val="TableHeading"/>
            </w:pPr>
            <w:r w:rsidRPr="006B0D0D">
              <w:t xml:space="preserve">State / </w:t>
            </w:r>
            <w:r w:rsidR="00467A51">
              <w:t>territory</w:t>
            </w:r>
          </w:p>
        </w:tc>
        <w:tc>
          <w:tcPr>
            <w:tcW w:w="1842" w:type="dxa"/>
            <w:shd w:val="clear" w:color="auto" w:fill="002D62" w:themeFill="background2"/>
            <w:noWrap/>
            <w:tcMar>
              <w:top w:w="85" w:type="dxa"/>
              <w:left w:w="85" w:type="dxa"/>
              <w:bottom w:w="85" w:type="dxa"/>
              <w:right w:w="85" w:type="dxa"/>
            </w:tcMar>
          </w:tcPr>
          <w:p w14:paraId="0720108A" w14:textId="3B5C7F53" w:rsidR="00006BDE" w:rsidRPr="006B0D0D" w:rsidRDefault="0038618E" w:rsidP="00F10418">
            <w:pPr>
              <w:pStyle w:val="TableHeading"/>
            </w:pPr>
            <w:r>
              <w:t xml:space="preserve">TWES </w:t>
            </w:r>
            <w:r w:rsidR="00DB7649">
              <w:t>participant</w:t>
            </w:r>
            <w:r>
              <w:t>s</w:t>
            </w:r>
          </w:p>
        </w:tc>
        <w:tc>
          <w:tcPr>
            <w:tcW w:w="1999" w:type="dxa"/>
            <w:shd w:val="clear" w:color="auto" w:fill="002D62" w:themeFill="background2"/>
            <w:noWrap/>
            <w:tcMar>
              <w:top w:w="85" w:type="dxa"/>
              <w:left w:w="85" w:type="dxa"/>
              <w:bottom w:w="85" w:type="dxa"/>
              <w:right w:w="85" w:type="dxa"/>
            </w:tcMar>
          </w:tcPr>
          <w:p w14:paraId="7427264B" w14:textId="0E362CEA" w:rsidR="00006BDE" w:rsidRPr="006B0D0D" w:rsidRDefault="00006BDE" w:rsidP="00F10418">
            <w:pPr>
              <w:pStyle w:val="TableHeading"/>
            </w:pPr>
            <w:r>
              <w:t xml:space="preserve">Participants </w:t>
            </w:r>
            <w:r w:rsidR="00F10418">
              <w:br/>
            </w:r>
            <w:r>
              <w:t xml:space="preserve">who complete </w:t>
            </w:r>
            <w:r w:rsidR="00F10418">
              <w:br/>
            </w:r>
            <w:r>
              <w:t>an ESAt</w:t>
            </w:r>
          </w:p>
        </w:tc>
        <w:tc>
          <w:tcPr>
            <w:tcW w:w="2112" w:type="dxa"/>
            <w:shd w:val="clear" w:color="auto" w:fill="002D62" w:themeFill="background2"/>
            <w:noWrap/>
            <w:tcMar>
              <w:top w:w="85" w:type="dxa"/>
              <w:left w:w="85" w:type="dxa"/>
              <w:bottom w:w="85" w:type="dxa"/>
              <w:right w:w="85" w:type="dxa"/>
            </w:tcMar>
          </w:tcPr>
          <w:p w14:paraId="1CF4F2E0" w14:textId="569466E8" w:rsidR="00006BDE" w:rsidRPr="006B0D0D" w:rsidRDefault="00006BDE" w:rsidP="00F10418">
            <w:pPr>
              <w:pStyle w:val="TableHeading"/>
            </w:pPr>
            <w:r>
              <w:t xml:space="preserve">AND complete </w:t>
            </w:r>
            <w:r w:rsidR="00F10418">
              <w:br/>
            </w:r>
            <w:r>
              <w:t xml:space="preserve">an </w:t>
            </w:r>
            <w:r w:rsidRPr="006B0D0D">
              <w:t>Approved Transition Plan</w:t>
            </w:r>
          </w:p>
        </w:tc>
        <w:tc>
          <w:tcPr>
            <w:tcW w:w="1920" w:type="dxa"/>
            <w:shd w:val="clear" w:color="auto" w:fill="002D62" w:themeFill="background2"/>
            <w:noWrap/>
            <w:tcMar>
              <w:top w:w="85" w:type="dxa"/>
              <w:left w:w="85" w:type="dxa"/>
              <w:bottom w:w="85" w:type="dxa"/>
              <w:right w:w="85" w:type="dxa"/>
            </w:tcMar>
          </w:tcPr>
          <w:p w14:paraId="7C1636F1" w14:textId="1300A09C" w:rsidR="00006BDE" w:rsidRPr="006B0D0D" w:rsidRDefault="00006BDE" w:rsidP="00F10418">
            <w:pPr>
              <w:pStyle w:val="TableHeading"/>
            </w:pPr>
            <w:r>
              <w:t xml:space="preserve">AND receive a </w:t>
            </w:r>
            <w:r w:rsidRPr="006B0D0D">
              <w:t>Facilitated Transfer</w:t>
            </w:r>
            <w:r>
              <w:br/>
              <w:t>‘Participants completing TWES’*</w:t>
            </w:r>
          </w:p>
        </w:tc>
      </w:tr>
      <w:tr w:rsidR="00DE0ADB" w:rsidRPr="006B0D0D" w14:paraId="79419C2A" w14:textId="2DF5AA68" w:rsidTr="00F10418">
        <w:trPr>
          <w:trHeight w:hRule="exact" w:val="295"/>
        </w:trPr>
        <w:tc>
          <w:tcPr>
            <w:tcW w:w="2085" w:type="dxa"/>
            <w:tcMar>
              <w:top w:w="85" w:type="dxa"/>
              <w:left w:w="85" w:type="dxa"/>
              <w:bottom w:w="85" w:type="dxa"/>
              <w:right w:w="85" w:type="dxa"/>
            </w:tcMar>
          </w:tcPr>
          <w:p w14:paraId="6030F461" w14:textId="5056D042" w:rsidR="00DE0ADB" w:rsidRPr="002E2F2F" w:rsidRDefault="00DE0ADB" w:rsidP="007F09E7">
            <w:pPr>
              <w:pStyle w:val="TableParagraph"/>
            </w:pPr>
            <w:r w:rsidRPr="002E2F2F">
              <w:t>ACT</w:t>
            </w:r>
          </w:p>
        </w:tc>
        <w:tc>
          <w:tcPr>
            <w:tcW w:w="1842" w:type="dxa"/>
            <w:tcMar>
              <w:top w:w="85" w:type="dxa"/>
              <w:left w:w="85" w:type="dxa"/>
              <w:bottom w:w="85" w:type="dxa"/>
              <w:right w:w="85" w:type="dxa"/>
            </w:tcMar>
          </w:tcPr>
          <w:p w14:paraId="511C0B93" w14:textId="2F91ECF3" w:rsidR="00DE0ADB" w:rsidRPr="002E2F2F" w:rsidRDefault="00DE0ADB" w:rsidP="007F09E7">
            <w:pPr>
              <w:pStyle w:val="TableParagraph"/>
            </w:pPr>
            <w:r w:rsidRPr="002E2F2F">
              <w:t>44</w:t>
            </w:r>
          </w:p>
        </w:tc>
        <w:tc>
          <w:tcPr>
            <w:tcW w:w="1999" w:type="dxa"/>
            <w:tcMar>
              <w:top w:w="85" w:type="dxa"/>
              <w:left w:w="85" w:type="dxa"/>
              <w:bottom w:w="85" w:type="dxa"/>
              <w:right w:w="85" w:type="dxa"/>
            </w:tcMar>
          </w:tcPr>
          <w:p w14:paraId="3BF4D42E" w14:textId="74CEF137" w:rsidR="00DE0ADB" w:rsidRPr="002E2F2F" w:rsidRDefault="00DE0ADB" w:rsidP="007F09E7">
            <w:pPr>
              <w:pStyle w:val="TableParagraph"/>
            </w:pPr>
            <w:r w:rsidRPr="002E2F2F">
              <w:t>30</w:t>
            </w:r>
          </w:p>
        </w:tc>
        <w:tc>
          <w:tcPr>
            <w:tcW w:w="2112" w:type="dxa"/>
            <w:tcMar>
              <w:top w:w="85" w:type="dxa"/>
              <w:left w:w="85" w:type="dxa"/>
              <w:bottom w:w="85" w:type="dxa"/>
              <w:right w:w="85" w:type="dxa"/>
            </w:tcMar>
          </w:tcPr>
          <w:p w14:paraId="3A7CB104" w14:textId="63AD1B2C" w:rsidR="00DE0ADB" w:rsidRPr="002E2F2F" w:rsidRDefault="00DE0ADB" w:rsidP="007F09E7">
            <w:pPr>
              <w:pStyle w:val="TableParagraph"/>
            </w:pPr>
            <w:r w:rsidRPr="002E2F2F">
              <w:t>20</w:t>
            </w:r>
          </w:p>
        </w:tc>
        <w:tc>
          <w:tcPr>
            <w:tcW w:w="1920" w:type="dxa"/>
            <w:tcMar>
              <w:top w:w="85" w:type="dxa"/>
              <w:left w:w="85" w:type="dxa"/>
              <w:bottom w:w="85" w:type="dxa"/>
              <w:right w:w="85" w:type="dxa"/>
            </w:tcMar>
          </w:tcPr>
          <w:p w14:paraId="5C9FCB28" w14:textId="0962CA40" w:rsidR="00DE0ADB" w:rsidRPr="002E2F2F" w:rsidRDefault="00DE0ADB" w:rsidP="007F09E7">
            <w:pPr>
              <w:pStyle w:val="TableParagraph"/>
            </w:pPr>
            <w:r w:rsidRPr="002E2F2F">
              <w:t>2</w:t>
            </w:r>
          </w:p>
        </w:tc>
      </w:tr>
      <w:tr w:rsidR="00DE0ADB" w:rsidRPr="006B0D0D" w14:paraId="79079903" w14:textId="45E28705" w:rsidTr="00F10418">
        <w:trPr>
          <w:trHeight w:hRule="exact" w:val="295"/>
        </w:trPr>
        <w:tc>
          <w:tcPr>
            <w:tcW w:w="2085" w:type="dxa"/>
            <w:tcMar>
              <w:top w:w="85" w:type="dxa"/>
              <w:left w:w="85" w:type="dxa"/>
              <w:bottom w:w="85" w:type="dxa"/>
              <w:right w:w="85" w:type="dxa"/>
            </w:tcMar>
          </w:tcPr>
          <w:p w14:paraId="6510E0E8" w14:textId="75EFC69F" w:rsidR="00DE0ADB" w:rsidRPr="002E2F2F" w:rsidRDefault="00DE0ADB" w:rsidP="007F09E7">
            <w:pPr>
              <w:pStyle w:val="TableParagraph"/>
            </w:pPr>
            <w:r w:rsidRPr="002E2F2F">
              <w:lastRenderedPageBreak/>
              <w:t>NSW</w:t>
            </w:r>
          </w:p>
        </w:tc>
        <w:tc>
          <w:tcPr>
            <w:tcW w:w="1842" w:type="dxa"/>
            <w:tcMar>
              <w:top w:w="85" w:type="dxa"/>
              <w:left w:w="85" w:type="dxa"/>
              <w:bottom w:w="85" w:type="dxa"/>
              <w:right w:w="85" w:type="dxa"/>
            </w:tcMar>
          </w:tcPr>
          <w:p w14:paraId="5391029D" w14:textId="470D15C9" w:rsidR="00DE0ADB" w:rsidRPr="002E2F2F" w:rsidRDefault="00DE0ADB" w:rsidP="007F09E7">
            <w:pPr>
              <w:pStyle w:val="TableParagraph"/>
            </w:pPr>
            <w:r w:rsidRPr="002E2F2F">
              <w:t>1,336</w:t>
            </w:r>
          </w:p>
        </w:tc>
        <w:tc>
          <w:tcPr>
            <w:tcW w:w="1999" w:type="dxa"/>
            <w:tcMar>
              <w:top w:w="85" w:type="dxa"/>
              <w:left w:w="85" w:type="dxa"/>
              <w:bottom w:w="85" w:type="dxa"/>
              <w:right w:w="85" w:type="dxa"/>
            </w:tcMar>
          </w:tcPr>
          <w:p w14:paraId="7D1E352C" w14:textId="7796FC22" w:rsidR="00DE0ADB" w:rsidRPr="002E2F2F" w:rsidRDefault="00DE0ADB" w:rsidP="007F09E7">
            <w:pPr>
              <w:pStyle w:val="TableParagraph"/>
            </w:pPr>
            <w:r w:rsidRPr="002E2F2F">
              <w:t>666</w:t>
            </w:r>
          </w:p>
        </w:tc>
        <w:tc>
          <w:tcPr>
            <w:tcW w:w="2112" w:type="dxa"/>
            <w:tcMar>
              <w:top w:w="85" w:type="dxa"/>
              <w:left w:w="85" w:type="dxa"/>
              <w:bottom w:w="85" w:type="dxa"/>
              <w:right w:w="85" w:type="dxa"/>
            </w:tcMar>
          </w:tcPr>
          <w:p w14:paraId="0AEAC7A8" w14:textId="018F10C1" w:rsidR="00DE0ADB" w:rsidRPr="002E2F2F" w:rsidRDefault="00DE0ADB" w:rsidP="007F09E7">
            <w:pPr>
              <w:pStyle w:val="TableParagraph"/>
            </w:pPr>
            <w:r w:rsidRPr="002E2F2F">
              <w:t>397</w:t>
            </w:r>
          </w:p>
        </w:tc>
        <w:tc>
          <w:tcPr>
            <w:tcW w:w="1920" w:type="dxa"/>
            <w:tcMar>
              <w:top w:w="85" w:type="dxa"/>
              <w:left w:w="85" w:type="dxa"/>
              <w:bottom w:w="85" w:type="dxa"/>
              <w:right w:w="85" w:type="dxa"/>
            </w:tcMar>
          </w:tcPr>
          <w:p w14:paraId="6BFA3672" w14:textId="6E5ECCC5" w:rsidR="00DE0ADB" w:rsidRPr="002E2F2F" w:rsidRDefault="00DE0ADB" w:rsidP="007F09E7">
            <w:pPr>
              <w:pStyle w:val="TableParagraph"/>
            </w:pPr>
            <w:r w:rsidRPr="002E2F2F">
              <w:t>166</w:t>
            </w:r>
          </w:p>
        </w:tc>
      </w:tr>
      <w:tr w:rsidR="00DE0ADB" w:rsidRPr="006B0D0D" w14:paraId="51745336" w14:textId="07868F93" w:rsidTr="00F10418">
        <w:trPr>
          <w:trHeight w:hRule="exact" w:val="295"/>
        </w:trPr>
        <w:tc>
          <w:tcPr>
            <w:tcW w:w="2085" w:type="dxa"/>
            <w:tcMar>
              <w:top w:w="85" w:type="dxa"/>
              <w:left w:w="85" w:type="dxa"/>
              <w:bottom w:w="85" w:type="dxa"/>
              <w:right w:w="85" w:type="dxa"/>
            </w:tcMar>
          </w:tcPr>
          <w:p w14:paraId="338613FB" w14:textId="49031653" w:rsidR="00DE0ADB" w:rsidRPr="002E2F2F" w:rsidRDefault="00DE0ADB" w:rsidP="007F09E7">
            <w:pPr>
              <w:pStyle w:val="TableParagraph"/>
            </w:pPr>
            <w:r w:rsidRPr="002E2F2F">
              <w:t>NT</w:t>
            </w:r>
          </w:p>
        </w:tc>
        <w:tc>
          <w:tcPr>
            <w:tcW w:w="1842" w:type="dxa"/>
            <w:tcMar>
              <w:top w:w="85" w:type="dxa"/>
              <w:left w:w="85" w:type="dxa"/>
              <w:bottom w:w="85" w:type="dxa"/>
              <w:right w:w="85" w:type="dxa"/>
            </w:tcMar>
          </w:tcPr>
          <w:p w14:paraId="39B962D2" w14:textId="38DCED34" w:rsidR="00DE0ADB" w:rsidRPr="002E2F2F" w:rsidRDefault="00DE0ADB" w:rsidP="007F09E7">
            <w:pPr>
              <w:pStyle w:val="TableParagraph"/>
            </w:pPr>
            <w:r w:rsidRPr="002E2F2F">
              <w:t>286</w:t>
            </w:r>
          </w:p>
        </w:tc>
        <w:tc>
          <w:tcPr>
            <w:tcW w:w="1999" w:type="dxa"/>
            <w:tcMar>
              <w:top w:w="85" w:type="dxa"/>
              <w:left w:w="85" w:type="dxa"/>
              <w:bottom w:w="85" w:type="dxa"/>
              <w:right w:w="85" w:type="dxa"/>
            </w:tcMar>
          </w:tcPr>
          <w:p w14:paraId="1810D594" w14:textId="169A7329" w:rsidR="00DE0ADB" w:rsidRPr="002E2F2F" w:rsidRDefault="00DE0ADB" w:rsidP="007F09E7">
            <w:pPr>
              <w:pStyle w:val="TableParagraph"/>
            </w:pPr>
            <w:r w:rsidRPr="002E2F2F">
              <w:t>175</w:t>
            </w:r>
          </w:p>
        </w:tc>
        <w:tc>
          <w:tcPr>
            <w:tcW w:w="2112" w:type="dxa"/>
            <w:tcMar>
              <w:top w:w="85" w:type="dxa"/>
              <w:left w:w="85" w:type="dxa"/>
              <w:bottom w:w="85" w:type="dxa"/>
              <w:right w:w="85" w:type="dxa"/>
            </w:tcMar>
          </w:tcPr>
          <w:p w14:paraId="58DE4696" w14:textId="4F209D57" w:rsidR="00DE0ADB" w:rsidRPr="002E2F2F" w:rsidRDefault="00DE0ADB" w:rsidP="007F09E7">
            <w:pPr>
              <w:pStyle w:val="TableParagraph"/>
            </w:pPr>
            <w:r w:rsidRPr="002E2F2F">
              <w:t>150</w:t>
            </w:r>
          </w:p>
        </w:tc>
        <w:tc>
          <w:tcPr>
            <w:tcW w:w="1920" w:type="dxa"/>
            <w:tcMar>
              <w:top w:w="85" w:type="dxa"/>
              <w:left w:w="85" w:type="dxa"/>
              <w:bottom w:w="85" w:type="dxa"/>
              <w:right w:w="85" w:type="dxa"/>
            </w:tcMar>
          </w:tcPr>
          <w:p w14:paraId="6246CEB1" w14:textId="233A1D66" w:rsidR="00DE0ADB" w:rsidRPr="002E2F2F" w:rsidRDefault="00DE0ADB" w:rsidP="007F09E7">
            <w:pPr>
              <w:pStyle w:val="TableParagraph"/>
            </w:pPr>
            <w:r w:rsidRPr="002E2F2F">
              <w:t>53</w:t>
            </w:r>
          </w:p>
        </w:tc>
      </w:tr>
      <w:tr w:rsidR="00DE0ADB" w:rsidRPr="006B0D0D" w14:paraId="6B9D1DE4" w14:textId="4E06C885" w:rsidTr="00F10418">
        <w:trPr>
          <w:trHeight w:hRule="exact" w:val="295"/>
        </w:trPr>
        <w:tc>
          <w:tcPr>
            <w:tcW w:w="2085" w:type="dxa"/>
            <w:tcMar>
              <w:top w:w="85" w:type="dxa"/>
              <w:left w:w="85" w:type="dxa"/>
              <w:bottom w:w="85" w:type="dxa"/>
              <w:right w:w="85" w:type="dxa"/>
            </w:tcMar>
          </w:tcPr>
          <w:p w14:paraId="76A92292" w14:textId="105C3A02" w:rsidR="00DE0ADB" w:rsidRPr="002E2F2F" w:rsidRDefault="00DE0ADB" w:rsidP="007F09E7">
            <w:pPr>
              <w:pStyle w:val="TableParagraph"/>
            </w:pPr>
            <w:r w:rsidRPr="002E2F2F">
              <w:t>QLD</w:t>
            </w:r>
          </w:p>
        </w:tc>
        <w:tc>
          <w:tcPr>
            <w:tcW w:w="1842" w:type="dxa"/>
            <w:tcMar>
              <w:top w:w="85" w:type="dxa"/>
              <w:left w:w="85" w:type="dxa"/>
              <w:bottom w:w="85" w:type="dxa"/>
              <w:right w:w="85" w:type="dxa"/>
            </w:tcMar>
          </w:tcPr>
          <w:p w14:paraId="51A020B7" w14:textId="1211C62D" w:rsidR="00DE0ADB" w:rsidRPr="002E2F2F" w:rsidRDefault="00DE0ADB" w:rsidP="007F09E7">
            <w:pPr>
              <w:pStyle w:val="TableParagraph"/>
            </w:pPr>
            <w:r w:rsidRPr="002E2F2F">
              <w:t>1,429</w:t>
            </w:r>
          </w:p>
        </w:tc>
        <w:tc>
          <w:tcPr>
            <w:tcW w:w="1999" w:type="dxa"/>
            <w:tcMar>
              <w:top w:w="85" w:type="dxa"/>
              <w:left w:w="85" w:type="dxa"/>
              <w:bottom w:w="85" w:type="dxa"/>
              <w:right w:w="85" w:type="dxa"/>
            </w:tcMar>
          </w:tcPr>
          <w:p w14:paraId="0713F90E" w14:textId="60F92739" w:rsidR="00DE0ADB" w:rsidRPr="002E2F2F" w:rsidRDefault="00DE0ADB" w:rsidP="007F09E7">
            <w:pPr>
              <w:pStyle w:val="TableParagraph"/>
            </w:pPr>
            <w:r w:rsidRPr="002E2F2F">
              <w:t>987</w:t>
            </w:r>
          </w:p>
        </w:tc>
        <w:tc>
          <w:tcPr>
            <w:tcW w:w="2112" w:type="dxa"/>
            <w:tcMar>
              <w:top w:w="85" w:type="dxa"/>
              <w:left w:w="85" w:type="dxa"/>
              <w:bottom w:w="85" w:type="dxa"/>
              <w:right w:w="85" w:type="dxa"/>
            </w:tcMar>
          </w:tcPr>
          <w:p w14:paraId="24464922" w14:textId="4F37C7DD" w:rsidR="00DE0ADB" w:rsidRPr="002E2F2F" w:rsidRDefault="00DE0ADB" w:rsidP="007F09E7">
            <w:pPr>
              <w:pStyle w:val="TableParagraph"/>
            </w:pPr>
            <w:r w:rsidRPr="002E2F2F">
              <w:t>514</w:t>
            </w:r>
          </w:p>
        </w:tc>
        <w:tc>
          <w:tcPr>
            <w:tcW w:w="1920" w:type="dxa"/>
            <w:tcMar>
              <w:top w:w="85" w:type="dxa"/>
              <w:left w:w="85" w:type="dxa"/>
              <w:bottom w:w="85" w:type="dxa"/>
              <w:right w:w="85" w:type="dxa"/>
            </w:tcMar>
          </w:tcPr>
          <w:p w14:paraId="377055EC" w14:textId="2930BE71" w:rsidR="00DE0ADB" w:rsidRPr="002E2F2F" w:rsidRDefault="00DE0ADB" w:rsidP="007F09E7">
            <w:pPr>
              <w:pStyle w:val="TableParagraph"/>
            </w:pPr>
            <w:r w:rsidRPr="002E2F2F">
              <w:t>151</w:t>
            </w:r>
          </w:p>
        </w:tc>
      </w:tr>
      <w:tr w:rsidR="00DE0ADB" w:rsidRPr="006B0D0D" w14:paraId="63E300EF" w14:textId="37DA2656" w:rsidTr="00F10418">
        <w:trPr>
          <w:trHeight w:hRule="exact" w:val="295"/>
        </w:trPr>
        <w:tc>
          <w:tcPr>
            <w:tcW w:w="2085" w:type="dxa"/>
            <w:tcMar>
              <w:top w:w="85" w:type="dxa"/>
              <w:left w:w="85" w:type="dxa"/>
              <w:bottom w:w="85" w:type="dxa"/>
              <w:right w:w="85" w:type="dxa"/>
            </w:tcMar>
          </w:tcPr>
          <w:p w14:paraId="0590A7E5" w14:textId="52A6292F" w:rsidR="00DE0ADB" w:rsidRPr="002E2F2F" w:rsidRDefault="00DE0ADB" w:rsidP="007F09E7">
            <w:pPr>
              <w:pStyle w:val="TableParagraph"/>
            </w:pPr>
            <w:r w:rsidRPr="002E2F2F">
              <w:t>SA</w:t>
            </w:r>
          </w:p>
        </w:tc>
        <w:tc>
          <w:tcPr>
            <w:tcW w:w="1842" w:type="dxa"/>
            <w:tcMar>
              <w:top w:w="85" w:type="dxa"/>
              <w:left w:w="85" w:type="dxa"/>
              <w:bottom w:w="85" w:type="dxa"/>
              <w:right w:w="85" w:type="dxa"/>
            </w:tcMar>
          </w:tcPr>
          <w:p w14:paraId="1985BD9B" w14:textId="0C39707A" w:rsidR="00DE0ADB" w:rsidRPr="002E2F2F" w:rsidRDefault="00DE0ADB" w:rsidP="007F09E7">
            <w:pPr>
              <w:pStyle w:val="TableParagraph"/>
            </w:pPr>
            <w:r w:rsidRPr="002E2F2F">
              <w:t>120</w:t>
            </w:r>
          </w:p>
        </w:tc>
        <w:tc>
          <w:tcPr>
            <w:tcW w:w="1999" w:type="dxa"/>
            <w:tcMar>
              <w:top w:w="85" w:type="dxa"/>
              <w:left w:w="85" w:type="dxa"/>
              <w:bottom w:w="85" w:type="dxa"/>
              <w:right w:w="85" w:type="dxa"/>
            </w:tcMar>
          </w:tcPr>
          <w:p w14:paraId="3AC7ACBD" w14:textId="2126AF62" w:rsidR="00DE0ADB" w:rsidRPr="002E2F2F" w:rsidRDefault="00DE0ADB" w:rsidP="007F09E7">
            <w:pPr>
              <w:pStyle w:val="TableParagraph"/>
            </w:pPr>
            <w:r w:rsidRPr="002E2F2F">
              <w:t>58</w:t>
            </w:r>
          </w:p>
        </w:tc>
        <w:tc>
          <w:tcPr>
            <w:tcW w:w="2112" w:type="dxa"/>
            <w:tcMar>
              <w:top w:w="85" w:type="dxa"/>
              <w:left w:w="85" w:type="dxa"/>
              <w:bottom w:w="85" w:type="dxa"/>
              <w:right w:w="85" w:type="dxa"/>
            </w:tcMar>
          </w:tcPr>
          <w:p w14:paraId="193AA8CD" w14:textId="314EF500" w:rsidR="00DE0ADB" w:rsidRPr="002E2F2F" w:rsidRDefault="00DE0ADB" w:rsidP="007F09E7">
            <w:pPr>
              <w:pStyle w:val="TableParagraph"/>
            </w:pPr>
            <w:r w:rsidRPr="002E2F2F">
              <w:t>12</w:t>
            </w:r>
          </w:p>
        </w:tc>
        <w:tc>
          <w:tcPr>
            <w:tcW w:w="1920" w:type="dxa"/>
            <w:tcMar>
              <w:top w:w="85" w:type="dxa"/>
              <w:left w:w="85" w:type="dxa"/>
              <w:bottom w:w="85" w:type="dxa"/>
              <w:right w:w="85" w:type="dxa"/>
            </w:tcMar>
          </w:tcPr>
          <w:p w14:paraId="7A6A87A7" w14:textId="232404D5" w:rsidR="00DE0ADB" w:rsidRPr="002E2F2F" w:rsidRDefault="00DE0ADB" w:rsidP="007F09E7">
            <w:pPr>
              <w:pStyle w:val="TableParagraph"/>
            </w:pPr>
            <w:r w:rsidRPr="002E2F2F">
              <w:t>6</w:t>
            </w:r>
          </w:p>
        </w:tc>
      </w:tr>
      <w:tr w:rsidR="00DE0ADB" w:rsidRPr="006B0D0D" w14:paraId="08749707" w14:textId="3D7CBAEE" w:rsidTr="00F10418">
        <w:trPr>
          <w:trHeight w:hRule="exact" w:val="295"/>
        </w:trPr>
        <w:tc>
          <w:tcPr>
            <w:tcW w:w="2085" w:type="dxa"/>
            <w:tcMar>
              <w:top w:w="85" w:type="dxa"/>
              <w:left w:w="85" w:type="dxa"/>
              <w:bottom w:w="85" w:type="dxa"/>
              <w:right w:w="85" w:type="dxa"/>
            </w:tcMar>
          </w:tcPr>
          <w:p w14:paraId="16A7C6FD" w14:textId="07E19566" w:rsidR="00DE0ADB" w:rsidRPr="002E2F2F" w:rsidRDefault="00DE0ADB" w:rsidP="007F09E7">
            <w:pPr>
              <w:pStyle w:val="TableParagraph"/>
            </w:pPr>
            <w:r w:rsidRPr="002E2F2F">
              <w:t>TAS</w:t>
            </w:r>
          </w:p>
        </w:tc>
        <w:tc>
          <w:tcPr>
            <w:tcW w:w="1842" w:type="dxa"/>
            <w:tcMar>
              <w:top w:w="85" w:type="dxa"/>
              <w:left w:w="85" w:type="dxa"/>
              <w:bottom w:w="85" w:type="dxa"/>
              <w:right w:w="85" w:type="dxa"/>
            </w:tcMar>
          </w:tcPr>
          <w:p w14:paraId="3D899C8C" w14:textId="032E8C6F" w:rsidR="00DE0ADB" w:rsidRPr="002E2F2F" w:rsidRDefault="00DE0ADB" w:rsidP="007F09E7">
            <w:pPr>
              <w:pStyle w:val="TableParagraph"/>
            </w:pPr>
            <w:r w:rsidRPr="002E2F2F">
              <w:t>13</w:t>
            </w:r>
          </w:p>
        </w:tc>
        <w:tc>
          <w:tcPr>
            <w:tcW w:w="1999" w:type="dxa"/>
            <w:tcMar>
              <w:top w:w="85" w:type="dxa"/>
              <w:left w:w="85" w:type="dxa"/>
              <w:bottom w:w="85" w:type="dxa"/>
              <w:right w:w="85" w:type="dxa"/>
            </w:tcMar>
          </w:tcPr>
          <w:p w14:paraId="63476905" w14:textId="204DD7AB" w:rsidR="00DE0ADB" w:rsidRPr="002E2F2F" w:rsidRDefault="00A0285A" w:rsidP="007F09E7">
            <w:pPr>
              <w:pStyle w:val="TableParagraph"/>
            </w:pPr>
            <w:r w:rsidRPr="002E2F2F">
              <w:t>Not provided</w:t>
            </w:r>
          </w:p>
        </w:tc>
        <w:tc>
          <w:tcPr>
            <w:tcW w:w="2112" w:type="dxa"/>
            <w:tcMar>
              <w:top w:w="85" w:type="dxa"/>
              <w:left w:w="85" w:type="dxa"/>
              <w:bottom w:w="85" w:type="dxa"/>
              <w:right w:w="85" w:type="dxa"/>
            </w:tcMar>
          </w:tcPr>
          <w:p w14:paraId="4594CD91" w14:textId="66549417" w:rsidR="00DE0ADB" w:rsidRPr="002E2F2F" w:rsidRDefault="00DE0ADB" w:rsidP="007F09E7">
            <w:pPr>
              <w:pStyle w:val="TableParagraph"/>
            </w:pPr>
            <w:r w:rsidRPr="002E2F2F">
              <w:t>0</w:t>
            </w:r>
          </w:p>
        </w:tc>
        <w:tc>
          <w:tcPr>
            <w:tcW w:w="1920" w:type="dxa"/>
            <w:tcMar>
              <w:top w:w="85" w:type="dxa"/>
              <w:left w:w="85" w:type="dxa"/>
              <w:bottom w:w="85" w:type="dxa"/>
              <w:right w:w="85" w:type="dxa"/>
            </w:tcMar>
          </w:tcPr>
          <w:p w14:paraId="789F0AF7" w14:textId="1113BE6B" w:rsidR="00DE0ADB" w:rsidRPr="002E2F2F" w:rsidRDefault="00DE0ADB" w:rsidP="007F09E7">
            <w:pPr>
              <w:pStyle w:val="TableParagraph"/>
            </w:pPr>
            <w:r w:rsidRPr="002E2F2F">
              <w:t>0</w:t>
            </w:r>
          </w:p>
        </w:tc>
      </w:tr>
      <w:tr w:rsidR="00DE0ADB" w:rsidRPr="006B0D0D" w14:paraId="48ABAE54" w14:textId="37B68E67" w:rsidTr="00F10418">
        <w:trPr>
          <w:trHeight w:hRule="exact" w:val="295"/>
        </w:trPr>
        <w:tc>
          <w:tcPr>
            <w:tcW w:w="2085" w:type="dxa"/>
            <w:tcMar>
              <w:top w:w="85" w:type="dxa"/>
              <w:left w:w="85" w:type="dxa"/>
              <w:bottom w:w="85" w:type="dxa"/>
              <w:right w:w="85" w:type="dxa"/>
            </w:tcMar>
          </w:tcPr>
          <w:p w14:paraId="7BD28D3B" w14:textId="5070E694" w:rsidR="00DE0ADB" w:rsidRPr="002E2F2F" w:rsidRDefault="00DE0ADB" w:rsidP="007F09E7">
            <w:pPr>
              <w:pStyle w:val="TableParagraph"/>
            </w:pPr>
            <w:r w:rsidRPr="002E2F2F">
              <w:t>VIC</w:t>
            </w:r>
          </w:p>
        </w:tc>
        <w:tc>
          <w:tcPr>
            <w:tcW w:w="1842" w:type="dxa"/>
            <w:tcMar>
              <w:top w:w="85" w:type="dxa"/>
              <w:left w:w="85" w:type="dxa"/>
              <w:bottom w:w="85" w:type="dxa"/>
              <w:right w:w="85" w:type="dxa"/>
            </w:tcMar>
          </w:tcPr>
          <w:p w14:paraId="5780F848" w14:textId="44D33E92" w:rsidR="00DE0ADB" w:rsidRPr="002E2F2F" w:rsidRDefault="00DE0ADB" w:rsidP="007F09E7">
            <w:pPr>
              <w:pStyle w:val="TableParagraph"/>
            </w:pPr>
            <w:r w:rsidRPr="002E2F2F">
              <w:t>179</w:t>
            </w:r>
          </w:p>
        </w:tc>
        <w:tc>
          <w:tcPr>
            <w:tcW w:w="1999" w:type="dxa"/>
            <w:tcMar>
              <w:top w:w="85" w:type="dxa"/>
              <w:left w:w="85" w:type="dxa"/>
              <w:bottom w:w="85" w:type="dxa"/>
              <w:right w:w="85" w:type="dxa"/>
            </w:tcMar>
          </w:tcPr>
          <w:p w14:paraId="09C1D912" w14:textId="5CB9A40D" w:rsidR="00DE0ADB" w:rsidRPr="002E2F2F" w:rsidRDefault="00DE0ADB" w:rsidP="007F09E7">
            <w:pPr>
              <w:pStyle w:val="TableParagraph"/>
            </w:pPr>
            <w:r w:rsidRPr="002E2F2F">
              <w:t>102</w:t>
            </w:r>
          </w:p>
        </w:tc>
        <w:tc>
          <w:tcPr>
            <w:tcW w:w="2112" w:type="dxa"/>
            <w:tcMar>
              <w:top w:w="85" w:type="dxa"/>
              <w:left w:w="85" w:type="dxa"/>
              <w:bottom w:w="85" w:type="dxa"/>
              <w:right w:w="85" w:type="dxa"/>
            </w:tcMar>
          </w:tcPr>
          <w:p w14:paraId="6CB14521" w14:textId="5A4CBE39" w:rsidR="00DE0ADB" w:rsidRPr="002E2F2F" w:rsidRDefault="00DE0ADB" w:rsidP="007F09E7">
            <w:pPr>
              <w:pStyle w:val="TableParagraph"/>
            </w:pPr>
            <w:r w:rsidRPr="002E2F2F">
              <w:t>39</w:t>
            </w:r>
          </w:p>
        </w:tc>
        <w:tc>
          <w:tcPr>
            <w:tcW w:w="1920" w:type="dxa"/>
            <w:tcMar>
              <w:top w:w="85" w:type="dxa"/>
              <w:left w:w="85" w:type="dxa"/>
              <w:bottom w:w="85" w:type="dxa"/>
              <w:right w:w="85" w:type="dxa"/>
            </w:tcMar>
          </w:tcPr>
          <w:p w14:paraId="67B5E8AA" w14:textId="72656A93" w:rsidR="00DE0ADB" w:rsidRPr="002E2F2F" w:rsidRDefault="00DE0ADB" w:rsidP="007F09E7">
            <w:pPr>
              <w:pStyle w:val="TableParagraph"/>
            </w:pPr>
            <w:r w:rsidRPr="002E2F2F">
              <w:t>24</w:t>
            </w:r>
          </w:p>
        </w:tc>
      </w:tr>
      <w:tr w:rsidR="00DE0ADB" w:rsidRPr="006B0D0D" w14:paraId="2B1440BF" w14:textId="56630C30" w:rsidTr="00F10418">
        <w:trPr>
          <w:trHeight w:hRule="exact" w:val="285"/>
        </w:trPr>
        <w:tc>
          <w:tcPr>
            <w:tcW w:w="2085" w:type="dxa"/>
            <w:tcMar>
              <w:top w:w="85" w:type="dxa"/>
              <w:left w:w="85" w:type="dxa"/>
              <w:bottom w:w="85" w:type="dxa"/>
              <w:right w:w="85" w:type="dxa"/>
            </w:tcMar>
          </w:tcPr>
          <w:p w14:paraId="7D4BADEB" w14:textId="1B005F73" w:rsidR="00DE0ADB" w:rsidRPr="002E2F2F" w:rsidRDefault="00DE0ADB" w:rsidP="007F09E7">
            <w:pPr>
              <w:pStyle w:val="TableParagraph"/>
            </w:pPr>
            <w:r w:rsidRPr="002E2F2F">
              <w:t>WA</w:t>
            </w:r>
          </w:p>
        </w:tc>
        <w:tc>
          <w:tcPr>
            <w:tcW w:w="1842" w:type="dxa"/>
            <w:tcMar>
              <w:top w:w="85" w:type="dxa"/>
              <w:left w:w="85" w:type="dxa"/>
              <w:bottom w:w="85" w:type="dxa"/>
              <w:right w:w="85" w:type="dxa"/>
            </w:tcMar>
          </w:tcPr>
          <w:p w14:paraId="5B5C15AB" w14:textId="421FEACD" w:rsidR="00DE0ADB" w:rsidRPr="002E2F2F" w:rsidRDefault="00DE0ADB" w:rsidP="007F09E7">
            <w:pPr>
              <w:pStyle w:val="TableParagraph"/>
            </w:pPr>
            <w:r w:rsidRPr="002E2F2F">
              <w:t>1,095</w:t>
            </w:r>
          </w:p>
        </w:tc>
        <w:tc>
          <w:tcPr>
            <w:tcW w:w="1999" w:type="dxa"/>
            <w:tcMar>
              <w:top w:w="85" w:type="dxa"/>
              <w:left w:w="85" w:type="dxa"/>
              <w:bottom w:w="85" w:type="dxa"/>
              <w:right w:w="85" w:type="dxa"/>
            </w:tcMar>
          </w:tcPr>
          <w:p w14:paraId="76B8205A" w14:textId="02301553" w:rsidR="00DE0ADB" w:rsidRPr="002E2F2F" w:rsidRDefault="00DE0ADB" w:rsidP="007F09E7">
            <w:pPr>
              <w:pStyle w:val="TableParagraph"/>
            </w:pPr>
            <w:r w:rsidRPr="002E2F2F">
              <w:t>705</w:t>
            </w:r>
          </w:p>
        </w:tc>
        <w:tc>
          <w:tcPr>
            <w:tcW w:w="2112" w:type="dxa"/>
            <w:tcMar>
              <w:top w:w="85" w:type="dxa"/>
              <w:left w:w="85" w:type="dxa"/>
              <w:bottom w:w="85" w:type="dxa"/>
              <w:right w:w="85" w:type="dxa"/>
            </w:tcMar>
          </w:tcPr>
          <w:p w14:paraId="10BE17BB" w14:textId="11835D1D" w:rsidR="00DE0ADB" w:rsidRPr="002E2F2F" w:rsidRDefault="00DE0ADB" w:rsidP="007F09E7">
            <w:pPr>
              <w:pStyle w:val="TableParagraph"/>
            </w:pPr>
            <w:r w:rsidRPr="002E2F2F">
              <w:t>484</w:t>
            </w:r>
          </w:p>
        </w:tc>
        <w:tc>
          <w:tcPr>
            <w:tcW w:w="1920" w:type="dxa"/>
            <w:tcMar>
              <w:top w:w="85" w:type="dxa"/>
              <w:left w:w="85" w:type="dxa"/>
              <w:bottom w:w="85" w:type="dxa"/>
              <w:right w:w="85" w:type="dxa"/>
            </w:tcMar>
          </w:tcPr>
          <w:p w14:paraId="67A11E4C" w14:textId="1737E543" w:rsidR="00DE0ADB" w:rsidRPr="002E2F2F" w:rsidRDefault="00DE0ADB" w:rsidP="007F09E7">
            <w:pPr>
              <w:pStyle w:val="TableParagraph"/>
            </w:pPr>
            <w:r w:rsidRPr="002E2F2F">
              <w:t>83</w:t>
            </w:r>
          </w:p>
        </w:tc>
      </w:tr>
      <w:tr w:rsidR="00DE0ADB" w:rsidRPr="006B0D0D" w14:paraId="49086AF2" w14:textId="6EA7520F" w:rsidTr="00F10418">
        <w:trPr>
          <w:trHeight w:hRule="exact" w:val="296"/>
        </w:trPr>
        <w:tc>
          <w:tcPr>
            <w:tcW w:w="2085" w:type="dxa"/>
            <w:shd w:val="clear" w:color="auto" w:fill="002D62" w:themeFill="background2"/>
            <w:tcMar>
              <w:top w:w="85" w:type="dxa"/>
              <w:left w:w="85" w:type="dxa"/>
              <w:bottom w:w="85" w:type="dxa"/>
              <w:right w:w="85" w:type="dxa"/>
            </w:tcMar>
          </w:tcPr>
          <w:p w14:paraId="4304B1E2" w14:textId="5293811C" w:rsidR="00DE0ADB" w:rsidRPr="00F10418" w:rsidRDefault="00DE0ADB" w:rsidP="007F09E7">
            <w:pPr>
              <w:pStyle w:val="TableParagraph"/>
            </w:pPr>
            <w:r w:rsidRPr="00F10418">
              <w:t>Total</w:t>
            </w:r>
          </w:p>
        </w:tc>
        <w:tc>
          <w:tcPr>
            <w:tcW w:w="1842" w:type="dxa"/>
            <w:shd w:val="clear" w:color="auto" w:fill="002D62" w:themeFill="background2"/>
            <w:tcMar>
              <w:top w:w="85" w:type="dxa"/>
              <w:left w:w="85" w:type="dxa"/>
              <w:bottom w:w="85" w:type="dxa"/>
              <w:right w:w="85" w:type="dxa"/>
            </w:tcMar>
          </w:tcPr>
          <w:p w14:paraId="2629046B" w14:textId="761926F8" w:rsidR="00DE0ADB" w:rsidRPr="00F10418" w:rsidRDefault="00DE0ADB" w:rsidP="007F09E7">
            <w:pPr>
              <w:pStyle w:val="TableParagraph"/>
            </w:pPr>
            <w:r w:rsidRPr="00F10418">
              <w:t>4,502</w:t>
            </w:r>
          </w:p>
        </w:tc>
        <w:tc>
          <w:tcPr>
            <w:tcW w:w="1999" w:type="dxa"/>
            <w:shd w:val="clear" w:color="auto" w:fill="002D62" w:themeFill="background2"/>
            <w:tcMar>
              <w:top w:w="85" w:type="dxa"/>
              <w:left w:w="85" w:type="dxa"/>
              <w:bottom w:w="85" w:type="dxa"/>
              <w:right w:w="85" w:type="dxa"/>
            </w:tcMar>
          </w:tcPr>
          <w:p w14:paraId="0E9B4422" w14:textId="13E44727" w:rsidR="00DE0ADB" w:rsidRPr="00F10418" w:rsidRDefault="00DE0ADB" w:rsidP="007F09E7">
            <w:pPr>
              <w:pStyle w:val="TableParagraph"/>
            </w:pPr>
            <w:r w:rsidRPr="00F10418">
              <w:t>2,726</w:t>
            </w:r>
          </w:p>
        </w:tc>
        <w:tc>
          <w:tcPr>
            <w:tcW w:w="2112" w:type="dxa"/>
            <w:shd w:val="clear" w:color="auto" w:fill="002D62" w:themeFill="background2"/>
            <w:tcMar>
              <w:top w:w="85" w:type="dxa"/>
              <w:left w:w="85" w:type="dxa"/>
              <w:bottom w:w="85" w:type="dxa"/>
              <w:right w:w="85" w:type="dxa"/>
            </w:tcMar>
          </w:tcPr>
          <w:p w14:paraId="759175DC" w14:textId="513EE8B5" w:rsidR="00DE0ADB" w:rsidRPr="00F10418" w:rsidRDefault="00DE0ADB" w:rsidP="007F09E7">
            <w:pPr>
              <w:pStyle w:val="TableParagraph"/>
            </w:pPr>
            <w:r w:rsidRPr="00F10418">
              <w:t>1,616</w:t>
            </w:r>
          </w:p>
        </w:tc>
        <w:tc>
          <w:tcPr>
            <w:tcW w:w="1920" w:type="dxa"/>
            <w:shd w:val="clear" w:color="auto" w:fill="002D62" w:themeFill="background2"/>
            <w:tcMar>
              <w:top w:w="85" w:type="dxa"/>
              <w:left w:w="85" w:type="dxa"/>
              <w:bottom w:w="85" w:type="dxa"/>
              <w:right w:w="85" w:type="dxa"/>
            </w:tcMar>
          </w:tcPr>
          <w:p w14:paraId="68636AE3" w14:textId="3CA7063E" w:rsidR="00DE0ADB" w:rsidRPr="00F10418" w:rsidRDefault="00DE0ADB" w:rsidP="007F09E7">
            <w:pPr>
              <w:pStyle w:val="TableParagraph"/>
            </w:pPr>
            <w:r w:rsidRPr="00F10418">
              <w:t>485</w:t>
            </w:r>
          </w:p>
        </w:tc>
      </w:tr>
    </w:tbl>
    <w:p w14:paraId="5F0860B6" w14:textId="7D19503F" w:rsidR="00194420" w:rsidRPr="00DB0DAE" w:rsidRDefault="008B173A" w:rsidP="00305B4B">
      <w:pPr>
        <w:pStyle w:val="Heading3"/>
        <w:ind w:right="3"/>
      </w:pPr>
      <w:r>
        <w:t>How many TWES participants ha</w:t>
      </w:r>
      <w:r w:rsidR="008E7293">
        <w:t>ve</w:t>
      </w:r>
      <w:r>
        <w:t xml:space="preserve"> c</w:t>
      </w:r>
      <w:r w:rsidR="00194420" w:rsidRPr="00FF3D15">
        <w:t>omplet</w:t>
      </w:r>
      <w:r>
        <w:t>ed</w:t>
      </w:r>
      <w:r w:rsidR="00194420" w:rsidRPr="00FF3D15">
        <w:rPr>
          <w:spacing w:val="-8"/>
        </w:rPr>
        <w:t xml:space="preserve"> </w:t>
      </w:r>
      <w:r w:rsidR="00194420" w:rsidRPr="00DB0DAE">
        <w:t>JSCI</w:t>
      </w:r>
      <w:r w:rsidR="00194420" w:rsidRPr="00FF3D15">
        <w:rPr>
          <w:spacing w:val="-8"/>
        </w:rPr>
        <w:t xml:space="preserve"> </w:t>
      </w:r>
      <w:r w:rsidR="00194420" w:rsidRPr="00DB0DAE">
        <w:t>and</w:t>
      </w:r>
      <w:r w:rsidR="00194420" w:rsidRPr="00FF3D15">
        <w:rPr>
          <w:spacing w:val="-6"/>
        </w:rPr>
        <w:t xml:space="preserve"> </w:t>
      </w:r>
      <w:r w:rsidR="00194420" w:rsidRPr="00DB0DAE">
        <w:t>ESAt</w:t>
      </w:r>
      <w:r w:rsidR="00A028BD" w:rsidRPr="00FF3D15">
        <w:rPr>
          <w:spacing w:val="-6"/>
        </w:rPr>
        <w:t xml:space="preserve"> </w:t>
      </w:r>
      <w:r w:rsidR="00A028BD">
        <w:t>assessments</w:t>
      </w:r>
      <w:r>
        <w:t>?</w:t>
      </w:r>
    </w:p>
    <w:p w14:paraId="5E5B82E4" w14:textId="3C47E4B6" w:rsidR="00CF1280" w:rsidRPr="002E2F2F" w:rsidRDefault="00CF1280" w:rsidP="00305B4B">
      <w:pPr>
        <w:pStyle w:val="BodyText"/>
        <w:ind w:right="3"/>
      </w:pPr>
      <w:r w:rsidRPr="002E2F2F">
        <w:t xml:space="preserve">As </w:t>
      </w:r>
      <w:r w:rsidR="00C720DC" w:rsidRPr="002E2F2F">
        <w:t xml:space="preserve">noted above, </w:t>
      </w:r>
      <w:r w:rsidR="00037AD0" w:rsidRPr="002E2F2F">
        <w:t xml:space="preserve">we have assumed that a </w:t>
      </w:r>
      <w:r w:rsidRPr="002E2F2F">
        <w:t>JSCI has been completed</w:t>
      </w:r>
      <w:r w:rsidR="00037AD0" w:rsidRPr="002E2F2F">
        <w:t xml:space="preserve"> for all those participants with an Approved Transition Plan</w:t>
      </w:r>
      <w:r w:rsidRPr="002E2F2F">
        <w:t xml:space="preserve">. ESS data shows that 61% of TWES participants had a completed ESAt. Non-remote sites had a higher ESAt completion rate at 61% compared to remote sites at 51% (see </w:t>
      </w:r>
      <w:r w:rsidRPr="002E2F2F">
        <w:rPr>
          <w:b/>
          <w:bCs/>
        </w:rPr>
        <w:fldChar w:fldCharType="begin"/>
      </w:r>
      <w:r w:rsidRPr="002E2F2F">
        <w:rPr>
          <w:b/>
          <w:bCs/>
        </w:rPr>
        <w:instrText xml:space="preserve"> REF _Ref71658574 \h  \* MERGEFORMAT </w:instrText>
      </w:r>
      <w:r w:rsidRPr="002E2F2F">
        <w:rPr>
          <w:b/>
          <w:bCs/>
        </w:rPr>
      </w:r>
      <w:r w:rsidRPr="002E2F2F">
        <w:rPr>
          <w:b/>
          <w:bCs/>
        </w:rPr>
        <w:fldChar w:fldCharType="separate"/>
      </w:r>
      <w:r w:rsidR="00E93A98" w:rsidRPr="002E2F2F">
        <w:rPr>
          <w:b/>
          <w:bCs/>
        </w:rPr>
        <w:t>Table 9</w:t>
      </w:r>
      <w:r w:rsidRPr="002E2F2F">
        <w:rPr>
          <w:b/>
          <w:bCs/>
        </w:rPr>
        <w:fldChar w:fldCharType="end"/>
      </w:r>
      <w:r w:rsidRPr="002E2F2F">
        <w:t>).</w:t>
      </w:r>
    </w:p>
    <w:p w14:paraId="1AD67E94" w14:textId="0AD85634" w:rsidR="00CF1280" w:rsidRPr="002E2F2F" w:rsidRDefault="00CF1280" w:rsidP="00305B4B">
      <w:pPr>
        <w:pStyle w:val="Caption"/>
        <w:ind w:right="3"/>
      </w:pPr>
      <w:bookmarkStart w:id="88" w:name="_Ref71658574"/>
      <w:r w:rsidRPr="002E2F2F">
        <w:t xml:space="preserve">Table </w:t>
      </w:r>
      <w:r w:rsidRPr="002E2F2F">
        <w:fldChar w:fldCharType="begin"/>
      </w:r>
      <w:r w:rsidRPr="002E2F2F">
        <w:instrText xml:space="preserve"> SEQ Table \* ARABIC </w:instrText>
      </w:r>
      <w:r w:rsidRPr="002E2F2F">
        <w:fldChar w:fldCharType="separate"/>
      </w:r>
      <w:r w:rsidR="00E93A98" w:rsidRPr="002E2F2F">
        <w:t>9</w:t>
      </w:r>
      <w:r w:rsidRPr="002E2F2F">
        <w:fldChar w:fldCharType="end"/>
      </w:r>
      <w:bookmarkEnd w:id="88"/>
      <w:r w:rsidRPr="002E2F2F">
        <w:t xml:space="preserve">: TWES </w:t>
      </w:r>
      <w:r w:rsidR="00DB7649" w:rsidRPr="002E2F2F">
        <w:t>participant</w:t>
      </w:r>
      <w:r w:rsidRPr="002E2F2F">
        <w:t xml:space="preserve">s with completed ESAt (Remote </w:t>
      </w:r>
      <w:r w:rsidR="00FF5980" w:rsidRPr="002E2F2F">
        <w:t>and</w:t>
      </w:r>
      <w:r w:rsidRPr="002E2F2F">
        <w:t xml:space="preserve"> </w:t>
      </w:r>
      <w:r w:rsidR="00FF5980" w:rsidRPr="002E2F2F">
        <w:t>n</w:t>
      </w:r>
      <w:r w:rsidRPr="002E2F2F">
        <w:t>on-</w:t>
      </w:r>
      <w:r w:rsidR="00FF5980" w:rsidRPr="002E2F2F">
        <w:t>r</w:t>
      </w:r>
      <w:r w:rsidRPr="002E2F2F">
        <w:t>emote)</w:t>
      </w:r>
    </w:p>
    <w:tbl>
      <w:tblPr>
        <w:tblW w:w="9895" w:type="dxa"/>
        <w:tblInd w:w="23" w:type="dxa"/>
        <w:tblLayout w:type="fixed"/>
        <w:tblCellMar>
          <w:left w:w="0" w:type="dxa"/>
          <w:right w:w="0" w:type="dxa"/>
        </w:tblCellMar>
        <w:tblLook w:val="0000" w:firstRow="0" w:lastRow="0" w:firstColumn="0" w:lastColumn="0" w:noHBand="0" w:noVBand="0"/>
        <w:tblCaption w:val="TWES participants with completed ESAt (remote and non-remote)"/>
        <w:tblDescription w:val="A table of the number of participants with a competed ESAt in remote and non-remote locations where non-remote sites had a higher ESAt completion rate at 61% compared to remote sites at 51%."/>
      </w:tblPr>
      <w:tblGrid>
        <w:gridCol w:w="2099"/>
        <w:gridCol w:w="2551"/>
        <w:gridCol w:w="2410"/>
        <w:gridCol w:w="2835"/>
      </w:tblGrid>
      <w:tr w:rsidR="00CF1280" w:rsidRPr="006B0D0D" w14:paraId="069E62B2" w14:textId="77777777" w:rsidTr="00F10418">
        <w:trPr>
          <w:trHeight w:val="284"/>
        </w:trPr>
        <w:tc>
          <w:tcPr>
            <w:tcW w:w="2099" w:type="dxa"/>
            <w:tcBorders>
              <w:top w:val="single" w:sz="4" w:space="0" w:color="B1B3AA"/>
              <w:left w:val="single" w:sz="4" w:space="0" w:color="B1B3AA"/>
              <w:bottom w:val="single" w:sz="4" w:space="0" w:color="B1B3AA"/>
              <w:right w:val="single" w:sz="4" w:space="0" w:color="B1B3AA"/>
            </w:tcBorders>
            <w:shd w:val="clear" w:color="auto" w:fill="002D62"/>
            <w:noWrap/>
            <w:tcMar>
              <w:top w:w="85" w:type="dxa"/>
              <w:left w:w="85" w:type="dxa"/>
              <w:bottom w:w="85" w:type="dxa"/>
              <w:right w:w="85" w:type="dxa"/>
            </w:tcMar>
          </w:tcPr>
          <w:p w14:paraId="76D6D7BF" w14:textId="77777777" w:rsidR="00CF1280" w:rsidRPr="00F10418" w:rsidRDefault="00CF1280" w:rsidP="00F10418">
            <w:pPr>
              <w:pStyle w:val="TableHeading"/>
            </w:pPr>
            <w:r w:rsidRPr="00F10418">
              <w:t>Region</w:t>
            </w:r>
          </w:p>
        </w:tc>
        <w:tc>
          <w:tcPr>
            <w:tcW w:w="2551" w:type="dxa"/>
            <w:tcBorders>
              <w:top w:val="single" w:sz="4" w:space="0" w:color="B1B3AA"/>
              <w:left w:val="single" w:sz="4" w:space="0" w:color="B1B3AA"/>
              <w:bottom w:val="single" w:sz="4" w:space="0" w:color="B1B3AA"/>
              <w:right w:val="single" w:sz="4" w:space="0" w:color="B1B3AA"/>
            </w:tcBorders>
            <w:shd w:val="clear" w:color="auto" w:fill="002D62"/>
            <w:noWrap/>
            <w:tcMar>
              <w:top w:w="85" w:type="dxa"/>
              <w:left w:w="85" w:type="dxa"/>
              <w:bottom w:w="85" w:type="dxa"/>
              <w:right w:w="85" w:type="dxa"/>
            </w:tcMar>
          </w:tcPr>
          <w:p w14:paraId="2B1FA53C" w14:textId="15D9C5F6" w:rsidR="00CF1280" w:rsidRPr="00F10418" w:rsidRDefault="002C0A7D" w:rsidP="00F10418">
            <w:pPr>
              <w:pStyle w:val="TableHeading"/>
            </w:pPr>
            <w:r w:rsidRPr="00F10418">
              <w:t>TWES participants</w:t>
            </w:r>
          </w:p>
        </w:tc>
        <w:tc>
          <w:tcPr>
            <w:tcW w:w="2410" w:type="dxa"/>
            <w:tcBorders>
              <w:top w:val="single" w:sz="4" w:space="0" w:color="B1B3AA"/>
              <w:left w:val="single" w:sz="4" w:space="0" w:color="B1B3AA"/>
              <w:bottom w:val="single" w:sz="4" w:space="0" w:color="B1B3AA"/>
              <w:right w:val="single" w:sz="4" w:space="0" w:color="B1B3AA"/>
            </w:tcBorders>
            <w:shd w:val="clear" w:color="auto" w:fill="002D62"/>
            <w:noWrap/>
            <w:tcMar>
              <w:top w:w="85" w:type="dxa"/>
              <w:left w:w="85" w:type="dxa"/>
              <w:bottom w:w="85" w:type="dxa"/>
              <w:right w:w="85" w:type="dxa"/>
            </w:tcMar>
          </w:tcPr>
          <w:p w14:paraId="7812C988" w14:textId="472EBEB0" w:rsidR="00CF1280" w:rsidRPr="00F10418" w:rsidRDefault="00CF1280" w:rsidP="00F10418">
            <w:pPr>
              <w:pStyle w:val="TableHeading"/>
            </w:pPr>
            <w:r w:rsidRPr="00F10418">
              <w:t>Completed ESAt</w:t>
            </w:r>
          </w:p>
        </w:tc>
        <w:tc>
          <w:tcPr>
            <w:tcW w:w="2835" w:type="dxa"/>
            <w:tcBorders>
              <w:top w:val="single" w:sz="4" w:space="0" w:color="B1B3AA"/>
              <w:left w:val="single" w:sz="4" w:space="0" w:color="B1B3AA"/>
              <w:bottom w:val="single" w:sz="4" w:space="0" w:color="B1B3AA"/>
              <w:right w:val="single" w:sz="4" w:space="0" w:color="B1B3AA"/>
            </w:tcBorders>
            <w:shd w:val="clear" w:color="auto" w:fill="002D62"/>
            <w:noWrap/>
            <w:tcMar>
              <w:top w:w="85" w:type="dxa"/>
              <w:left w:w="85" w:type="dxa"/>
              <w:bottom w:w="85" w:type="dxa"/>
              <w:right w:w="85" w:type="dxa"/>
            </w:tcMar>
          </w:tcPr>
          <w:p w14:paraId="03CA6557" w14:textId="261F51FC" w:rsidR="00CF1280" w:rsidRPr="00F10418" w:rsidRDefault="00CF1280" w:rsidP="00F10418">
            <w:pPr>
              <w:pStyle w:val="TableHeading"/>
            </w:pPr>
            <w:r w:rsidRPr="00F10418">
              <w:t>% participants with ESAt</w:t>
            </w:r>
          </w:p>
        </w:tc>
      </w:tr>
      <w:tr w:rsidR="00CF1280" w:rsidRPr="006B0D0D" w14:paraId="016D90BF" w14:textId="77777777" w:rsidTr="00F10418">
        <w:trPr>
          <w:trHeight w:val="284"/>
        </w:trPr>
        <w:tc>
          <w:tcPr>
            <w:tcW w:w="2099"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053D00F6" w14:textId="77777777" w:rsidR="00CF1280" w:rsidRPr="00F10418" w:rsidRDefault="00CF1280" w:rsidP="007F09E7">
            <w:pPr>
              <w:pStyle w:val="TableParagraph"/>
            </w:pPr>
            <w:r w:rsidRPr="00F10418">
              <w:t>Non-Remote</w:t>
            </w:r>
          </w:p>
        </w:tc>
        <w:tc>
          <w:tcPr>
            <w:tcW w:w="2551"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105A9CFC" w14:textId="77777777" w:rsidR="00CF1280" w:rsidRPr="00F10418" w:rsidRDefault="00CF1280" w:rsidP="007F09E7">
            <w:pPr>
              <w:pStyle w:val="TableParagraph"/>
            </w:pPr>
            <w:r w:rsidRPr="00F10418">
              <w:t>4,154</w:t>
            </w:r>
          </w:p>
        </w:tc>
        <w:tc>
          <w:tcPr>
            <w:tcW w:w="2410"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7F452B30" w14:textId="450D8785" w:rsidR="00CF1280" w:rsidRPr="00F10418" w:rsidRDefault="00CF1280" w:rsidP="007F09E7">
            <w:pPr>
              <w:pStyle w:val="TableParagraph"/>
            </w:pPr>
            <w:r w:rsidRPr="00F10418">
              <w:t>2,548</w:t>
            </w:r>
          </w:p>
        </w:tc>
        <w:tc>
          <w:tcPr>
            <w:tcW w:w="2835"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1B96C0C2" w14:textId="269E7DF2" w:rsidR="00CF1280" w:rsidRPr="00F10418" w:rsidRDefault="00CF1280" w:rsidP="007F09E7">
            <w:pPr>
              <w:pStyle w:val="TableParagraph"/>
            </w:pPr>
            <w:r w:rsidRPr="00F10418">
              <w:t>61%</w:t>
            </w:r>
          </w:p>
        </w:tc>
      </w:tr>
      <w:tr w:rsidR="00CF1280" w:rsidRPr="006B0D0D" w14:paraId="3F9313B2" w14:textId="77777777" w:rsidTr="00F10418">
        <w:trPr>
          <w:trHeight w:val="284"/>
        </w:trPr>
        <w:tc>
          <w:tcPr>
            <w:tcW w:w="2099"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6356A0B0" w14:textId="77777777" w:rsidR="00CF1280" w:rsidRPr="00F10418" w:rsidRDefault="00CF1280" w:rsidP="007F09E7">
            <w:pPr>
              <w:pStyle w:val="TableParagraph"/>
            </w:pPr>
            <w:r w:rsidRPr="00F10418">
              <w:t>Remote</w:t>
            </w:r>
          </w:p>
        </w:tc>
        <w:tc>
          <w:tcPr>
            <w:tcW w:w="2551"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0D5F6DB6" w14:textId="77777777" w:rsidR="00CF1280" w:rsidRPr="00F10418" w:rsidRDefault="00CF1280" w:rsidP="007F09E7">
            <w:pPr>
              <w:pStyle w:val="TableParagraph"/>
            </w:pPr>
            <w:r w:rsidRPr="00F10418">
              <w:t>348</w:t>
            </w:r>
          </w:p>
        </w:tc>
        <w:tc>
          <w:tcPr>
            <w:tcW w:w="2410"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2100A208" w14:textId="4328DDDB" w:rsidR="00CF1280" w:rsidRPr="00F10418" w:rsidRDefault="00CF1280" w:rsidP="007F09E7">
            <w:pPr>
              <w:pStyle w:val="TableParagraph"/>
            </w:pPr>
            <w:r w:rsidRPr="00F10418">
              <w:t>178</w:t>
            </w:r>
          </w:p>
        </w:tc>
        <w:tc>
          <w:tcPr>
            <w:tcW w:w="2835" w:type="dxa"/>
            <w:tcBorders>
              <w:top w:val="single" w:sz="4" w:space="0" w:color="B1B3AA"/>
              <w:left w:val="single" w:sz="4" w:space="0" w:color="B1B3AA"/>
              <w:bottom w:val="single" w:sz="4" w:space="0" w:color="B1B3AA"/>
              <w:right w:val="single" w:sz="4" w:space="0" w:color="B1B3AA"/>
            </w:tcBorders>
            <w:tcMar>
              <w:top w:w="85" w:type="dxa"/>
              <w:left w:w="85" w:type="dxa"/>
              <w:bottom w:w="85" w:type="dxa"/>
              <w:right w:w="85" w:type="dxa"/>
            </w:tcMar>
          </w:tcPr>
          <w:p w14:paraId="3054C840" w14:textId="58F8061C" w:rsidR="00CF1280" w:rsidRPr="00F10418" w:rsidRDefault="00CF1280" w:rsidP="007F09E7">
            <w:pPr>
              <w:pStyle w:val="TableParagraph"/>
            </w:pPr>
            <w:r w:rsidRPr="00F10418">
              <w:t>51%</w:t>
            </w:r>
          </w:p>
        </w:tc>
      </w:tr>
      <w:tr w:rsidR="00CF1280" w:rsidRPr="006B0D0D" w14:paraId="46D64D7F" w14:textId="77777777" w:rsidTr="00F10418">
        <w:trPr>
          <w:trHeight w:val="394"/>
        </w:trPr>
        <w:tc>
          <w:tcPr>
            <w:tcW w:w="2099" w:type="dxa"/>
            <w:tcBorders>
              <w:top w:val="single" w:sz="4" w:space="0" w:color="B1B3AA"/>
              <w:left w:val="single" w:sz="4" w:space="0" w:color="B1B3AA"/>
              <w:bottom w:val="single" w:sz="4" w:space="0" w:color="B1B3AA"/>
              <w:right w:val="single" w:sz="4" w:space="0" w:color="B1B3AA"/>
            </w:tcBorders>
            <w:shd w:val="clear" w:color="auto" w:fill="002D62"/>
            <w:tcMar>
              <w:top w:w="85" w:type="dxa"/>
              <w:left w:w="85" w:type="dxa"/>
              <w:bottom w:w="85" w:type="dxa"/>
              <w:right w:w="85" w:type="dxa"/>
            </w:tcMar>
          </w:tcPr>
          <w:p w14:paraId="08676258" w14:textId="77777777" w:rsidR="00CF1280" w:rsidRPr="00F10418" w:rsidRDefault="00CF1280" w:rsidP="007F09E7">
            <w:pPr>
              <w:pStyle w:val="TableParagraph"/>
            </w:pPr>
            <w:r w:rsidRPr="00F10418">
              <w:t>Total</w:t>
            </w:r>
          </w:p>
        </w:tc>
        <w:tc>
          <w:tcPr>
            <w:tcW w:w="2551" w:type="dxa"/>
            <w:tcBorders>
              <w:top w:val="single" w:sz="4" w:space="0" w:color="B1B3AA"/>
              <w:left w:val="single" w:sz="4" w:space="0" w:color="B1B3AA"/>
              <w:bottom w:val="single" w:sz="4" w:space="0" w:color="B1B3AA"/>
              <w:right w:val="single" w:sz="4" w:space="0" w:color="B1B3AA"/>
            </w:tcBorders>
            <w:shd w:val="clear" w:color="auto" w:fill="002D62"/>
            <w:tcMar>
              <w:top w:w="85" w:type="dxa"/>
              <w:left w:w="85" w:type="dxa"/>
              <w:bottom w:w="85" w:type="dxa"/>
              <w:right w:w="85" w:type="dxa"/>
            </w:tcMar>
          </w:tcPr>
          <w:p w14:paraId="013472CF" w14:textId="77777777" w:rsidR="00CF1280" w:rsidRPr="00F10418" w:rsidRDefault="00CF1280" w:rsidP="007F09E7">
            <w:pPr>
              <w:pStyle w:val="TableParagraph"/>
            </w:pPr>
            <w:r w:rsidRPr="00F10418">
              <w:t>4,502</w:t>
            </w:r>
          </w:p>
        </w:tc>
        <w:tc>
          <w:tcPr>
            <w:tcW w:w="2410" w:type="dxa"/>
            <w:tcBorders>
              <w:top w:val="single" w:sz="4" w:space="0" w:color="B1B3AA"/>
              <w:left w:val="single" w:sz="4" w:space="0" w:color="B1B3AA"/>
              <w:bottom w:val="single" w:sz="4" w:space="0" w:color="B1B3AA"/>
              <w:right w:val="single" w:sz="4" w:space="0" w:color="B1B3AA"/>
            </w:tcBorders>
            <w:shd w:val="clear" w:color="auto" w:fill="002D62"/>
            <w:tcMar>
              <w:top w:w="85" w:type="dxa"/>
              <w:left w:w="85" w:type="dxa"/>
              <w:bottom w:w="85" w:type="dxa"/>
              <w:right w:w="85" w:type="dxa"/>
            </w:tcMar>
          </w:tcPr>
          <w:p w14:paraId="54252273" w14:textId="0AF20321" w:rsidR="00CF1280" w:rsidRPr="00F10418" w:rsidRDefault="00CF1280" w:rsidP="007F09E7">
            <w:pPr>
              <w:pStyle w:val="TableParagraph"/>
            </w:pPr>
            <w:r w:rsidRPr="00F10418">
              <w:t>2,726</w:t>
            </w:r>
          </w:p>
        </w:tc>
        <w:tc>
          <w:tcPr>
            <w:tcW w:w="2835" w:type="dxa"/>
            <w:tcBorders>
              <w:top w:val="single" w:sz="4" w:space="0" w:color="B1B3AA"/>
              <w:left w:val="single" w:sz="4" w:space="0" w:color="B1B3AA"/>
              <w:bottom w:val="single" w:sz="4" w:space="0" w:color="B1B3AA"/>
              <w:right w:val="single" w:sz="4" w:space="0" w:color="B1B3AA"/>
            </w:tcBorders>
            <w:shd w:val="clear" w:color="auto" w:fill="002D62"/>
            <w:tcMar>
              <w:top w:w="85" w:type="dxa"/>
              <w:left w:w="85" w:type="dxa"/>
              <w:bottom w:w="85" w:type="dxa"/>
              <w:right w:w="85" w:type="dxa"/>
            </w:tcMar>
          </w:tcPr>
          <w:p w14:paraId="2FA778E9" w14:textId="6BB259EB" w:rsidR="00CF1280" w:rsidRPr="00F10418" w:rsidRDefault="00CF1280" w:rsidP="007F09E7">
            <w:pPr>
              <w:pStyle w:val="TableParagraph"/>
            </w:pPr>
            <w:r w:rsidRPr="00F10418">
              <w:t>61%</w:t>
            </w:r>
          </w:p>
        </w:tc>
      </w:tr>
    </w:tbl>
    <w:p w14:paraId="2701B43D" w14:textId="77777777" w:rsidR="00CF1280" w:rsidRDefault="00CF1280" w:rsidP="00305B4B">
      <w:pPr>
        <w:ind w:right="3"/>
      </w:pPr>
    </w:p>
    <w:p w14:paraId="3EF4828A" w14:textId="77777777" w:rsidR="00F10418" w:rsidRPr="00F10418" w:rsidRDefault="00CF1280" w:rsidP="00F10418">
      <w:pPr>
        <w:pStyle w:val="BodyText"/>
      </w:pPr>
      <w:r w:rsidRPr="00F10418">
        <w:t xml:space="preserve">QLD and ACT had the highest completion rates of ESAts. As noted above, TAS had the lowest completion rate of ESAts, followed by SA (see </w:t>
      </w:r>
      <w:r w:rsidRPr="00F10418">
        <w:rPr>
          <w:b/>
          <w:bCs/>
        </w:rPr>
        <w:fldChar w:fldCharType="begin"/>
      </w:r>
      <w:r w:rsidRPr="00F10418">
        <w:rPr>
          <w:b/>
          <w:bCs/>
        </w:rPr>
        <w:instrText xml:space="preserve"> REF _Ref71658807 \h  \* MERGEFORMAT </w:instrText>
      </w:r>
      <w:r w:rsidRPr="00F10418">
        <w:rPr>
          <w:b/>
          <w:bCs/>
        </w:rPr>
      </w:r>
      <w:r w:rsidRPr="00F10418">
        <w:rPr>
          <w:b/>
          <w:bCs/>
        </w:rPr>
        <w:fldChar w:fldCharType="separate"/>
      </w:r>
      <w:r w:rsidR="00E93A98" w:rsidRPr="00F10418">
        <w:rPr>
          <w:b/>
          <w:bCs/>
        </w:rPr>
        <w:t>Table 10</w:t>
      </w:r>
      <w:r w:rsidRPr="00F10418">
        <w:rPr>
          <w:b/>
          <w:bCs/>
        </w:rPr>
        <w:fldChar w:fldCharType="end"/>
      </w:r>
      <w:r w:rsidRPr="00F10418">
        <w:t>).</w:t>
      </w:r>
    </w:p>
    <w:p w14:paraId="2143EFBB" w14:textId="62696797" w:rsidR="00CF1280" w:rsidRPr="002E2F2F" w:rsidRDefault="00CF1280" w:rsidP="00F10418">
      <w:pPr>
        <w:pStyle w:val="Caption"/>
      </w:pPr>
      <w:bookmarkStart w:id="89" w:name="_Ref71658807"/>
      <w:r w:rsidRPr="002E2F2F">
        <w:t xml:space="preserve">Table </w:t>
      </w:r>
      <w:r w:rsidRPr="002E2F2F">
        <w:fldChar w:fldCharType="begin"/>
      </w:r>
      <w:r w:rsidRPr="002E2F2F">
        <w:instrText xml:space="preserve"> SEQ Table \* ARABIC </w:instrText>
      </w:r>
      <w:r w:rsidRPr="002E2F2F">
        <w:fldChar w:fldCharType="separate"/>
      </w:r>
      <w:r w:rsidR="00E93A98" w:rsidRPr="002E2F2F">
        <w:t>10</w:t>
      </w:r>
      <w:r w:rsidRPr="002E2F2F">
        <w:fldChar w:fldCharType="end"/>
      </w:r>
      <w:bookmarkEnd w:id="89"/>
      <w:r w:rsidRPr="002E2F2F">
        <w:t xml:space="preserve">: TWES </w:t>
      </w:r>
      <w:r w:rsidR="00DB7649" w:rsidRPr="002E2F2F">
        <w:t>participant</w:t>
      </w:r>
      <w:r w:rsidRPr="002E2F2F">
        <w:t>s with completed ESAt (</w:t>
      </w:r>
      <w:r w:rsidR="00B63B84" w:rsidRPr="002E2F2F">
        <w:t>states</w:t>
      </w:r>
      <w:r w:rsidRPr="002E2F2F">
        <w:t>/</w:t>
      </w:r>
      <w:r w:rsidR="00B63B84" w:rsidRPr="002E2F2F">
        <w:t>territories</w:t>
      </w:r>
      <w:r w:rsidRPr="002E2F2F">
        <w:t>)</w:t>
      </w:r>
    </w:p>
    <w:tbl>
      <w:tblPr>
        <w:tblW w:w="9890" w:type="dxa"/>
        <w:tblInd w:w="28" w:type="dxa"/>
        <w:tblBorders>
          <w:top w:val="single" w:sz="4" w:space="0" w:color="B1B3AA"/>
          <w:left w:val="single" w:sz="4" w:space="0" w:color="B1B3AA"/>
          <w:bottom w:val="single" w:sz="4" w:space="0" w:color="B1B3AA"/>
          <w:right w:val="single" w:sz="4" w:space="0" w:color="B1B3AA"/>
          <w:insideH w:val="single" w:sz="4" w:space="0" w:color="B1B3AA"/>
          <w:insideV w:val="single" w:sz="4" w:space="0" w:color="B1B3AA"/>
        </w:tblBorders>
        <w:tblLayout w:type="fixed"/>
        <w:tblCellMar>
          <w:left w:w="0" w:type="dxa"/>
          <w:right w:w="0" w:type="dxa"/>
        </w:tblCellMar>
        <w:tblLook w:val="0000" w:firstRow="0" w:lastRow="0" w:firstColumn="0" w:lastColumn="0" w:noHBand="0" w:noVBand="0"/>
        <w:tblCaption w:val="TWES participants with completed ESAt (states/territories)"/>
        <w:tblDescription w:val="A table of the number of participants with a competed ESAt by state and territory where QLD and ACT had the highest ESAt completion rates and TAS the lowest, followed by SA."/>
      </w:tblPr>
      <w:tblGrid>
        <w:gridCol w:w="2094"/>
        <w:gridCol w:w="2268"/>
        <w:gridCol w:w="2126"/>
        <w:gridCol w:w="3402"/>
      </w:tblGrid>
      <w:tr w:rsidR="00CF1280" w:rsidRPr="006B0D0D" w14:paraId="75483125" w14:textId="12DD5C37" w:rsidTr="000710CA">
        <w:trPr>
          <w:trHeight w:val="377"/>
        </w:trPr>
        <w:tc>
          <w:tcPr>
            <w:tcW w:w="2094" w:type="dxa"/>
            <w:shd w:val="clear" w:color="auto" w:fill="002D62"/>
            <w:tcMar>
              <w:top w:w="85" w:type="dxa"/>
              <w:left w:w="85" w:type="dxa"/>
              <w:bottom w:w="85" w:type="dxa"/>
              <w:right w:w="85" w:type="dxa"/>
            </w:tcMar>
          </w:tcPr>
          <w:p w14:paraId="4650AD74" w14:textId="4C59B59A" w:rsidR="00CF1280" w:rsidRPr="00F10418" w:rsidRDefault="00CF1280" w:rsidP="00F10418">
            <w:pPr>
              <w:pStyle w:val="TableHeading"/>
            </w:pPr>
            <w:r w:rsidRPr="00F10418">
              <w:t xml:space="preserve">State / </w:t>
            </w:r>
            <w:r w:rsidR="00467A51" w:rsidRPr="00F10418">
              <w:t>territory</w:t>
            </w:r>
          </w:p>
        </w:tc>
        <w:tc>
          <w:tcPr>
            <w:tcW w:w="2268" w:type="dxa"/>
            <w:shd w:val="clear" w:color="auto" w:fill="002D62"/>
            <w:tcMar>
              <w:top w:w="85" w:type="dxa"/>
              <w:left w:w="85" w:type="dxa"/>
              <w:bottom w:w="85" w:type="dxa"/>
              <w:right w:w="85" w:type="dxa"/>
            </w:tcMar>
          </w:tcPr>
          <w:p w14:paraId="201B10C9" w14:textId="7A699C34" w:rsidR="00CF1280" w:rsidRPr="00F10418" w:rsidRDefault="002C0A7D" w:rsidP="00F10418">
            <w:pPr>
              <w:pStyle w:val="TableHeading"/>
            </w:pPr>
            <w:r w:rsidRPr="00F10418">
              <w:t>TWES participants</w:t>
            </w:r>
          </w:p>
        </w:tc>
        <w:tc>
          <w:tcPr>
            <w:tcW w:w="2126" w:type="dxa"/>
            <w:shd w:val="clear" w:color="auto" w:fill="002D62"/>
            <w:tcMar>
              <w:top w:w="85" w:type="dxa"/>
              <w:left w:w="85" w:type="dxa"/>
              <w:bottom w:w="85" w:type="dxa"/>
              <w:right w:w="85" w:type="dxa"/>
            </w:tcMar>
          </w:tcPr>
          <w:p w14:paraId="495FBA19" w14:textId="247AE8BE" w:rsidR="00CF1280" w:rsidRPr="00F10418" w:rsidRDefault="00CF1280" w:rsidP="00F10418">
            <w:pPr>
              <w:pStyle w:val="TableHeading"/>
            </w:pPr>
            <w:r w:rsidRPr="00F10418">
              <w:t>Completed ESAt</w:t>
            </w:r>
          </w:p>
        </w:tc>
        <w:tc>
          <w:tcPr>
            <w:tcW w:w="3402" w:type="dxa"/>
            <w:shd w:val="clear" w:color="auto" w:fill="002D62"/>
            <w:tcMar>
              <w:top w:w="85" w:type="dxa"/>
              <w:left w:w="85" w:type="dxa"/>
              <w:bottom w:w="85" w:type="dxa"/>
              <w:right w:w="85" w:type="dxa"/>
            </w:tcMar>
          </w:tcPr>
          <w:p w14:paraId="78732B11" w14:textId="1A3F8BA8" w:rsidR="00CF1280" w:rsidRPr="00F10418" w:rsidRDefault="00CF1280" w:rsidP="00F10418">
            <w:pPr>
              <w:pStyle w:val="TableHeading"/>
            </w:pPr>
            <w:r w:rsidRPr="00F10418">
              <w:t>% participants with ESAt</w:t>
            </w:r>
          </w:p>
        </w:tc>
      </w:tr>
      <w:tr w:rsidR="00CF1280" w:rsidRPr="006B0D0D" w14:paraId="464A33B2" w14:textId="593A023C" w:rsidTr="000710CA">
        <w:trPr>
          <w:trHeight w:hRule="exact" w:val="278"/>
        </w:trPr>
        <w:tc>
          <w:tcPr>
            <w:tcW w:w="2094" w:type="dxa"/>
            <w:tcMar>
              <w:top w:w="85" w:type="dxa"/>
              <w:left w:w="85" w:type="dxa"/>
              <w:bottom w:w="85" w:type="dxa"/>
              <w:right w:w="85" w:type="dxa"/>
            </w:tcMar>
          </w:tcPr>
          <w:p w14:paraId="6D924FF3" w14:textId="6D0B50C1" w:rsidR="00CF1280" w:rsidRPr="00F10418" w:rsidRDefault="00CF1280" w:rsidP="007F09E7">
            <w:pPr>
              <w:pStyle w:val="TableParagraph"/>
            </w:pPr>
            <w:r w:rsidRPr="00F10418">
              <w:t>ACT</w:t>
            </w:r>
          </w:p>
        </w:tc>
        <w:tc>
          <w:tcPr>
            <w:tcW w:w="2268" w:type="dxa"/>
            <w:tcMar>
              <w:top w:w="85" w:type="dxa"/>
              <w:left w:w="85" w:type="dxa"/>
              <w:bottom w:w="85" w:type="dxa"/>
              <w:right w:w="85" w:type="dxa"/>
            </w:tcMar>
          </w:tcPr>
          <w:p w14:paraId="211212B1" w14:textId="56179198" w:rsidR="00CF1280" w:rsidRPr="00F10418" w:rsidRDefault="00CF1280" w:rsidP="007F09E7">
            <w:pPr>
              <w:pStyle w:val="TableParagraph"/>
            </w:pPr>
            <w:r w:rsidRPr="00F10418">
              <w:t>44</w:t>
            </w:r>
          </w:p>
        </w:tc>
        <w:tc>
          <w:tcPr>
            <w:tcW w:w="2126" w:type="dxa"/>
            <w:tcMar>
              <w:top w:w="85" w:type="dxa"/>
              <w:left w:w="85" w:type="dxa"/>
              <w:bottom w:w="85" w:type="dxa"/>
              <w:right w:w="85" w:type="dxa"/>
            </w:tcMar>
          </w:tcPr>
          <w:p w14:paraId="4D63DC0E" w14:textId="7003F524" w:rsidR="00CF1280" w:rsidRPr="00F10418" w:rsidRDefault="00CF1280" w:rsidP="007F09E7">
            <w:pPr>
              <w:pStyle w:val="TableParagraph"/>
            </w:pPr>
            <w:r w:rsidRPr="00F10418">
              <w:t>30</w:t>
            </w:r>
          </w:p>
        </w:tc>
        <w:tc>
          <w:tcPr>
            <w:tcW w:w="3402" w:type="dxa"/>
            <w:tcMar>
              <w:top w:w="85" w:type="dxa"/>
              <w:left w:w="85" w:type="dxa"/>
              <w:bottom w:w="85" w:type="dxa"/>
              <w:right w:w="85" w:type="dxa"/>
            </w:tcMar>
          </w:tcPr>
          <w:p w14:paraId="0AFDD111" w14:textId="56140614" w:rsidR="00CF1280" w:rsidRPr="00F10418" w:rsidRDefault="00CF1280" w:rsidP="007F09E7">
            <w:pPr>
              <w:pStyle w:val="TableParagraph"/>
            </w:pPr>
            <w:r w:rsidRPr="00F10418">
              <w:t>68%</w:t>
            </w:r>
          </w:p>
        </w:tc>
      </w:tr>
      <w:tr w:rsidR="00CF1280" w:rsidRPr="006B0D0D" w14:paraId="3EE080D1" w14:textId="3E48C9D4" w:rsidTr="000710CA">
        <w:trPr>
          <w:trHeight w:hRule="exact" w:val="278"/>
        </w:trPr>
        <w:tc>
          <w:tcPr>
            <w:tcW w:w="2094" w:type="dxa"/>
            <w:tcMar>
              <w:top w:w="85" w:type="dxa"/>
              <w:left w:w="85" w:type="dxa"/>
              <w:bottom w:w="85" w:type="dxa"/>
              <w:right w:w="85" w:type="dxa"/>
            </w:tcMar>
          </w:tcPr>
          <w:p w14:paraId="27AE082F" w14:textId="0FE72D2F" w:rsidR="00CF1280" w:rsidRPr="00F10418" w:rsidRDefault="00CF1280" w:rsidP="007F09E7">
            <w:pPr>
              <w:pStyle w:val="TableParagraph"/>
            </w:pPr>
            <w:r w:rsidRPr="00F10418">
              <w:t>NSW</w:t>
            </w:r>
          </w:p>
        </w:tc>
        <w:tc>
          <w:tcPr>
            <w:tcW w:w="2268" w:type="dxa"/>
            <w:tcMar>
              <w:top w:w="85" w:type="dxa"/>
              <w:left w:w="85" w:type="dxa"/>
              <w:bottom w:w="85" w:type="dxa"/>
              <w:right w:w="85" w:type="dxa"/>
            </w:tcMar>
          </w:tcPr>
          <w:p w14:paraId="5A7CC8B7" w14:textId="1B9949C2" w:rsidR="00CF1280" w:rsidRPr="00F10418" w:rsidRDefault="00CF1280" w:rsidP="007F09E7">
            <w:pPr>
              <w:pStyle w:val="TableParagraph"/>
            </w:pPr>
            <w:r w:rsidRPr="00F10418">
              <w:t>1,336</w:t>
            </w:r>
          </w:p>
        </w:tc>
        <w:tc>
          <w:tcPr>
            <w:tcW w:w="2126" w:type="dxa"/>
            <w:tcMar>
              <w:top w:w="85" w:type="dxa"/>
              <w:left w:w="85" w:type="dxa"/>
              <w:bottom w:w="85" w:type="dxa"/>
              <w:right w:w="85" w:type="dxa"/>
            </w:tcMar>
          </w:tcPr>
          <w:p w14:paraId="002D05ED" w14:textId="7D05DFD7" w:rsidR="00CF1280" w:rsidRPr="00F10418" w:rsidRDefault="00CF1280" w:rsidP="007F09E7">
            <w:pPr>
              <w:pStyle w:val="TableParagraph"/>
            </w:pPr>
            <w:r w:rsidRPr="00F10418">
              <w:t>666</w:t>
            </w:r>
          </w:p>
        </w:tc>
        <w:tc>
          <w:tcPr>
            <w:tcW w:w="3402" w:type="dxa"/>
            <w:tcMar>
              <w:top w:w="85" w:type="dxa"/>
              <w:left w:w="85" w:type="dxa"/>
              <w:bottom w:w="85" w:type="dxa"/>
              <w:right w:w="85" w:type="dxa"/>
            </w:tcMar>
          </w:tcPr>
          <w:p w14:paraId="5A4908B9" w14:textId="0F54ABA0" w:rsidR="00CF1280" w:rsidRPr="00F10418" w:rsidRDefault="00CF1280" w:rsidP="007F09E7">
            <w:pPr>
              <w:pStyle w:val="TableParagraph"/>
            </w:pPr>
            <w:r w:rsidRPr="00F10418">
              <w:t>50%</w:t>
            </w:r>
          </w:p>
        </w:tc>
      </w:tr>
      <w:tr w:rsidR="00CF1280" w:rsidRPr="006B0D0D" w14:paraId="5B1655C1" w14:textId="2A7F1E48" w:rsidTr="000710CA">
        <w:trPr>
          <w:trHeight w:hRule="exact" w:val="278"/>
        </w:trPr>
        <w:tc>
          <w:tcPr>
            <w:tcW w:w="2094" w:type="dxa"/>
            <w:tcMar>
              <w:top w:w="85" w:type="dxa"/>
              <w:left w:w="85" w:type="dxa"/>
              <w:bottom w:w="85" w:type="dxa"/>
              <w:right w:w="85" w:type="dxa"/>
            </w:tcMar>
          </w:tcPr>
          <w:p w14:paraId="45BAB176" w14:textId="34C395D6" w:rsidR="00CF1280" w:rsidRPr="00F10418" w:rsidRDefault="00CF1280" w:rsidP="007F09E7">
            <w:pPr>
              <w:pStyle w:val="TableParagraph"/>
            </w:pPr>
            <w:r w:rsidRPr="00F10418">
              <w:t>NT</w:t>
            </w:r>
          </w:p>
        </w:tc>
        <w:tc>
          <w:tcPr>
            <w:tcW w:w="2268" w:type="dxa"/>
            <w:tcMar>
              <w:top w:w="85" w:type="dxa"/>
              <w:left w:w="85" w:type="dxa"/>
              <w:bottom w:w="85" w:type="dxa"/>
              <w:right w:w="85" w:type="dxa"/>
            </w:tcMar>
          </w:tcPr>
          <w:p w14:paraId="2636C60C" w14:textId="1F162DC6" w:rsidR="00CF1280" w:rsidRPr="00F10418" w:rsidRDefault="00CF1280" w:rsidP="007F09E7">
            <w:pPr>
              <w:pStyle w:val="TableParagraph"/>
            </w:pPr>
            <w:r w:rsidRPr="00F10418">
              <w:t>286</w:t>
            </w:r>
          </w:p>
        </w:tc>
        <w:tc>
          <w:tcPr>
            <w:tcW w:w="2126" w:type="dxa"/>
            <w:tcMar>
              <w:top w:w="85" w:type="dxa"/>
              <w:left w:w="85" w:type="dxa"/>
              <w:bottom w:w="85" w:type="dxa"/>
              <w:right w:w="85" w:type="dxa"/>
            </w:tcMar>
          </w:tcPr>
          <w:p w14:paraId="1E588D75" w14:textId="212E5D92" w:rsidR="00CF1280" w:rsidRPr="00F10418" w:rsidRDefault="00CF1280" w:rsidP="007F09E7">
            <w:pPr>
              <w:pStyle w:val="TableParagraph"/>
            </w:pPr>
            <w:r w:rsidRPr="00F10418">
              <w:t>175</w:t>
            </w:r>
          </w:p>
        </w:tc>
        <w:tc>
          <w:tcPr>
            <w:tcW w:w="3402" w:type="dxa"/>
            <w:tcMar>
              <w:top w:w="85" w:type="dxa"/>
              <w:left w:w="85" w:type="dxa"/>
              <w:bottom w:w="85" w:type="dxa"/>
              <w:right w:w="85" w:type="dxa"/>
            </w:tcMar>
          </w:tcPr>
          <w:p w14:paraId="463785D7" w14:textId="48922AC2" w:rsidR="00CF1280" w:rsidRPr="00F10418" w:rsidRDefault="00CF1280" w:rsidP="007F09E7">
            <w:pPr>
              <w:pStyle w:val="TableParagraph"/>
            </w:pPr>
            <w:r w:rsidRPr="00F10418">
              <w:t>61%</w:t>
            </w:r>
          </w:p>
        </w:tc>
      </w:tr>
      <w:tr w:rsidR="00CF1280" w:rsidRPr="006B0D0D" w14:paraId="115FBFCF" w14:textId="3B361C90" w:rsidTr="000710CA">
        <w:trPr>
          <w:trHeight w:hRule="exact" w:val="278"/>
        </w:trPr>
        <w:tc>
          <w:tcPr>
            <w:tcW w:w="2094" w:type="dxa"/>
            <w:tcMar>
              <w:top w:w="85" w:type="dxa"/>
              <w:left w:w="85" w:type="dxa"/>
              <w:bottom w:w="85" w:type="dxa"/>
              <w:right w:w="85" w:type="dxa"/>
            </w:tcMar>
          </w:tcPr>
          <w:p w14:paraId="02E4C65A" w14:textId="0D7432DF" w:rsidR="00CF1280" w:rsidRPr="00F10418" w:rsidRDefault="00CF1280" w:rsidP="007F09E7">
            <w:pPr>
              <w:pStyle w:val="TableParagraph"/>
            </w:pPr>
            <w:r w:rsidRPr="00F10418">
              <w:t>QLD</w:t>
            </w:r>
          </w:p>
        </w:tc>
        <w:tc>
          <w:tcPr>
            <w:tcW w:w="2268" w:type="dxa"/>
            <w:tcMar>
              <w:top w:w="85" w:type="dxa"/>
              <w:left w:w="85" w:type="dxa"/>
              <w:bottom w:w="85" w:type="dxa"/>
              <w:right w:w="85" w:type="dxa"/>
            </w:tcMar>
          </w:tcPr>
          <w:p w14:paraId="1D9A1A21" w14:textId="7DF7ACDC" w:rsidR="00CF1280" w:rsidRPr="00F10418" w:rsidRDefault="00CF1280" w:rsidP="007F09E7">
            <w:pPr>
              <w:pStyle w:val="TableParagraph"/>
            </w:pPr>
            <w:r w:rsidRPr="00F10418">
              <w:t>1,429</w:t>
            </w:r>
          </w:p>
        </w:tc>
        <w:tc>
          <w:tcPr>
            <w:tcW w:w="2126" w:type="dxa"/>
            <w:tcMar>
              <w:top w:w="85" w:type="dxa"/>
              <w:left w:w="85" w:type="dxa"/>
              <w:bottom w:w="85" w:type="dxa"/>
              <w:right w:w="85" w:type="dxa"/>
            </w:tcMar>
          </w:tcPr>
          <w:p w14:paraId="3BE916A5" w14:textId="609CBD1A" w:rsidR="00CF1280" w:rsidRPr="00F10418" w:rsidRDefault="00CF1280" w:rsidP="007F09E7">
            <w:pPr>
              <w:pStyle w:val="TableParagraph"/>
            </w:pPr>
            <w:r w:rsidRPr="00F10418">
              <w:t>987</w:t>
            </w:r>
          </w:p>
        </w:tc>
        <w:tc>
          <w:tcPr>
            <w:tcW w:w="3402" w:type="dxa"/>
            <w:tcMar>
              <w:top w:w="85" w:type="dxa"/>
              <w:left w:w="85" w:type="dxa"/>
              <w:bottom w:w="85" w:type="dxa"/>
              <w:right w:w="85" w:type="dxa"/>
            </w:tcMar>
          </w:tcPr>
          <w:p w14:paraId="78167A53" w14:textId="029C24A2" w:rsidR="00CF1280" w:rsidRPr="00F10418" w:rsidRDefault="00CF1280" w:rsidP="007F09E7">
            <w:pPr>
              <w:pStyle w:val="TableParagraph"/>
            </w:pPr>
            <w:r w:rsidRPr="00F10418">
              <w:t>69%</w:t>
            </w:r>
          </w:p>
        </w:tc>
      </w:tr>
      <w:tr w:rsidR="00CF1280" w:rsidRPr="006B0D0D" w14:paraId="63A3ABF3" w14:textId="618F5569" w:rsidTr="000710CA">
        <w:trPr>
          <w:trHeight w:hRule="exact" w:val="278"/>
        </w:trPr>
        <w:tc>
          <w:tcPr>
            <w:tcW w:w="2094" w:type="dxa"/>
            <w:tcMar>
              <w:top w:w="85" w:type="dxa"/>
              <w:left w:w="85" w:type="dxa"/>
              <w:bottom w:w="85" w:type="dxa"/>
              <w:right w:w="85" w:type="dxa"/>
            </w:tcMar>
          </w:tcPr>
          <w:p w14:paraId="214E3334" w14:textId="68C87F0E" w:rsidR="00CF1280" w:rsidRPr="00F10418" w:rsidRDefault="00CF1280" w:rsidP="007F09E7">
            <w:pPr>
              <w:pStyle w:val="TableParagraph"/>
            </w:pPr>
            <w:r w:rsidRPr="00F10418">
              <w:t>SA</w:t>
            </w:r>
          </w:p>
        </w:tc>
        <w:tc>
          <w:tcPr>
            <w:tcW w:w="2268" w:type="dxa"/>
            <w:tcMar>
              <w:top w:w="85" w:type="dxa"/>
              <w:left w:w="85" w:type="dxa"/>
              <w:bottom w:w="85" w:type="dxa"/>
              <w:right w:w="85" w:type="dxa"/>
            </w:tcMar>
          </w:tcPr>
          <w:p w14:paraId="500F24E9" w14:textId="358AA1D2" w:rsidR="00CF1280" w:rsidRPr="00F10418" w:rsidRDefault="00CF1280" w:rsidP="007F09E7">
            <w:pPr>
              <w:pStyle w:val="TableParagraph"/>
            </w:pPr>
            <w:r w:rsidRPr="00F10418">
              <w:t>120</w:t>
            </w:r>
          </w:p>
        </w:tc>
        <w:tc>
          <w:tcPr>
            <w:tcW w:w="2126" w:type="dxa"/>
            <w:tcMar>
              <w:top w:w="85" w:type="dxa"/>
              <w:left w:w="85" w:type="dxa"/>
              <w:bottom w:w="85" w:type="dxa"/>
              <w:right w:w="85" w:type="dxa"/>
            </w:tcMar>
          </w:tcPr>
          <w:p w14:paraId="7007E25F" w14:textId="0DAB9215" w:rsidR="00CF1280" w:rsidRPr="00F10418" w:rsidRDefault="00CF1280" w:rsidP="007F09E7">
            <w:pPr>
              <w:pStyle w:val="TableParagraph"/>
            </w:pPr>
            <w:r w:rsidRPr="00F10418">
              <w:t>58</w:t>
            </w:r>
          </w:p>
        </w:tc>
        <w:tc>
          <w:tcPr>
            <w:tcW w:w="3402" w:type="dxa"/>
            <w:tcMar>
              <w:top w:w="85" w:type="dxa"/>
              <w:left w:w="85" w:type="dxa"/>
              <w:bottom w:w="85" w:type="dxa"/>
              <w:right w:w="85" w:type="dxa"/>
            </w:tcMar>
          </w:tcPr>
          <w:p w14:paraId="79844DA5" w14:textId="1D29A443" w:rsidR="00CF1280" w:rsidRPr="00F10418" w:rsidRDefault="00CF1280" w:rsidP="007F09E7">
            <w:pPr>
              <w:pStyle w:val="TableParagraph"/>
            </w:pPr>
            <w:r w:rsidRPr="00F10418">
              <w:t>48%</w:t>
            </w:r>
          </w:p>
        </w:tc>
      </w:tr>
      <w:tr w:rsidR="00CF1280" w:rsidRPr="006B0D0D" w14:paraId="5BE89A7B" w14:textId="0C9EB68D" w:rsidTr="000710CA">
        <w:trPr>
          <w:trHeight w:hRule="exact" w:val="276"/>
        </w:trPr>
        <w:tc>
          <w:tcPr>
            <w:tcW w:w="2094" w:type="dxa"/>
            <w:tcMar>
              <w:top w:w="85" w:type="dxa"/>
              <w:left w:w="85" w:type="dxa"/>
              <w:bottom w:w="85" w:type="dxa"/>
              <w:right w:w="85" w:type="dxa"/>
            </w:tcMar>
          </w:tcPr>
          <w:p w14:paraId="1908709B" w14:textId="0BE5F1BA" w:rsidR="00CF1280" w:rsidRPr="00F10418" w:rsidRDefault="00CF1280" w:rsidP="007F09E7">
            <w:pPr>
              <w:pStyle w:val="TableParagraph"/>
            </w:pPr>
            <w:r w:rsidRPr="00F10418">
              <w:t>TAS</w:t>
            </w:r>
          </w:p>
        </w:tc>
        <w:tc>
          <w:tcPr>
            <w:tcW w:w="2268" w:type="dxa"/>
            <w:tcMar>
              <w:top w:w="85" w:type="dxa"/>
              <w:left w:w="85" w:type="dxa"/>
              <w:bottom w:w="85" w:type="dxa"/>
              <w:right w:w="85" w:type="dxa"/>
            </w:tcMar>
          </w:tcPr>
          <w:p w14:paraId="73D4B04A" w14:textId="69099309" w:rsidR="00CF1280" w:rsidRPr="00F10418" w:rsidRDefault="00CF1280" w:rsidP="007F09E7">
            <w:pPr>
              <w:pStyle w:val="TableParagraph"/>
            </w:pPr>
            <w:r w:rsidRPr="00F10418">
              <w:t>13</w:t>
            </w:r>
          </w:p>
        </w:tc>
        <w:tc>
          <w:tcPr>
            <w:tcW w:w="2126" w:type="dxa"/>
            <w:tcMar>
              <w:top w:w="85" w:type="dxa"/>
              <w:left w:w="85" w:type="dxa"/>
              <w:bottom w:w="85" w:type="dxa"/>
              <w:right w:w="85" w:type="dxa"/>
            </w:tcMar>
          </w:tcPr>
          <w:p w14:paraId="417BF9C0" w14:textId="46C4DD12" w:rsidR="00CF1280" w:rsidRPr="00F10418" w:rsidRDefault="00A0285A" w:rsidP="007F09E7">
            <w:pPr>
              <w:pStyle w:val="TableParagraph"/>
            </w:pPr>
            <w:r w:rsidRPr="00F10418">
              <w:t>Not provided</w:t>
            </w:r>
          </w:p>
        </w:tc>
        <w:tc>
          <w:tcPr>
            <w:tcW w:w="3402" w:type="dxa"/>
            <w:tcMar>
              <w:top w:w="85" w:type="dxa"/>
              <w:left w:w="85" w:type="dxa"/>
              <w:bottom w:w="85" w:type="dxa"/>
              <w:right w:w="85" w:type="dxa"/>
            </w:tcMar>
          </w:tcPr>
          <w:p w14:paraId="4C28FFC2" w14:textId="0849A72A" w:rsidR="00CF1280" w:rsidRPr="00F10418" w:rsidRDefault="00CF1280" w:rsidP="007F09E7">
            <w:pPr>
              <w:pStyle w:val="TableParagraph"/>
            </w:pPr>
            <w:r w:rsidRPr="00F10418">
              <w:t>23%</w:t>
            </w:r>
          </w:p>
        </w:tc>
      </w:tr>
      <w:tr w:rsidR="00CF1280" w:rsidRPr="006B0D0D" w14:paraId="5A7B100D" w14:textId="01861983" w:rsidTr="000710CA">
        <w:trPr>
          <w:trHeight w:hRule="exact" w:val="278"/>
        </w:trPr>
        <w:tc>
          <w:tcPr>
            <w:tcW w:w="2094" w:type="dxa"/>
            <w:tcMar>
              <w:top w:w="85" w:type="dxa"/>
              <w:left w:w="85" w:type="dxa"/>
              <w:bottom w:w="85" w:type="dxa"/>
              <w:right w:w="85" w:type="dxa"/>
            </w:tcMar>
          </w:tcPr>
          <w:p w14:paraId="057B34D5" w14:textId="5A0458C9" w:rsidR="00CF1280" w:rsidRPr="00F10418" w:rsidRDefault="00CF1280" w:rsidP="007F09E7">
            <w:pPr>
              <w:pStyle w:val="TableParagraph"/>
            </w:pPr>
            <w:r w:rsidRPr="00F10418">
              <w:t>VIC</w:t>
            </w:r>
          </w:p>
        </w:tc>
        <w:tc>
          <w:tcPr>
            <w:tcW w:w="2268" w:type="dxa"/>
            <w:tcMar>
              <w:top w:w="85" w:type="dxa"/>
              <w:left w:w="85" w:type="dxa"/>
              <w:bottom w:w="85" w:type="dxa"/>
              <w:right w:w="85" w:type="dxa"/>
            </w:tcMar>
          </w:tcPr>
          <w:p w14:paraId="62A6822E" w14:textId="67176147" w:rsidR="00CF1280" w:rsidRPr="00F10418" w:rsidRDefault="00CF1280" w:rsidP="007F09E7">
            <w:pPr>
              <w:pStyle w:val="TableParagraph"/>
            </w:pPr>
            <w:r w:rsidRPr="00F10418">
              <w:t>179</w:t>
            </w:r>
          </w:p>
        </w:tc>
        <w:tc>
          <w:tcPr>
            <w:tcW w:w="2126" w:type="dxa"/>
            <w:tcMar>
              <w:top w:w="85" w:type="dxa"/>
              <w:left w:w="85" w:type="dxa"/>
              <w:bottom w:w="85" w:type="dxa"/>
              <w:right w:w="85" w:type="dxa"/>
            </w:tcMar>
          </w:tcPr>
          <w:p w14:paraId="28DCFE65" w14:textId="06C875C3" w:rsidR="00CF1280" w:rsidRPr="00F10418" w:rsidRDefault="00CF1280" w:rsidP="007F09E7">
            <w:pPr>
              <w:pStyle w:val="TableParagraph"/>
            </w:pPr>
            <w:r w:rsidRPr="00F10418">
              <w:t>102</w:t>
            </w:r>
          </w:p>
        </w:tc>
        <w:tc>
          <w:tcPr>
            <w:tcW w:w="3402" w:type="dxa"/>
            <w:tcMar>
              <w:top w:w="85" w:type="dxa"/>
              <w:left w:w="85" w:type="dxa"/>
              <w:bottom w:w="85" w:type="dxa"/>
              <w:right w:w="85" w:type="dxa"/>
            </w:tcMar>
          </w:tcPr>
          <w:p w14:paraId="411840CF" w14:textId="500C437E" w:rsidR="00CF1280" w:rsidRPr="00F10418" w:rsidRDefault="00CF1280" w:rsidP="007F09E7">
            <w:pPr>
              <w:pStyle w:val="TableParagraph"/>
            </w:pPr>
            <w:r w:rsidRPr="00F10418">
              <w:t>57%</w:t>
            </w:r>
          </w:p>
        </w:tc>
      </w:tr>
      <w:tr w:rsidR="00CF1280" w:rsidRPr="006B0D0D" w14:paraId="1F0AC3FA" w14:textId="790479B4" w:rsidTr="000710CA">
        <w:trPr>
          <w:trHeight w:hRule="exact" w:val="279"/>
        </w:trPr>
        <w:tc>
          <w:tcPr>
            <w:tcW w:w="2094" w:type="dxa"/>
            <w:tcMar>
              <w:top w:w="85" w:type="dxa"/>
              <w:left w:w="85" w:type="dxa"/>
              <w:bottom w:w="85" w:type="dxa"/>
              <w:right w:w="85" w:type="dxa"/>
            </w:tcMar>
          </w:tcPr>
          <w:p w14:paraId="3E23AE2C" w14:textId="19482117" w:rsidR="00CF1280" w:rsidRPr="00F10418" w:rsidRDefault="00CF1280" w:rsidP="007F09E7">
            <w:pPr>
              <w:pStyle w:val="TableParagraph"/>
            </w:pPr>
            <w:r w:rsidRPr="00F10418">
              <w:t>WA</w:t>
            </w:r>
          </w:p>
        </w:tc>
        <w:tc>
          <w:tcPr>
            <w:tcW w:w="2268" w:type="dxa"/>
            <w:tcMar>
              <w:top w:w="85" w:type="dxa"/>
              <w:left w:w="85" w:type="dxa"/>
              <w:bottom w:w="85" w:type="dxa"/>
              <w:right w:w="85" w:type="dxa"/>
            </w:tcMar>
          </w:tcPr>
          <w:p w14:paraId="79DD9397" w14:textId="0DED4DF9" w:rsidR="00CF1280" w:rsidRPr="00F10418" w:rsidRDefault="00CF1280" w:rsidP="007F09E7">
            <w:pPr>
              <w:pStyle w:val="TableParagraph"/>
            </w:pPr>
            <w:r w:rsidRPr="00F10418">
              <w:t>1,095</w:t>
            </w:r>
          </w:p>
        </w:tc>
        <w:tc>
          <w:tcPr>
            <w:tcW w:w="2126" w:type="dxa"/>
            <w:tcMar>
              <w:top w:w="85" w:type="dxa"/>
              <w:left w:w="85" w:type="dxa"/>
              <w:bottom w:w="85" w:type="dxa"/>
              <w:right w:w="85" w:type="dxa"/>
            </w:tcMar>
          </w:tcPr>
          <w:p w14:paraId="4473FE3E" w14:textId="7E56DEB7" w:rsidR="00CF1280" w:rsidRPr="00F10418" w:rsidRDefault="00CF1280" w:rsidP="007F09E7">
            <w:pPr>
              <w:pStyle w:val="TableParagraph"/>
            </w:pPr>
            <w:r w:rsidRPr="00F10418">
              <w:t>705</w:t>
            </w:r>
          </w:p>
        </w:tc>
        <w:tc>
          <w:tcPr>
            <w:tcW w:w="3402" w:type="dxa"/>
            <w:tcMar>
              <w:top w:w="85" w:type="dxa"/>
              <w:left w:w="85" w:type="dxa"/>
              <w:bottom w:w="85" w:type="dxa"/>
              <w:right w:w="85" w:type="dxa"/>
            </w:tcMar>
          </w:tcPr>
          <w:p w14:paraId="30ED6A10" w14:textId="6E4C1D14" w:rsidR="00CF1280" w:rsidRPr="00F10418" w:rsidRDefault="00CF1280" w:rsidP="007F09E7">
            <w:pPr>
              <w:pStyle w:val="TableParagraph"/>
            </w:pPr>
            <w:r w:rsidRPr="00F10418">
              <w:t>64%</w:t>
            </w:r>
          </w:p>
        </w:tc>
      </w:tr>
      <w:tr w:rsidR="00CF1280" w:rsidRPr="006B0D0D" w14:paraId="4B6BFAB6" w14:textId="79BDAE37" w:rsidTr="000710CA">
        <w:trPr>
          <w:trHeight w:hRule="exact" w:val="290"/>
        </w:trPr>
        <w:tc>
          <w:tcPr>
            <w:tcW w:w="2094" w:type="dxa"/>
            <w:shd w:val="clear" w:color="auto" w:fill="002D62"/>
            <w:tcMar>
              <w:top w:w="85" w:type="dxa"/>
              <w:left w:w="85" w:type="dxa"/>
              <w:bottom w:w="85" w:type="dxa"/>
              <w:right w:w="85" w:type="dxa"/>
            </w:tcMar>
          </w:tcPr>
          <w:p w14:paraId="7B0D1154" w14:textId="00828E74" w:rsidR="00CF1280" w:rsidRPr="000710CA" w:rsidRDefault="00CF1280" w:rsidP="007F09E7">
            <w:pPr>
              <w:pStyle w:val="TableParagraph"/>
            </w:pPr>
            <w:r w:rsidRPr="000710CA">
              <w:t>Total</w:t>
            </w:r>
          </w:p>
        </w:tc>
        <w:tc>
          <w:tcPr>
            <w:tcW w:w="2268" w:type="dxa"/>
            <w:shd w:val="clear" w:color="auto" w:fill="002D62"/>
            <w:tcMar>
              <w:top w:w="85" w:type="dxa"/>
              <w:left w:w="85" w:type="dxa"/>
              <w:bottom w:w="85" w:type="dxa"/>
              <w:right w:w="85" w:type="dxa"/>
            </w:tcMar>
          </w:tcPr>
          <w:p w14:paraId="3F5EB69B" w14:textId="26094F46" w:rsidR="00CF1280" w:rsidRPr="000710CA" w:rsidRDefault="00CF1280" w:rsidP="007F09E7">
            <w:pPr>
              <w:pStyle w:val="TableParagraph"/>
            </w:pPr>
            <w:r w:rsidRPr="000710CA">
              <w:t>4,502</w:t>
            </w:r>
          </w:p>
        </w:tc>
        <w:tc>
          <w:tcPr>
            <w:tcW w:w="2126" w:type="dxa"/>
            <w:shd w:val="clear" w:color="auto" w:fill="002D62"/>
            <w:tcMar>
              <w:top w:w="85" w:type="dxa"/>
              <w:left w:w="85" w:type="dxa"/>
              <w:bottom w:w="85" w:type="dxa"/>
              <w:right w:w="85" w:type="dxa"/>
            </w:tcMar>
          </w:tcPr>
          <w:p w14:paraId="2F903226" w14:textId="14AC96DF" w:rsidR="00CF1280" w:rsidRPr="000710CA" w:rsidRDefault="00CF1280" w:rsidP="007F09E7">
            <w:pPr>
              <w:pStyle w:val="TableParagraph"/>
            </w:pPr>
            <w:r w:rsidRPr="000710CA">
              <w:t>2,726</w:t>
            </w:r>
          </w:p>
        </w:tc>
        <w:tc>
          <w:tcPr>
            <w:tcW w:w="3402" w:type="dxa"/>
            <w:shd w:val="clear" w:color="auto" w:fill="002D62"/>
            <w:tcMar>
              <w:top w:w="85" w:type="dxa"/>
              <w:left w:w="85" w:type="dxa"/>
              <w:bottom w:w="85" w:type="dxa"/>
              <w:right w:w="85" w:type="dxa"/>
            </w:tcMar>
          </w:tcPr>
          <w:p w14:paraId="49E0AD7A" w14:textId="62BCA2C8" w:rsidR="00CF1280" w:rsidRPr="000710CA" w:rsidRDefault="00CF1280" w:rsidP="007F09E7">
            <w:pPr>
              <w:pStyle w:val="TableParagraph"/>
            </w:pPr>
            <w:r w:rsidRPr="000710CA">
              <w:t>61%</w:t>
            </w:r>
          </w:p>
        </w:tc>
      </w:tr>
    </w:tbl>
    <w:p w14:paraId="4616D61C" w14:textId="77777777" w:rsidR="004A7973" w:rsidRDefault="004A7973" w:rsidP="004A7973">
      <w:pPr>
        <w:pStyle w:val="Heading3"/>
        <w:ind w:right="3"/>
      </w:pPr>
      <w:bookmarkStart w:id="90" w:name="_Ref75197657"/>
    </w:p>
    <w:p w14:paraId="070C5A17" w14:textId="77777777" w:rsidR="004A7973" w:rsidRDefault="004A7973" w:rsidP="004A7973">
      <w:pPr>
        <w:pStyle w:val="Heading3"/>
        <w:ind w:right="3"/>
      </w:pPr>
    </w:p>
    <w:p w14:paraId="25533988" w14:textId="77777777" w:rsidR="004A7973" w:rsidRDefault="004A7973" w:rsidP="004A7973">
      <w:pPr>
        <w:pStyle w:val="Heading3"/>
        <w:ind w:right="3"/>
      </w:pPr>
    </w:p>
    <w:p w14:paraId="7CD0FB13" w14:textId="7FE8E983" w:rsidR="004A7973" w:rsidRDefault="008B173A" w:rsidP="004A7973">
      <w:pPr>
        <w:pStyle w:val="Heading3"/>
        <w:ind w:right="3"/>
      </w:pPr>
      <w:r>
        <w:lastRenderedPageBreak/>
        <w:t xml:space="preserve">Why </w:t>
      </w:r>
      <w:r w:rsidR="00B3487B">
        <w:t>may JSCI and ESAt assessments not be completed?</w:t>
      </w:r>
      <w:bookmarkEnd w:id="90"/>
    </w:p>
    <w:p w14:paraId="528B0BDE" w14:textId="54F958D0" w:rsidR="004A7973" w:rsidRDefault="004A7973" w:rsidP="004A7973">
      <w:pPr>
        <w:pStyle w:val="Heading3"/>
        <w:ind w:right="3"/>
      </w:pPr>
      <w:r>
        <w:rPr>
          <w:noProof/>
        </w:rPr>
        <mc:AlternateContent>
          <mc:Choice Requires="wps">
            <w:drawing>
              <wp:inline distT="0" distB="0" distL="0" distR="0" wp14:anchorId="0ACF5770" wp14:editId="3CC0EB38">
                <wp:extent cx="6303010" cy="2241176"/>
                <wp:effectExtent l="0" t="0" r="0" b="0"/>
                <wp:docPr id="1623174856" name="Text Box 1623174856"/>
                <wp:cNvGraphicFramePr/>
                <a:graphic xmlns:a="http://schemas.openxmlformats.org/drawingml/2006/main">
                  <a:graphicData uri="http://schemas.microsoft.com/office/word/2010/wordprocessingShape">
                    <wps:wsp>
                      <wps:cNvSpPr txBox="1"/>
                      <wps:spPr>
                        <a:xfrm>
                          <a:off x="0" y="0"/>
                          <a:ext cx="6303010" cy="2241176"/>
                        </a:xfrm>
                        <a:prstGeom prst="rect">
                          <a:avLst/>
                        </a:prstGeom>
                        <a:solidFill>
                          <a:schemeClr val="accent4">
                            <a:lumMod val="20000"/>
                            <a:lumOff val="80000"/>
                          </a:schemeClr>
                        </a:solidFill>
                        <a:ln w="6350">
                          <a:noFill/>
                        </a:ln>
                      </wps:spPr>
                      <wps:txbx>
                        <w:txbxContent>
                          <w:p w14:paraId="16D6E051" w14:textId="77777777" w:rsidR="004A7973" w:rsidRPr="002E2F2F" w:rsidRDefault="004A7973" w:rsidP="004A7973">
                            <w:pPr>
                              <w:pStyle w:val="BodyText"/>
                              <w:ind w:right="3"/>
                            </w:pPr>
                            <w:r w:rsidRPr="002E2F2F">
                              <w:rPr>
                                <w:b/>
                                <w:bCs/>
                              </w:rPr>
                              <w:t>Key Finding #3:</w:t>
                            </w:r>
                            <w:r w:rsidRPr="002E2F2F">
                              <w:t xml:space="preserve"> TWES providers would benefit from having more time with participants before they are released, to build a relationship with them and deliver all of the core service activities.</w:t>
                            </w:r>
                          </w:p>
                          <w:p w14:paraId="4C6833E7" w14:textId="77777777" w:rsidR="004A7973" w:rsidRPr="002E2F2F" w:rsidRDefault="004A7973" w:rsidP="004A7973">
                            <w:pPr>
                              <w:pStyle w:val="BodyText"/>
                              <w:ind w:right="3"/>
                            </w:pPr>
                            <w:r w:rsidRPr="002E2F2F">
                              <w:t>Options for consideration:</w:t>
                            </w:r>
                          </w:p>
                          <w:p w14:paraId="286B7D8D" w14:textId="549C12C3" w:rsidR="004A7973" w:rsidRPr="004A7973" w:rsidRDefault="004A7973" w:rsidP="004A7973">
                            <w:pPr>
                              <w:pStyle w:val="Numberedlist"/>
                            </w:pPr>
                            <w:r w:rsidRPr="002E2F2F">
                              <w:t>NIAA and DESE to extend the timeframe for which TWES can be delivered to participants from four to six months prior to release, and increase the minimum number of contacts, so TWES providers can accommodate for the delays and complications involved in coordinating with multiple stakeholders to successfully deliver all of the core servicing activities within prison settings, and further build rapport with participants. (See also the options for consideration under Finding #7 in relation to cultural competency and building rapport.)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CF5770" id="Text Box 1623174856" o:spid="_x0000_s1030" type="#_x0000_t202" style="width:496.3pt;height:17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" fillcolor="#f1ede4 [663]" stroked="f" strokeweight=".5pt">
                <v:textbox>
                  <w:txbxContent>
                    <w:p w14:paraId="16D6E051" w14:textId="77777777" w:rsidR="004A7973" w:rsidRPr="002E2F2F" w:rsidRDefault="004A7973" w:rsidP="004A7973">
                      <w:pPr>
                        <w:pStyle w:val="BodyText"/>
                        <w:ind w:right="3"/>
                      </w:pPr>
                      <w:r w:rsidRPr="002E2F2F">
                        <w:rPr>
                          <w:b/>
                          <w:bCs/>
                        </w:rPr>
                        <w:t>Key Finding #3:</w:t>
                      </w:r>
                      <w:r w:rsidRPr="002E2F2F">
                        <w:t xml:space="preserve"> TWES providers would benefit from having more time with participants before they are released, to build a relationship with them and deliver </w:t>
                      </w:r>
                      <w:proofErr w:type="gramStart"/>
                      <w:r w:rsidRPr="002E2F2F">
                        <w:t>all of</w:t>
                      </w:r>
                      <w:proofErr w:type="gramEnd"/>
                      <w:r w:rsidRPr="002E2F2F">
                        <w:t xml:space="preserve"> the core service activities.</w:t>
                      </w:r>
                    </w:p>
                    <w:p w14:paraId="4C6833E7" w14:textId="77777777" w:rsidR="004A7973" w:rsidRPr="002E2F2F" w:rsidRDefault="004A7973" w:rsidP="004A7973">
                      <w:pPr>
                        <w:pStyle w:val="BodyText"/>
                        <w:ind w:right="3"/>
                      </w:pPr>
                      <w:r w:rsidRPr="002E2F2F">
                        <w:t>Options for consideration:</w:t>
                      </w:r>
                    </w:p>
                    <w:p w14:paraId="286B7D8D" w14:textId="549C12C3" w:rsidR="004A7973" w:rsidRPr="004A7973" w:rsidRDefault="004A7973" w:rsidP="004A7973">
                      <w:pPr>
                        <w:pStyle w:val="Numberedlist"/>
                      </w:pPr>
                      <w:r w:rsidRPr="002E2F2F">
                        <w:t xml:space="preserve">NIAA and DESE to extend the timeframe for which TWES can be delivered to participants from four to six months prior to release, and increase the minimum number of contacts, so TWES providers can accommodate for the delays and complications involved in coordinating with multiple stakeholders to successfully deliver </w:t>
                      </w:r>
                      <w:proofErr w:type="gramStart"/>
                      <w:r w:rsidRPr="002E2F2F">
                        <w:t>all of</w:t>
                      </w:r>
                      <w:proofErr w:type="gramEnd"/>
                      <w:r w:rsidRPr="002E2F2F">
                        <w:t xml:space="preserve"> the core servicing activities within prison settings, and further build rapport with participants. (See also the options for consideration under Finding #7 in relation to cultural competency and building rapport.)</w:t>
                      </w:r>
                    </w:p>
                  </w:txbxContent>
                </v:textbox>
                <w10:anchorlock/>
              </v:shape>
            </w:pict>
          </mc:Fallback>
        </mc:AlternateContent>
      </w:r>
    </w:p>
    <w:p w14:paraId="7E265B83" w14:textId="62B6328F" w:rsidR="004A7973" w:rsidRDefault="004A7973" w:rsidP="00305B4B">
      <w:pPr>
        <w:pStyle w:val="BodyText"/>
        <w:ind w:right="3"/>
      </w:pPr>
      <w:r>
        <w:rPr>
          <w:noProof/>
        </w:rPr>
        <mc:AlternateContent>
          <mc:Choice Requires="wps">
            <w:drawing>
              <wp:inline distT="0" distB="0" distL="0" distR="0" wp14:anchorId="02BE90C6" wp14:editId="77D438C5">
                <wp:extent cx="6303010" cy="2187388"/>
                <wp:effectExtent l="0" t="0" r="0" b="0"/>
                <wp:docPr id="1623174858" name="Text Box 1623174858"/>
                <wp:cNvGraphicFramePr/>
                <a:graphic xmlns:a="http://schemas.openxmlformats.org/drawingml/2006/main">
                  <a:graphicData uri="http://schemas.microsoft.com/office/word/2010/wordprocessingShape">
                    <wps:wsp>
                      <wps:cNvSpPr txBox="1"/>
                      <wps:spPr>
                        <a:xfrm>
                          <a:off x="0" y="0"/>
                          <a:ext cx="6303010" cy="2187388"/>
                        </a:xfrm>
                        <a:prstGeom prst="rect">
                          <a:avLst/>
                        </a:prstGeom>
                        <a:solidFill>
                          <a:schemeClr val="accent4">
                            <a:lumMod val="20000"/>
                            <a:lumOff val="80000"/>
                          </a:schemeClr>
                        </a:solidFill>
                        <a:ln w="6350">
                          <a:noFill/>
                        </a:ln>
                      </wps:spPr>
                      <wps:txbx>
                        <w:txbxContent>
                          <w:p w14:paraId="3FE36B57" w14:textId="77777777" w:rsidR="004A7973" w:rsidRPr="002E2F2F" w:rsidRDefault="004A7973" w:rsidP="004A7973">
                            <w:pPr>
                              <w:pStyle w:val="BodyText"/>
                              <w:ind w:right="3"/>
                            </w:pPr>
                            <w:r w:rsidRPr="002E2F2F">
                              <w:rPr>
                                <w:b/>
                                <w:bCs/>
                              </w:rPr>
                              <w:t>Key Finding #4:</w:t>
                            </w:r>
                            <w:r w:rsidRPr="002E2F2F">
                              <w:t xml:space="preserve"> TWES providers inconsistently understood how some aspects of TWES work.</w:t>
                            </w:r>
                          </w:p>
                          <w:p w14:paraId="1299BD81" w14:textId="77777777" w:rsidR="004A7973" w:rsidRPr="002E2F2F" w:rsidRDefault="004A7973" w:rsidP="004A7973">
                            <w:pPr>
                              <w:pStyle w:val="BodyText"/>
                              <w:ind w:right="3"/>
                            </w:pPr>
                            <w:r w:rsidRPr="002E2F2F">
                              <w:t>Options for consideration:</w:t>
                            </w:r>
                          </w:p>
                          <w:p w14:paraId="2F07A99F" w14:textId="77777777" w:rsidR="004A7973" w:rsidRPr="002E2F2F" w:rsidRDefault="004A7973" w:rsidP="004A7973">
                            <w:pPr>
                              <w:pStyle w:val="Numberedlist"/>
                            </w:pPr>
                            <w:r w:rsidRPr="002E2F2F">
                              <w:t xml:space="preserve">NIAA, DESE and Services Australia to share improved, plain language guidance to clarify for TWES providers how to deliver the TWES servicing activities correctly, particularly arranging the ESAt process </w:t>
                            </w:r>
                          </w:p>
                          <w:p w14:paraId="018CF664" w14:textId="54031599" w:rsidR="004A7973" w:rsidRPr="004A7973" w:rsidRDefault="004A7973" w:rsidP="004A7973">
                            <w:pPr>
                              <w:pStyle w:val="Numberedlist"/>
                            </w:pPr>
                            <w:r w:rsidRPr="002E2F2F">
                              <w:t>NIAA, DESE and Services Australia to provide further Q&amp;A sessions or other opportunities for TWES providers to ask questions, raise concerns, or clarify aspects of the service, to help improve understanding of</w:t>
                            </w:r>
                            <w:r>
                              <w:t xml:space="preserve"> the service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BE90C6" id="Text Box 1623174858" o:spid="_x0000_s1031" type="#_x0000_t202" style="width:496.3pt;height:17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" fillcolor="#f1ede4 [663]" stroked="f" strokeweight=".5pt">
                <v:textbox>
                  <w:txbxContent>
                    <w:p w14:paraId="3FE36B57" w14:textId="77777777" w:rsidR="004A7973" w:rsidRPr="002E2F2F" w:rsidRDefault="004A7973" w:rsidP="004A7973">
                      <w:pPr>
                        <w:pStyle w:val="BodyText"/>
                        <w:ind w:right="3"/>
                      </w:pPr>
                      <w:r w:rsidRPr="002E2F2F">
                        <w:rPr>
                          <w:b/>
                          <w:bCs/>
                        </w:rPr>
                        <w:t>Key Finding #4:</w:t>
                      </w:r>
                      <w:r w:rsidRPr="002E2F2F">
                        <w:t xml:space="preserve"> TWES providers inconsistently understood how some aspects of TWES work.</w:t>
                      </w:r>
                    </w:p>
                    <w:p w14:paraId="1299BD81" w14:textId="77777777" w:rsidR="004A7973" w:rsidRPr="002E2F2F" w:rsidRDefault="004A7973" w:rsidP="004A7973">
                      <w:pPr>
                        <w:pStyle w:val="BodyText"/>
                        <w:ind w:right="3"/>
                      </w:pPr>
                      <w:r w:rsidRPr="002E2F2F">
                        <w:t>Options for consideration:</w:t>
                      </w:r>
                    </w:p>
                    <w:p w14:paraId="2F07A99F" w14:textId="77777777" w:rsidR="004A7973" w:rsidRPr="002E2F2F" w:rsidRDefault="004A7973" w:rsidP="004A7973">
                      <w:pPr>
                        <w:pStyle w:val="Numberedlist"/>
                      </w:pPr>
                      <w:r w:rsidRPr="002E2F2F">
                        <w:t xml:space="preserve">NIAA, DESE and Services Australia to share improved, plain language guidance to clarify for TWES providers how to deliver the TWES servicing activities correctly, particularly arranging the </w:t>
                      </w:r>
                      <w:proofErr w:type="spellStart"/>
                      <w:r w:rsidRPr="002E2F2F">
                        <w:t>ESAt</w:t>
                      </w:r>
                      <w:proofErr w:type="spellEnd"/>
                      <w:r w:rsidRPr="002E2F2F">
                        <w:t xml:space="preserve"> process </w:t>
                      </w:r>
                    </w:p>
                    <w:p w14:paraId="018CF664" w14:textId="54031599" w:rsidR="004A7973" w:rsidRPr="004A7973" w:rsidRDefault="004A7973" w:rsidP="004A7973">
                      <w:pPr>
                        <w:pStyle w:val="Numberedlist"/>
                      </w:pPr>
                      <w:r w:rsidRPr="002E2F2F">
                        <w:t>NIAA, DESE and Services Australia to provide further Q&amp;A sessions or other opportunities for TWES providers to ask questions, raise concerns, or clarify aspects of the service, to help improve understanding of</w:t>
                      </w:r>
                      <w:r>
                        <w:t xml:space="preserve"> the service activities.</w:t>
                      </w:r>
                    </w:p>
                  </w:txbxContent>
                </v:textbox>
                <w10:anchorlock/>
              </v:shape>
            </w:pict>
          </mc:Fallback>
        </mc:AlternateContent>
      </w:r>
    </w:p>
    <w:p w14:paraId="08CD9206" w14:textId="3B531A57" w:rsidR="00A028BD" w:rsidRPr="002E2F2F" w:rsidRDefault="00B83E7E" w:rsidP="00305B4B">
      <w:pPr>
        <w:pStyle w:val="BodyText"/>
        <w:ind w:right="3"/>
      </w:pPr>
      <w:r w:rsidRPr="002E2F2F">
        <w:t>I</w:t>
      </w:r>
      <w:r w:rsidR="00A42E34" w:rsidRPr="002E2F2F">
        <w:t xml:space="preserve">nterviews </w:t>
      </w:r>
      <w:r w:rsidR="000B4ED7" w:rsidRPr="002E2F2F">
        <w:t xml:space="preserve">found </w:t>
      </w:r>
      <w:r w:rsidR="00F904EA" w:rsidRPr="002E2F2F">
        <w:t xml:space="preserve">that </w:t>
      </w:r>
      <w:r w:rsidR="00A003A1" w:rsidRPr="002E2F2F">
        <w:t xml:space="preserve">TWES </w:t>
      </w:r>
      <w:r w:rsidR="00D61836" w:rsidRPr="002E2F2F">
        <w:t xml:space="preserve">providers </w:t>
      </w:r>
      <w:r w:rsidR="00A003A1" w:rsidRPr="002E2F2F">
        <w:t>have largely conducted the JSCI without issue</w:t>
      </w:r>
      <w:r w:rsidR="00C70F76" w:rsidRPr="002E2F2F">
        <w:t>. Only two</w:t>
      </w:r>
      <w:r w:rsidR="009A51CF" w:rsidRPr="002E2F2F">
        <w:t xml:space="preserve"> of the 16</w:t>
      </w:r>
      <w:r w:rsidR="00C70F76" w:rsidRPr="002E2F2F">
        <w:t xml:space="preserve"> TWES </w:t>
      </w:r>
      <w:r w:rsidR="00D61836" w:rsidRPr="002E2F2F">
        <w:t xml:space="preserve">providers </w:t>
      </w:r>
      <w:r w:rsidR="009A51CF" w:rsidRPr="002E2F2F">
        <w:t>interviewed</w:t>
      </w:r>
      <w:r w:rsidR="00C70F76" w:rsidRPr="002E2F2F">
        <w:t xml:space="preserve"> noted </w:t>
      </w:r>
      <w:r w:rsidR="00364B22" w:rsidRPr="002E2F2F">
        <w:t xml:space="preserve">any </w:t>
      </w:r>
      <w:r w:rsidR="00C70F76" w:rsidRPr="002E2F2F">
        <w:t xml:space="preserve">concerns with the JSCI – that the language </w:t>
      </w:r>
      <w:r w:rsidR="00A6251C" w:rsidRPr="002E2F2F">
        <w:t>used could be</w:t>
      </w:r>
      <w:r w:rsidR="008803EC" w:rsidRPr="002E2F2F">
        <w:t xml:space="preserve"> </w:t>
      </w:r>
      <w:r w:rsidR="00A6251C" w:rsidRPr="002E2F2F">
        <w:t xml:space="preserve">more relatable and understandable (such as </w:t>
      </w:r>
      <w:r w:rsidR="00364B22" w:rsidRPr="002E2F2F">
        <w:t xml:space="preserve">replacing ‘family bereavement’ with ‘sorry business’) – but </w:t>
      </w:r>
      <w:r w:rsidR="008803EC" w:rsidRPr="002E2F2F">
        <w:t xml:space="preserve">these </w:t>
      </w:r>
      <w:r w:rsidR="00467A51" w:rsidRPr="002E2F2F">
        <w:t>provider</w:t>
      </w:r>
      <w:r w:rsidR="008803EC" w:rsidRPr="002E2F2F">
        <w:t xml:space="preserve">s did not state that </w:t>
      </w:r>
      <w:r w:rsidR="007F664E" w:rsidRPr="002E2F2F">
        <w:t>this prevented JSCIs from being conducted.</w:t>
      </w:r>
    </w:p>
    <w:p w14:paraId="51F72823" w14:textId="0817218F" w:rsidR="00896A3A" w:rsidRPr="002E2F2F" w:rsidRDefault="00C56DFF" w:rsidP="00305B4B">
      <w:pPr>
        <w:pStyle w:val="BodyText"/>
        <w:ind w:right="3"/>
      </w:pPr>
      <w:r w:rsidRPr="002E2F2F">
        <w:t>I</w:t>
      </w:r>
      <w:r w:rsidR="00D82C67" w:rsidRPr="002E2F2F">
        <w:t xml:space="preserve">nterviews found that many </w:t>
      </w:r>
      <w:r w:rsidR="00550CEF" w:rsidRPr="002E2F2F">
        <w:t xml:space="preserve">TWES </w:t>
      </w:r>
      <w:r w:rsidR="00D61836" w:rsidRPr="002E2F2F">
        <w:t xml:space="preserve">providers </w:t>
      </w:r>
      <w:r w:rsidR="00D82C67" w:rsidRPr="002E2F2F">
        <w:t xml:space="preserve">faced challenges in organising ESAts to be </w:t>
      </w:r>
      <w:r w:rsidR="003E70AB" w:rsidRPr="002E2F2F">
        <w:t>completed.</w:t>
      </w:r>
      <w:r w:rsidR="007E5C84" w:rsidRPr="002E2F2F">
        <w:t xml:space="preserve"> </w:t>
      </w:r>
      <w:r w:rsidR="003E70AB" w:rsidRPr="002E2F2F">
        <w:t xml:space="preserve">The </w:t>
      </w:r>
      <w:r w:rsidR="007E5C84" w:rsidRPr="002E2F2F">
        <w:t xml:space="preserve">ESAt </w:t>
      </w:r>
      <w:r w:rsidR="003E70AB" w:rsidRPr="002E2F2F">
        <w:t xml:space="preserve">is </w:t>
      </w:r>
      <w:r w:rsidR="007E5C84" w:rsidRPr="002E2F2F">
        <w:t>conducted by Services Australia allied health professionals</w:t>
      </w:r>
      <w:r w:rsidR="003E70AB" w:rsidRPr="002E2F2F">
        <w:t xml:space="preserve"> – TWES </w:t>
      </w:r>
      <w:r w:rsidR="00D61836" w:rsidRPr="002E2F2F">
        <w:t xml:space="preserve">providers </w:t>
      </w:r>
      <w:r w:rsidR="003E70AB" w:rsidRPr="002E2F2F">
        <w:t>cannot conduct the assessment</w:t>
      </w:r>
      <w:r w:rsidR="00A7592C" w:rsidRPr="002E2F2F">
        <w:t>.</w:t>
      </w:r>
      <w:r w:rsidR="00785CBC" w:rsidRPr="002E2F2F">
        <w:t xml:space="preserve"> </w:t>
      </w:r>
      <w:r w:rsidRPr="002E2F2F">
        <w:t xml:space="preserve">However, </w:t>
      </w:r>
      <w:r w:rsidR="00785CBC" w:rsidRPr="002E2F2F">
        <w:t xml:space="preserve">TWES </w:t>
      </w:r>
      <w:r w:rsidR="00D61836" w:rsidRPr="002E2F2F">
        <w:t xml:space="preserve">providers </w:t>
      </w:r>
      <w:r w:rsidRPr="002E2F2F">
        <w:t xml:space="preserve">do </w:t>
      </w:r>
      <w:r w:rsidR="00785CBC" w:rsidRPr="002E2F2F">
        <w:t xml:space="preserve">play a critical role </w:t>
      </w:r>
      <w:r w:rsidR="00F37212" w:rsidRPr="002E2F2F">
        <w:t>in supporting the ESAt to be completed by</w:t>
      </w:r>
      <w:r w:rsidR="00785CBC" w:rsidRPr="002E2F2F">
        <w:t xml:space="preserve"> making arrangements </w:t>
      </w:r>
      <w:r w:rsidR="00F37212" w:rsidRPr="002E2F2F">
        <w:t xml:space="preserve">in the prison for a phone call between Services Australia </w:t>
      </w:r>
      <w:r w:rsidR="00BA755C" w:rsidRPr="002E2F2F">
        <w:t xml:space="preserve">and the TWES participant, </w:t>
      </w:r>
      <w:r w:rsidR="00C761EE" w:rsidRPr="002E2F2F">
        <w:t xml:space="preserve">supporting the participant through the ESAt </w:t>
      </w:r>
      <w:r w:rsidR="00BA755C" w:rsidRPr="002E2F2F">
        <w:t xml:space="preserve">and requesting </w:t>
      </w:r>
      <w:r w:rsidR="00AE7CC1" w:rsidRPr="002E2F2F">
        <w:t>that</w:t>
      </w:r>
      <w:r w:rsidR="00BA755C" w:rsidRPr="002E2F2F">
        <w:t xml:space="preserve"> the participant’s medical records from </w:t>
      </w:r>
      <w:r w:rsidR="00B63B84" w:rsidRPr="002E2F2F">
        <w:t>state</w:t>
      </w:r>
      <w:r w:rsidR="00BA755C" w:rsidRPr="002E2F2F">
        <w:t>/</w:t>
      </w:r>
      <w:r w:rsidR="00B63B84" w:rsidRPr="002E2F2F">
        <w:t xml:space="preserve">territory </w:t>
      </w:r>
      <w:r w:rsidR="00467A51" w:rsidRPr="002E2F2F">
        <w:t>health</w:t>
      </w:r>
      <w:r w:rsidR="00BA755C" w:rsidRPr="002E2F2F">
        <w:t xml:space="preserve"> </w:t>
      </w:r>
      <w:r w:rsidR="00467A51" w:rsidRPr="002E2F2F">
        <w:t>department</w:t>
      </w:r>
      <w:r w:rsidR="00BA755C" w:rsidRPr="002E2F2F">
        <w:t>s</w:t>
      </w:r>
      <w:r w:rsidR="007F2D0E" w:rsidRPr="002E2F2F">
        <w:t xml:space="preserve"> </w:t>
      </w:r>
      <w:r w:rsidR="00540F21" w:rsidRPr="002E2F2F">
        <w:t>be shared</w:t>
      </w:r>
      <w:r w:rsidR="007F2D0E" w:rsidRPr="002E2F2F">
        <w:t xml:space="preserve"> with Services Australia</w:t>
      </w:r>
      <w:r w:rsidRPr="002E2F2F">
        <w:t>, which are required</w:t>
      </w:r>
      <w:r w:rsidR="007F2D0E" w:rsidRPr="002E2F2F">
        <w:t xml:space="preserve"> to complete the ESAt</w:t>
      </w:r>
      <w:r w:rsidRPr="002E2F2F">
        <w:t xml:space="preserve">. </w:t>
      </w:r>
    </w:p>
    <w:p w14:paraId="3B775692" w14:textId="210B7DED" w:rsidR="00785CBC" w:rsidRPr="002E2F2F" w:rsidRDefault="00785CBC" w:rsidP="00305B4B">
      <w:pPr>
        <w:pStyle w:val="BodyText"/>
        <w:ind w:right="3"/>
      </w:pPr>
      <w:r w:rsidRPr="002E2F2F">
        <w:t xml:space="preserve">The ESAt is a biopsychosocial assessment of a TWES participant’s barriers to employment and capacity to work after release. </w:t>
      </w:r>
      <w:r w:rsidR="00A6456A" w:rsidRPr="002E2F2F">
        <w:t>As the TWES program logic defines, the ESAt is</w:t>
      </w:r>
      <w:r w:rsidR="00EF0CF1" w:rsidRPr="002E2F2F">
        <w:t xml:space="preserve"> </w:t>
      </w:r>
      <w:r w:rsidR="00695419" w:rsidRPr="002E2F2F">
        <w:t>important for improving</w:t>
      </w:r>
      <w:r w:rsidR="00A32FB0" w:rsidRPr="002E2F2F">
        <w:t xml:space="preserve"> participants’ engagement with post-release employment services because </w:t>
      </w:r>
      <w:r w:rsidR="00CB3C76" w:rsidRPr="002E2F2F">
        <w:t xml:space="preserve">the ESAt is necessary to </w:t>
      </w:r>
      <w:r w:rsidR="00597AE6" w:rsidRPr="002E2F2F">
        <w:t xml:space="preserve">be </w:t>
      </w:r>
      <w:r w:rsidRPr="002E2F2F">
        <w:t>allocated to job</w:t>
      </w:r>
      <w:r w:rsidR="00E478D2">
        <w:t xml:space="preserve"> </w:t>
      </w:r>
      <w:r w:rsidRPr="002E2F2F">
        <w:t>active Stream C or Disability Employment Services</w:t>
      </w:r>
      <w:r w:rsidR="00597AE6" w:rsidRPr="002E2F2F">
        <w:t xml:space="preserve"> (see</w:t>
      </w:r>
      <w:r w:rsidR="000A070C" w:rsidRPr="002E2F2F">
        <w:t xml:space="preserve"> </w:t>
      </w:r>
      <w:r w:rsidR="000A070C" w:rsidRPr="002E2F2F">
        <w:rPr>
          <w:b/>
          <w:bCs/>
        </w:rPr>
        <w:t xml:space="preserve">Section </w:t>
      </w:r>
      <w:r w:rsidR="000A070C" w:rsidRPr="002E2F2F">
        <w:rPr>
          <w:b/>
          <w:bCs/>
        </w:rPr>
        <w:fldChar w:fldCharType="begin"/>
      </w:r>
      <w:r w:rsidR="000A070C" w:rsidRPr="002E2F2F">
        <w:rPr>
          <w:b/>
          <w:bCs/>
        </w:rPr>
        <w:instrText xml:space="preserve"> REF _Ref75010590 \r \h  \* MERGEFORMAT </w:instrText>
      </w:r>
      <w:r w:rsidR="000A070C" w:rsidRPr="002E2F2F">
        <w:rPr>
          <w:b/>
          <w:bCs/>
        </w:rPr>
      </w:r>
      <w:r w:rsidR="000A070C" w:rsidRPr="002E2F2F">
        <w:rPr>
          <w:b/>
          <w:bCs/>
        </w:rPr>
        <w:fldChar w:fldCharType="separate"/>
      </w:r>
      <w:r w:rsidR="00E93A98" w:rsidRPr="002E2F2F">
        <w:rPr>
          <w:b/>
          <w:bCs/>
        </w:rPr>
        <w:t>3</w:t>
      </w:r>
      <w:r w:rsidR="000A070C" w:rsidRPr="002E2F2F">
        <w:rPr>
          <w:b/>
          <w:bCs/>
        </w:rPr>
        <w:fldChar w:fldCharType="end"/>
      </w:r>
      <w:r w:rsidR="00597AE6" w:rsidRPr="002E2F2F">
        <w:t>).</w:t>
      </w:r>
    </w:p>
    <w:p w14:paraId="0EEA70CA" w14:textId="7AA7102F" w:rsidR="00490E6D" w:rsidRPr="001A175C" w:rsidRDefault="00490E6D" w:rsidP="00305B4B">
      <w:pPr>
        <w:pStyle w:val="BodyText"/>
        <w:ind w:right="3"/>
      </w:pPr>
      <w:r w:rsidRPr="001A175C">
        <w:t xml:space="preserve">Of 27 interviews with </w:t>
      </w:r>
      <w:r w:rsidR="00DF6650" w:rsidRPr="001A175C">
        <w:t xml:space="preserve">Commonwealth </w:t>
      </w:r>
      <w:r w:rsidRPr="001A175C">
        <w:t xml:space="preserve">Government, </w:t>
      </w:r>
      <w:r w:rsidR="00A42226" w:rsidRPr="001A175C">
        <w:t>c</w:t>
      </w:r>
      <w:r w:rsidRPr="001A175C">
        <w:t xml:space="preserve">orrections </w:t>
      </w:r>
      <w:r w:rsidR="00A42226" w:rsidRPr="001A175C">
        <w:t xml:space="preserve">stakeholders </w:t>
      </w:r>
      <w:r w:rsidRPr="001A175C">
        <w:t xml:space="preserve">and TWES </w:t>
      </w:r>
      <w:r w:rsidR="00D61836" w:rsidRPr="001A175C">
        <w:t>providers</w:t>
      </w:r>
      <w:r w:rsidR="00A42226" w:rsidRPr="001A175C">
        <w:t>,</w:t>
      </w:r>
      <w:r w:rsidRPr="001A175C">
        <w:t xml:space="preserve"> 18 reported that they had </w:t>
      </w:r>
      <w:r w:rsidR="00A42226" w:rsidRPr="001A175C">
        <w:t xml:space="preserve">experienced or observed </w:t>
      </w:r>
      <w:r w:rsidRPr="001A175C">
        <w:t xml:space="preserve">challenges with </w:t>
      </w:r>
      <w:r w:rsidR="00A42226" w:rsidRPr="001A175C">
        <w:t xml:space="preserve">completing the </w:t>
      </w:r>
      <w:r w:rsidRPr="001A175C">
        <w:t>ESAt for TWES participants</w:t>
      </w:r>
      <w:r w:rsidR="00FE7523" w:rsidRPr="001A175C">
        <w:t>. These challenges were</w:t>
      </w:r>
      <w:r w:rsidR="00A42226" w:rsidRPr="001A175C">
        <w:t>:</w:t>
      </w:r>
    </w:p>
    <w:p w14:paraId="52F5B42C" w14:textId="64D379CE" w:rsidR="00F0289B" w:rsidRDefault="00280045" w:rsidP="00305B4B">
      <w:pPr>
        <w:pStyle w:val="Bulletedlist"/>
        <w:ind w:right="3"/>
      </w:pPr>
      <w:r w:rsidRPr="00D431AD">
        <w:t>R</w:t>
      </w:r>
      <w:r w:rsidR="00490E6D" w:rsidRPr="00D431AD">
        <w:t>eceiving</w:t>
      </w:r>
      <w:r w:rsidR="00490E6D" w:rsidRPr="00D431AD">
        <w:rPr>
          <w:spacing w:val="-7"/>
        </w:rPr>
        <w:t xml:space="preserve"> </w:t>
      </w:r>
      <w:r w:rsidR="00490E6D" w:rsidRPr="00D431AD">
        <w:t>required</w:t>
      </w:r>
      <w:r w:rsidR="00490E6D" w:rsidRPr="00D431AD">
        <w:rPr>
          <w:spacing w:val="-5"/>
        </w:rPr>
        <w:t xml:space="preserve"> </w:t>
      </w:r>
      <w:r w:rsidR="00490E6D" w:rsidRPr="00D431AD">
        <w:t>medical</w:t>
      </w:r>
      <w:r w:rsidR="00490E6D" w:rsidRPr="00D431AD">
        <w:rPr>
          <w:spacing w:val="-7"/>
        </w:rPr>
        <w:t xml:space="preserve"> </w:t>
      </w:r>
      <w:r w:rsidR="00490E6D" w:rsidRPr="00D431AD">
        <w:t>records</w:t>
      </w:r>
      <w:r w:rsidR="00490E6D" w:rsidRPr="00D431AD">
        <w:rPr>
          <w:spacing w:val="-5"/>
        </w:rPr>
        <w:t xml:space="preserve"> </w:t>
      </w:r>
      <w:r w:rsidR="00490E6D" w:rsidRPr="00D431AD">
        <w:t>in</w:t>
      </w:r>
      <w:r w:rsidR="00490E6D" w:rsidRPr="00D431AD">
        <w:rPr>
          <w:spacing w:val="-8"/>
        </w:rPr>
        <w:t xml:space="preserve"> </w:t>
      </w:r>
      <w:r w:rsidR="00490E6D" w:rsidRPr="00D431AD">
        <w:t>a</w:t>
      </w:r>
      <w:r w:rsidR="00490E6D" w:rsidRPr="00D431AD">
        <w:rPr>
          <w:spacing w:val="-7"/>
        </w:rPr>
        <w:t xml:space="preserve"> </w:t>
      </w:r>
      <w:r w:rsidR="00490E6D" w:rsidRPr="00D431AD">
        <w:t>timely</w:t>
      </w:r>
      <w:r w:rsidR="00490E6D" w:rsidRPr="00D431AD">
        <w:rPr>
          <w:spacing w:val="-7"/>
        </w:rPr>
        <w:t xml:space="preserve"> </w:t>
      </w:r>
      <w:r w:rsidR="00490E6D" w:rsidRPr="00D431AD">
        <w:t>manner.</w:t>
      </w:r>
      <w:r w:rsidR="00490E6D" w:rsidRPr="00D431AD">
        <w:rPr>
          <w:spacing w:val="-8"/>
        </w:rPr>
        <w:t xml:space="preserve"> </w:t>
      </w:r>
      <w:r w:rsidR="00490E6D" w:rsidRPr="00D431AD">
        <w:t>Five</w:t>
      </w:r>
      <w:r w:rsidR="00490E6D" w:rsidRPr="00D431AD">
        <w:rPr>
          <w:spacing w:val="-5"/>
        </w:rPr>
        <w:t xml:space="preserve"> </w:t>
      </w:r>
      <w:r w:rsidR="00B372BD">
        <w:t xml:space="preserve">TWES </w:t>
      </w:r>
      <w:r w:rsidR="00D61836">
        <w:t>providers</w:t>
      </w:r>
      <w:r w:rsidR="00490E6D" w:rsidRPr="00D431AD">
        <w:t>,</w:t>
      </w:r>
      <w:r w:rsidR="00490E6D" w:rsidRPr="00D431AD">
        <w:rPr>
          <w:spacing w:val="-7"/>
        </w:rPr>
        <w:t xml:space="preserve"> </w:t>
      </w:r>
      <w:r w:rsidR="00490E6D" w:rsidRPr="00D431AD">
        <w:rPr>
          <w:spacing w:val="-1"/>
        </w:rPr>
        <w:t>one</w:t>
      </w:r>
      <w:r w:rsidR="00490E6D" w:rsidRPr="00D431AD">
        <w:rPr>
          <w:spacing w:val="28"/>
          <w:w w:val="99"/>
        </w:rPr>
        <w:t xml:space="preserve"> </w:t>
      </w:r>
      <w:r w:rsidR="00490E6D" w:rsidRPr="00D431AD">
        <w:t>government</w:t>
      </w:r>
      <w:r w:rsidR="00490E6D" w:rsidRPr="00D431AD">
        <w:rPr>
          <w:spacing w:val="-9"/>
        </w:rPr>
        <w:t xml:space="preserve"> </w:t>
      </w:r>
      <w:r w:rsidR="00490E6D" w:rsidRPr="00D431AD">
        <w:t>stakeholder</w:t>
      </w:r>
      <w:r w:rsidR="00490E6D" w:rsidRPr="00D431AD">
        <w:rPr>
          <w:spacing w:val="-7"/>
        </w:rPr>
        <w:t xml:space="preserve"> </w:t>
      </w:r>
      <w:r w:rsidR="00490E6D" w:rsidRPr="00D431AD">
        <w:t>and</w:t>
      </w:r>
      <w:r w:rsidR="00490E6D" w:rsidRPr="00D431AD">
        <w:rPr>
          <w:spacing w:val="-9"/>
        </w:rPr>
        <w:t xml:space="preserve"> </w:t>
      </w:r>
      <w:r w:rsidR="00490E6D" w:rsidRPr="00D431AD">
        <w:t>one</w:t>
      </w:r>
      <w:r w:rsidR="00490E6D" w:rsidRPr="00D431AD">
        <w:rPr>
          <w:spacing w:val="-9"/>
        </w:rPr>
        <w:t xml:space="preserve"> </w:t>
      </w:r>
      <w:r w:rsidR="00467A51">
        <w:rPr>
          <w:spacing w:val="-1"/>
        </w:rPr>
        <w:t>corrections</w:t>
      </w:r>
      <w:r w:rsidR="00490E6D" w:rsidRPr="00D431AD">
        <w:rPr>
          <w:spacing w:val="-8"/>
        </w:rPr>
        <w:t xml:space="preserve"> </w:t>
      </w:r>
      <w:r w:rsidR="00490E6D" w:rsidRPr="00D431AD">
        <w:t>stakeholder</w:t>
      </w:r>
      <w:r w:rsidR="00490E6D" w:rsidRPr="00D431AD">
        <w:rPr>
          <w:spacing w:val="-2"/>
        </w:rPr>
        <w:t xml:space="preserve"> </w:t>
      </w:r>
      <w:r w:rsidR="004052D8" w:rsidRPr="00D431AD">
        <w:t>noted</w:t>
      </w:r>
      <w:r w:rsidR="004052D8" w:rsidRPr="00D431AD">
        <w:rPr>
          <w:spacing w:val="-9"/>
        </w:rPr>
        <w:t xml:space="preserve"> </w:t>
      </w:r>
      <w:r w:rsidR="004052D8" w:rsidRPr="00D431AD">
        <w:t>challenges</w:t>
      </w:r>
      <w:r w:rsidR="004052D8" w:rsidRPr="00D431AD">
        <w:rPr>
          <w:spacing w:val="-8"/>
        </w:rPr>
        <w:t xml:space="preserve"> </w:t>
      </w:r>
      <w:r w:rsidR="004052D8" w:rsidRPr="00D431AD">
        <w:t>in</w:t>
      </w:r>
      <w:r w:rsidR="00490E6D" w:rsidRPr="00D431AD">
        <w:rPr>
          <w:spacing w:val="-8"/>
        </w:rPr>
        <w:t xml:space="preserve"> </w:t>
      </w:r>
      <w:r w:rsidR="004052D8" w:rsidRPr="00D431AD">
        <w:t>accessing</w:t>
      </w:r>
      <w:r w:rsidR="004052D8" w:rsidRPr="00D431AD">
        <w:rPr>
          <w:spacing w:val="34"/>
          <w:w w:val="99"/>
        </w:rPr>
        <w:t xml:space="preserve"> </w:t>
      </w:r>
      <w:r w:rsidR="00490E6D" w:rsidRPr="00D431AD">
        <w:t>medical</w:t>
      </w:r>
      <w:r w:rsidR="00490E6D" w:rsidRPr="00D431AD">
        <w:rPr>
          <w:spacing w:val="-6"/>
        </w:rPr>
        <w:t xml:space="preserve"> </w:t>
      </w:r>
      <w:r w:rsidR="00490E6D" w:rsidRPr="00D431AD">
        <w:t>information</w:t>
      </w:r>
      <w:r w:rsidR="00490E6D" w:rsidRPr="00D431AD">
        <w:rPr>
          <w:spacing w:val="-5"/>
        </w:rPr>
        <w:t xml:space="preserve"> </w:t>
      </w:r>
      <w:r w:rsidR="004052D8" w:rsidRPr="00D431AD">
        <w:t>and</w:t>
      </w:r>
      <w:r w:rsidR="004052D8" w:rsidRPr="00D431AD">
        <w:rPr>
          <w:spacing w:val="-7"/>
        </w:rPr>
        <w:t xml:space="preserve"> </w:t>
      </w:r>
      <w:r w:rsidR="004052D8" w:rsidRPr="00D431AD">
        <w:t>sharing</w:t>
      </w:r>
      <w:r w:rsidR="004052D8" w:rsidRPr="00D431AD">
        <w:rPr>
          <w:spacing w:val="-5"/>
        </w:rPr>
        <w:t xml:space="preserve"> </w:t>
      </w:r>
      <w:r w:rsidR="004052D8" w:rsidRPr="00D431AD">
        <w:rPr>
          <w:spacing w:val="-1"/>
        </w:rPr>
        <w:t>this</w:t>
      </w:r>
      <w:r w:rsidR="004052D8" w:rsidRPr="00D431AD">
        <w:rPr>
          <w:spacing w:val="-4"/>
        </w:rPr>
        <w:t xml:space="preserve"> </w:t>
      </w:r>
      <w:r w:rsidR="004052D8" w:rsidRPr="00D431AD">
        <w:t>with</w:t>
      </w:r>
      <w:r w:rsidR="004052D8" w:rsidRPr="00D431AD">
        <w:rPr>
          <w:spacing w:val="-6"/>
        </w:rPr>
        <w:t xml:space="preserve"> </w:t>
      </w:r>
      <w:r w:rsidR="004052D8" w:rsidRPr="00D431AD">
        <w:t>Services</w:t>
      </w:r>
      <w:r w:rsidR="004052D8" w:rsidRPr="00D431AD">
        <w:rPr>
          <w:spacing w:val="-6"/>
        </w:rPr>
        <w:t xml:space="preserve"> </w:t>
      </w:r>
      <w:r w:rsidR="004052D8" w:rsidRPr="00D431AD">
        <w:t>Australia</w:t>
      </w:r>
      <w:r w:rsidR="004052D8" w:rsidRPr="00D431AD">
        <w:rPr>
          <w:spacing w:val="-7"/>
        </w:rPr>
        <w:t xml:space="preserve"> </w:t>
      </w:r>
      <w:r w:rsidR="004052D8" w:rsidRPr="00D431AD">
        <w:rPr>
          <w:spacing w:val="-1"/>
        </w:rPr>
        <w:t>to</w:t>
      </w:r>
      <w:r w:rsidR="004052D8" w:rsidRPr="00D431AD">
        <w:rPr>
          <w:spacing w:val="-5"/>
        </w:rPr>
        <w:t xml:space="preserve"> </w:t>
      </w:r>
      <w:r w:rsidR="004052D8" w:rsidRPr="00D431AD">
        <w:t>enable</w:t>
      </w:r>
      <w:r w:rsidR="004052D8" w:rsidRPr="00D431AD">
        <w:rPr>
          <w:spacing w:val="-6"/>
        </w:rPr>
        <w:t xml:space="preserve"> </w:t>
      </w:r>
      <w:r w:rsidR="004052D8" w:rsidRPr="00D431AD">
        <w:t>ESAts</w:t>
      </w:r>
      <w:r w:rsidR="004052D8" w:rsidRPr="00D431AD">
        <w:rPr>
          <w:spacing w:val="-6"/>
        </w:rPr>
        <w:t xml:space="preserve"> </w:t>
      </w:r>
      <w:r w:rsidR="004052D8" w:rsidRPr="00D431AD">
        <w:t>to</w:t>
      </w:r>
      <w:r w:rsidR="004052D8" w:rsidRPr="00D431AD">
        <w:rPr>
          <w:spacing w:val="-2"/>
        </w:rPr>
        <w:t xml:space="preserve"> </w:t>
      </w:r>
      <w:r w:rsidR="004052D8" w:rsidRPr="00D431AD">
        <w:t>be</w:t>
      </w:r>
      <w:r w:rsidR="004052D8" w:rsidRPr="00D431AD">
        <w:rPr>
          <w:spacing w:val="-5"/>
        </w:rPr>
        <w:t xml:space="preserve"> </w:t>
      </w:r>
      <w:r w:rsidR="004052D8" w:rsidRPr="00D431AD">
        <w:t>completed.</w:t>
      </w:r>
      <w:r w:rsidR="00F45D92" w:rsidRPr="00D431AD">
        <w:rPr>
          <w:spacing w:val="30"/>
          <w:w w:val="99"/>
        </w:rPr>
        <w:t xml:space="preserve"> </w:t>
      </w:r>
      <w:r w:rsidR="00F45D92" w:rsidRPr="00D431AD">
        <w:t>Medical</w:t>
      </w:r>
      <w:r w:rsidR="00F45D92" w:rsidRPr="00D431AD">
        <w:rPr>
          <w:spacing w:val="-9"/>
        </w:rPr>
        <w:t xml:space="preserve"> </w:t>
      </w:r>
      <w:r w:rsidR="00F45D92" w:rsidRPr="00D431AD">
        <w:t>records</w:t>
      </w:r>
      <w:r w:rsidR="00F45D92" w:rsidRPr="00D431AD">
        <w:rPr>
          <w:spacing w:val="-7"/>
        </w:rPr>
        <w:t xml:space="preserve"> </w:t>
      </w:r>
      <w:r w:rsidR="00F45D92" w:rsidRPr="00D431AD">
        <w:t>must</w:t>
      </w:r>
      <w:r w:rsidR="00F45D92" w:rsidRPr="00D431AD">
        <w:rPr>
          <w:spacing w:val="-8"/>
        </w:rPr>
        <w:t xml:space="preserve"> </w:t>
      </w:r>
      <w:r w:rsidR="00F45D92" w:rsidRPr="00D431AD">
        <w:t>be</w:t>
      </w:r>
      <w:r w:rsidR="00F45D92" w:rsidRPr="00D431AD">
        <w:rPr>
          <w:spacing w:val="-8"/>
        </w:rPr>
        <w:t xml:space="preserve"> </w:t>
      </w:r>
      <w:r w:rsidR="00F45D92" w:rsidRPr="00D431AD">
        <w:t>accessed</w:t>
      </w:r>
      <w:r w:rsidR="00F45D92" w:rsidRPr="00D431AD">
        <w:rPr>
          <w:spacing w:val="-7"/>
        </w:rPr>
        <w:t xml:space="preserve"> </w:t>
      </w:r>
      <w:r w:rsidR="00F45D92" w:rsidRPr="00D431AD">
        <w:lastRenderedPageBreak/>
        <w:t>from</w:t>
      </w:r>
      <w:r w:rsidR="00F45D92" w:rsidRPr="00D431AD">
        <w:rPr>
          <w:spacing w:val="-8"/>
        </w:rPr>
        <w:t xml:space="preserve"> </w:t>
      </w:r>
      <w:r w:rsidR="00467A51">
        <w:t>state</w:t>
      </w:r>
      <w:r w:rsidR="00F45D92" w:rsidRPr="00D431AD">
        <w:t>/</w:t>
      </w:r>
      <w:r w:rsidR="00467A51">
        <w:t>territory</w:t>
      </w:r>
      <w:r w:rsidR="00F45D92" w:rsidRPr="00D431AD">
        <w:rPr>
          <w:spacing w:val="-6"/>
        </w:rPr>
        <w:t xml:space="preserve"> </w:t>
      </w:r>
      <w:r w:rsidR="00F45D92" w:rsidRPr="00D431AD">
        <w:rPr>
          <w:spacing w:val="-1"/>
        </w:rPr>
        <w:t>health</w:t>
      </w:r>
      <w:r w:rsidR="00F45D92" w:rsidRPr="00D431AD">
        <w:rPr>
          <w:spacing w:val="-6"/>
        </w:rPr>
        <w:t xml:space="preserve"> </w:t>
      </w:r>
      <w:r w:rsidR="00F45D92" w:rsidRPr="00D431AD">
        <w:t>departments,</w:t>
      </w:r>
      <w:r w:rsidR="00F45D92" w:rsidRPr="00D431AD">
        <w:rPr>
          <w:spacing w:val="-3"/>
        </w:rPr>
        <w:t xml:space="preserve"> </w:t>
      </w:r>
      <w:r w:rsidR="00331910" w:rsidRPr="00D431AD">
        <w:t>and</w:t>
      </w:r>
      <w:r w:rsidR="00331910" w:rsidRPr="00D431AD">
        <w:rPr>
          <w:spacing w:val="-8"/>
        </w:rPr>
        <w:t xml:space="preserve"> </w:t>
      </w:r>
      <w:r w:rsidR="00331910" w:rsidRPr="00D431AD">
        <w:t>each</w:t>
      </w:r>
      <w:r w:rsidR="00331910">
        <w:t xml:space="preserve"> </w:t>
      </w:r>
      <w:r w:rsidR="00C20055">
        <w:t>jurisdiction</w:t>
      </w:r>
      <w:r w:rsidR="00331910" w:rsidRPr="00D431AD">
        <w:rPr>
          <w:spacing w:val="-8"/>
        </w:rPr>
        <w:t xml:space="preserve"> </w:t>
      </w:r>
      <w:r w:rsidR="00331910" w:rsidRPr="00D431AD">
        <w:t>has</w:t>
      </w:r>
      <w:r w:rsidR="00331910" w:rsidRPr="00D431AD">
        <w:rPr>
          <w:spacing w:val="-8"/>
        </w:rPr>
        <w:t xml:space="preserve"> </w:t>
      </w:r>
      <w:r w:rsidR="00331910" w:rsidRPr="00D431AD">
        <w:t>different</w:t>
      </w:r>
      <w:r w:rsidR="00331910" w:rsidRPr="00D431AD">
        <w:rPr>
          <w:spacing w:val="-9"/>
        </w:rPr>
        <w:t xml:space="preserve"> </w:t>
      </w:r>
      <w:r w:rsidR="00331910" w:rsidRPr="00D431AD">
        <w:t>requirements</w:t>
      </w:r>
      <w:r w:rsidR="00331910" w:rsidRPr="00FF3D15">
        <w:t>,</w:t>
      </w:r>
      <w:r w:rsidR="00331910" w:rsidRPr="00FF3D15">
        <w:rPr>
          <w:spacing w:val="-6"/>
        </w:rPr>
        <w:t xml:space="preserve"> </w:t>
      </w:r>
      <w:r w:rsidR="00331910" w:rsidRPr="00FF3D15">
        <w:t>processes</w:t>
      </w:r>
      <w:r w:rsidR="00331910" w:rsidRPr="00FF3D15">
        <w:rPr>
          <w:spacing w:val="-8"/>
        </w:rPr>
        <w:t xml:space="preserve"> </w:t>
      </w:r>
      <w:r w:rsidR="00331910" w:rsidRPr="00FF3D15">
        <w:rPr>
          <w:spacing w:val="-1"/>
        </w:rPr>
        <w:t>and</w:t>
      </w:r>
      <w:r w:rsidR="00331910" w:rsidRPr="00FF3D15">
        <w:rPr>
          <w:spacing w:val="-7"/>
        </w:rPr>
        <w:t xml:space="preserve"> </w:t>
      </w:r>
      <w:r w:rsidR="00331910" w:rsidRPr="00FF3D15">
        <w:t>timeframes</w:t>
      </w:r>
      <w:r w:rsidR="00331910" w:rsidRPr="00FF3D15">
        <w:rPr>
          <w:spacing w:val="-8"/>
        </w:rPr>
        <w:t xml:space="preserve"> </w:t>
      </w:r>
      <w:r w:rsidR="00331910" w:rsidRPr="00FF3D15">
        <w:rPr>
          <w:spacing w:val="-1"/>
        </w:rPr>
        <w:t>for</w:t>
      </w:r>
      <w:r w:rsidR="00331910" w:rsidRPr="00FF3D15">
        <w:rPr>
          <w:spacing w:val="-7"/>
        </w:rPr>
        <w:t xml:space="preserve"> </w:t>
      </w:r>
      <w:r w:rsidR="00331910" w:rsidRPr="00FF3D15">
        <w:t>sharing</w:t>
      </w:r>
      <w:r w:rsidR="00331910" w:rsidRPr="00FF3D15">
        <w:rPr>
          <w:spacing w:val="-7"/>
        </w:rPr>
        <w:t xml:space="preserve"> </w:t>
      </w:r>
      <w:r w:rsidR="00331910" w:rsidRPr="00FF3D15">
        <w:rPr>
          <w:spacing w:val="1"/>
        </w:rPr>
        <w:t>records.</w:t>
      </w:r>
      <w:r w:rsidR="00492D43" w:rsidRPr="00FF3D15">
        <w:rPr>
          <w:spacing w:val="-9"/>
        </w:rPr>
        <w:t xml:space="preserve"> </w:t>
      </w:r>
      <w:r w:rsidR="00492D43" w:rsidRPr="00FF3D15">
        <w:t>Medical</w:t>
      </w:r>
      <w:r w:rsidR="00492D43">
        <w:t xml:space="preserve"> </w:t>
      </w:r>
      <w:r w:rsidR="00492D43" w:rsidRPr="00FF3D15">
        <w:t>records</w:t>
      </w:r>
      <w:r w:rsidR="00492D43" w:rsidRPr="00FF3D15">
        <w:rPr>
          <w:spacing w:val="-5"/>
        </w:rPr>
        <w:t xml:space="preserve"> </w:t>
      </w:r>
      <w:r w:rsidR="00492D43" w:rsidRPr="00FF3D15">
        <w:rPr>
          <w:spacing w:val="-1"/>
        </w:rPr>
        <w:t>may</w:t>
      </w:r>
      <w:r w:rsidR="00492D43" w:rsidRPr="00FF3D15">
        <w:rPr>
          <w:spacing w:val="-5"/>
        </w:rPr>
        <w:t xml:space="preserve"> </w:t>
      </w:r>
      <w:r w:rsidR="00492D43" w:rsidRPr="00FF3D15">
        <w:t>take</w:t>
      </w:r>
      <w:r w:rsidR="00492D43" w:rsidRPr="00FF3D15">
        <w:rPr>
          <w:spacing w:val="-3"/>
        </w:rPr>
        <w:t xml:space="preserve"> </w:t>
      </w:r>
      <w:r w:rsidR="00492D43" w:rsidRPr="00FF3D15">
        <w:t>6</w:t>
      </w:r>
      <w:r w:rsidR="00492D43" w:rsidRPr="00FF3D15">
        <w:rPr>
          <w:spacing w:val="-6"/>
        </w:rPr>
        <w:t xml:space="preserve"> </w:t>
      </w:r>
      <w:r w:rsidR="00492D43" w:rsidRPr="00FF3D15">
        <w:t>weeks</w:t>
      </w:r>
      <w:r w:rsidR="00492D43" w:rsidRPr="00FF3D15">
        <w:rPr>
          <w:spacing w:val="-4"/>
        </w:rPr>
        <w:t xml:space="preserve"> </w:t>
      </w:r>
      <w:r w:rsidR="00492D43" w:rsidRPr="00FF3D15">
        <w:t>to</w:t>
      </w:r>
      <w:r w:rsidR="00492D43" w:rsidRPr="00FF3D15">
        <w:rPr>
          <w:spacing w:val="-6"/>
        </w:rPr>
        <w:t xml:space="preserve"> </w:t>
      </w:r>
      <w:r w:rsidR="00492D43" w:rsidRPr="00FF3D15">
        <w:rPr>
          <w:spacing w:val="-1"/>
        </w:rPr>
        <w:t>be</w:t>
      </w:r>
      <w:r w:rsidR="00492D43" w:rsidRPr="00FF3D15">
        <w:rPr>
          <w:spacing w:val="-5"/>
        </w:rPr>
        <w:t xml:space="preserve"> </w:t>
      </w:r>
      <w:r w:rsidR="00492D43" w:rsidRPr="00FF3D15">
        <w:t>shared,</w:t>
      </w:r>
      <w:r w:rsidR="00492D43" w:rsidRPr="00FF3D15">
        <w:rPr>
          <w:spacing w:val="-3"/>
        </w:rPr>
        <w:t xml:space="preserve"> </w:t>
      </w:r>
      <w:r w:rsidR="007557F6" w:rsidRPr="00FF3D15">
        <w:t>which</w:t>
      </w:r>
      <w:r w:rsidR="007557F6" w:rsidRPr="00FF3D15">
        <w:rPr>
          <w:spacing w:val="-5"/>
        </w:rPr>
        <w:t xml:space="preserve"> </w:t>
      </w:r>
      <w:r w:rsidR="007557F6" w:rsidRPr="00FF3D15">
        <w:rPr>
          <w:spacing w:val="-1"/>
        </w:rPr>
        <w:t>poses</w:t>
      </w:r>
      <w:r w:rsidR="007557F6" w:rsidRPr="00FF3D15">
        <w:rPr>
          <w:spacing w:val="-3"/>
        </w:rPr>
        <w:t xml:space="preserve"> </w:t>
      </w:r>
      <w:r w:rsidR="007557F6" w:rsidRPr="00FF3D15">
        <w:t>a</w:t>
      </w:r>
      <w:r w:rsidR="007557F6" w:rsidRPr="00FF3D15">
        <w:rPr>
          <w:spacing w:val="-4"/>
        </w:rPr>
        <w:t xml:space="preserve"> </w:t>
      </w:r>
      <w:r w:rsidR="007557F6" w:rsidRPr="00FF3D15">
        <w:t>challenge</w:t>
      </w:r>
      <w:r w:rsidR="007557F6" w:rsidRPr="00FF3D15">
        <w:rPr>
          <w:spacing w:val="-3"/>
        </w:rPr>
        <w:t xml:space="preserve"> </w:t>
      </w:r>
      <w:r w:rsidR="007557F6" w:rsidRPr="00FF3D15">
        <w:t>when</w:t>
      </w:r>
      <w:r w:rsidR="007557F6" w:rsidRPr="00FF3D15">
        <w:rPr>
          <w:spacing w:val="-6"/>
        </w:rPr>
        <w:t xml:space="preserve"> </w:t>
      </w:r>
      <w:r w:rsidR="007557F6" w:rsidRPr="00FF3D15">
        <w:t>TWES</w:t>
      </w:r>
      <w:r w:rsidR="007557F6" w:rsidRPr="00FF3D15">
        <w:rPr>
          <w:spacing w:val="-4"/>
        </w:rPr>
        <w:t xml:space="preserve"> </w:t>
      </w:r>
      <w:r w:rsidR="007557F6" w:rsidRPr="00FF3D15">
        <w:rPr>
          <w:spacing w:val="-1"/>
        </w:rPr>
        <w:t>is</w:t>
      </w:r>
      <w:r w:rsidR="007557F6" w:rsidRPr="00FF3D15">
        <w:rPr>
          <w:spacing w:val="-5"/>
        </w:rPr>
        <w:t xml:space="preserve"> </w:t>
      </w:r>
      <w:r w:rsidR="007557F6" w:rsidRPr="00FF3D15">
        <w:t>intended</w:t>
      </w:r>
      <w:r w:rsidR="007557F6" w:rsidRPr="00FF3D15">
        <w:rPr>
          <w:spacing w:val="-4"/>
        </w:rPr>
        <w:t xml:space="preserve"> </w:t>
      </w:r>
      <w:r w:rsidR="007557F6" w:rsidRPr="00FF3D15">
        <w:t>to</w:t>
      </w:r>
      <w:r w:rsidR="007557F6">
        <w:t xml:space="preserve"> </w:t>
      </w:r>
      <w:r w:rsidR="007557F6" w:rsidRPr="00FF3D15">
        <w:t>be</w:t>
      </w:r>
      <w:r w:rsidR="007557F6" w:rsidRPr="00FF3D15">
        <w:rPr>
          <w:spacing w:val="-6"/>
        </w:rPr>
        <w:t xml:space="preserve"> </w:t>
      </w:r>
      <w:r w:rsidR="007557F6" w:rsidRPr="00FF3D15">
        <w:t>delivered</w:t>
      </w:r>
      <w:r w:rsidR="007557F6" w:rsidRPr="00FF3D15">
        <w:rPr>
          <w:spacing w:val="-4"/>
        </w:rPr>
        <w:t xml:space="preserve"> </w:t>
      </w:r>
      <w:r w:rsidR="007557F6" w:rsidRPr="00FF3D15">
        <w:t>over</w:t>
      </w:r>
      <w:r w:rsidR="007557F6" w:rsidRPr="00FF3D15">
        <w:rPr>
          <w:spacing w:val="-6"/>
        </w:rPr>
        <w:t xml:space="preserve"> </w:t>
      </w:r>
      <w:r w:rsidR="007557F6" w:rsidRPr="00FF3D15">
        <w:t>a</w:t>
      </w:r>
      <w:r w:rsidR="007557F6" w:rsidRPr="00FF3D15">
        <w:rPr>
          <w:spacing w:val="-6"/>
        </w:rPr>
        <w:t xml:space="preserve"> </w:t>
      </w:r>
      <w:r w:rsidR="007557F6" w:rsidRPr="00FF3D15">
        <w:t>3-4</w:t>
      </w:r>
      <w:r w:rsidR="007557F6" w:rsidRPr="00FF3D15">
        <w:rPr>
          <w:spacing w:val="-4"/>
        </w:rPr>
        <w:t xml:space="preserve"> </w:t>
      </w:r>
      <w:r w:rsidR="007557F6" w:rsidRPr="00FF3D15">
        <w:t>month</w:t>
      </w:r>
      <w:r w:rsidR="007557F6" w:rsidRPr="00FF3D15">
        <w:rPr>
          <w:spacing w:val="-6"/>
        </w:rPr>
        <w:t xml:space="preserve"> </w:t>
      </w:r>
      <w:r w:rsidR="007557F6" w:rsidRPr="00FF3D15">
        <w:t>period</w:t>
      </w:r>
      <w:r w:rsidR="000A070C">
        <w:t>.</w:t>
      </w:r>
    </w:p>
    <w:p w14:paraId="0B705B6B" w14:textId="2253153C" w:rsidR="00E478D2" w:rsidRDefault="00E478D2" w:rsidP="00305B4B">
      <w:pPr>
        <w:pStyle w:val="Bulletedlist"/>
        <w:numPr>
          <w:ilvl w:val="0"/>
          <w:numId w:val="0"/>
        </w:numPr>
        <w:ind w:right="3"/>
      </w:pPr>
      <w:r>
        <w:rPr>
          <w:noProof/>
          <w:lang w:eastAsia="en-AU"/>
        </w:rPr>
        <mc:AlternateContent>
          <mc:Choice Requires="wps">
            <w:drawing>
              <wp:inline distT="0" distB="0" distL="0" distR="0" wp14:anchorId="0D9BF4C0" wp14:editId="4F5283B5">
                <wp:extent cx="6294146" cy="1119674"/>
                <wp:effectExtent l="0" t="0" r="5080" b="0"/>
                <wp:docPr id="47" name="Rectangle: Rounded Corners 47"/>
                <wp:cNvGraphicFramePr/>
                <a:graphic xmlns:a="http://schemas.openxmlformats.org/drawingml/2006/main">
                  <a:graphicData uri="http://schemas.microsoft.com/office/word/2010/wordprocessingShape">
                    <wps:wsp>
                      <wps:cNvSpPr/>
                      <wps:spPr>
                        <a:xfrm>
                          <a:off x="0" y="0"/>
                          <a:ext cx="6294146" cy="1119674"/>
                        </a:xfrm>
                        <a:prstGeom prst="round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59B839" w14:textId="03668FCA" w:rsidR="000B1DD2" w:rsidRDefault="000B1DD2" w:rsidP="00E06C4B">
                            <w:pPr>
                              <w:pStyle w:val="QuoteNoafterspace"/>
                            </w:pPr>
                            <w:r w:rsidRPr="006D09A1">
                              <w:t xml:space="preserve">We have never been able to get medical records, so we have never been able to get the ESAts done. We’ve tried to resolve the issue with obtaining medical information but are yet to get a response or </w:t>
                            </w:r>
                            <w:r>
                              <w:t>a</w:t>
                            </w:r>
                            <w:r w:rsidRPr="006D09A1">
                              <w:t>cknowledgement to their inquiry</w:t>
                            </w:r>
                            <w:r>
                              <w:t>.</w:t>
                            </w:r>
                          </w:p>
                          <w:p w14:paraId="627E1953" w14:textId="119F3D6B" w:rsidR="000B1DD2" w:rsidRPr="00E478D2" w:rsidRDefault="000B1DD2" w:rsidP="00E06C4B">
                            <w:pPr>
                              <w:pStyle w:val="QuoteNoafterspace"/>
                              <w:jc w:val="right"/>
                              <w:rPr>
                                <w:b/>
                                <w:bCs/>
                              </w:rPr>
                            </w:pPr>
                            <w:r w:rsidRPr="00E478D2">
                              <w:rPr>
                                <w:b/>
                                <w:bCs/>
                              </w:rPr>
                              <w:t>- TWES provider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9BF4C0" id="Rectangle: Rounded Corners 47" o:spid="_x0000_s1032" style="width:495.6pt;height:88.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" fillcolor="#ddf0fa [662]" stroked="f" strokeweight="2pt">
                <v:textbox inset="0,0,0,0">
                  <w:txbxContent>
                    <w:p w14:paraId="0059B839" w14:textId="03668FCA" w:rsidR="000B1DD2" w:rsidRDefault="000B1DD2" w:rsidP="00E06C4B">
                      <w:pPr>
                        <w:pStyle w:val="QuoteNoafterspace"/>
                      </w:pPr>
                      <w:r w:rsidRPr="006D09A1">
                        <w:t xml:space="preserve">We have never been able to get medical records, so we have never been able to get the </w:t>
                      </w:r>
                      <w:proofErr w:type="spellStart"/>
                      <w:r w:rsidRPr="006D09A1">
                        <w:t>ESAts</w:t>
                      </w:r>
                      <w:proofErr w:type="spellEnd"/>
                      <w:r w:rsidRPr="006D09A1">
                        <w:t xml:space="preserve"> done. We’ve tried to resolve the issue with obtaining medical information but are yet to get a response or </w:t>
                      </w:r>
                      <w:r>
                        <w:t>a</w:t>
                      </w:r>
                      <w:r w:rsidRPr="006D09A1">
                        <w:t>cknowledgement to their inquiry</w:t>
                      </w:r>
                      <w:r>
                        <w:t>.</w:t>
                      </w:r>
                    </w:p>
                    <w:p w14:paraId="627E1953" w14:textId="119F3D6B" w:rsidR="000B1DD2" w:rsidRPr="00E478D2" w:rsidRDefault="000B1DD2" w:rsidP="00E06C4B">
                      <w:pPr>
                        <w:pStyle w:val="QuoteNoafterspace"/>
                        <w:jc w:val="right"/>
                        <w:rPr>
                          <w:b/>
                          <w:bCs/>
                        </w:rPr>
                      </w:pPr>
                      <w:r w:rsidRPr="00E478D2">
                        <w:rPr>
                          <w:b/>
                          <w:bCs/>
                        </w:rPr>
                        <w:t>- TWES provider</w:t>
                      </w:r>
                    </w:p>
                  </w:txbxContent>
                </v:textbox>
                <w10:anchorlock/>
              </v:roundrect>
            </w:pict>
          </mc:Fallback>
        </mc:AlternateContent>
      </w:r>
    </w:p>
    <w:p w14:paraId="174975D0" w14:textId="5C4932B9" w:rsidR="00E7684A" w:rsidRPr="00E478D2" w:rsidRDefault="00490E6D" w:rsidP="00305B4B">
      <w:pPr>
        <w:pStyle w:val="Bulletedlist"/>
        <w:ind w:right="3"/>
      </w:pPr>
      <w:r w:rsidRPr="00E478D2">
        <w:t>Schedul</w:t>
      </w:r>
      <w:r w:rsidR="004535D5" w:rsidRPr="00E478D2">
        <w:t>ing</w:t>
      </w:r>
      <w:r w:rsidRPr="00E478D2">
        <w:t xml:space="preserve"> phone calls with Services Australia </w:t>
      </w:r>
      <w:r w:rsidR="004535D5" w:rsidRPr="00E478D2">
        <w:t>to conduct ESAts. O</w:t>
      </w:r>
      <w:r w:rsidRPr="00E478D2">
        <w:t>ne TWES provider,</w:t>
      </w:r>
      <w:r w:rsidR="00BF3B58" w:rsidRPr="00E478D2">
        <w:t xml:space="preserve"> </w:t>
      </w:r>
      <w:r w:rsidR="00380B10" w:rsidRPr="00E478D2">
        <w:t>o</w:t>
      </w:r>
      <w:r w:rsidRPr="00E478D2">
        <w:t xml:space="preserve">ne government stakeholder and one corrections stakeholder reported that </w:t>
      </w:r>
      <w:r w:rsidR="00656DF2" w:rsidRPr="00E478D2">
        <w:t xml:space="preserve">scheduling calls between participants and Services Australia </w:t>
      </w:r>
      <w:r w:rsidRPr="00E478D2">
        <w:t xml:space="preserve">posed significant </w:t>
      </w:r>
      <w:r w:rsidR="00656DF2" w:rsidRPr="00E478D2">
        <w:t>challenges</w:t>
      </w:r>
      <w:r w:rsidRPr="00E478D2">
        <w:t>.</w:t>
      </w:r>
      <w:r w:rsidR="00DE7867" w:rsidRPr="00E478D2">
        <w:t xml:space="preserve"> Common r</w:t>
      </w:r>
      <w:r w:rsidRPr="00E478D2">
        <w:t>easons included</w:t>
      </w:r>
      <w:r w:rsidR="00DE7867" w:rsidRPr="00E478D2">
        <w:t>:</w:t>
      </w:r>
      <w:r w:rsidRPr="00E478D2">
        <w:t xml:space="preserve"> prison lockdowns</w:t>
      </w:r>
      <w:r w:rsidR="00DE7867" w:rsidRPr="00E478D2">
        <w:t xml:space="preserve"> requiring rescheduling and increasing demand on phone-based services </w:t>
      </w:r>
      <w:r w:rsidRPr="00E478D2">
        <w:t xml:space="preserve">once essential services </w:t>
      </w:r>
      <w:r w:rsidR="00094523" w:rsidRPr="00E478D2">
        <w:t>a</w:t>
      </w:r>
      <w:r w:rsidRPr="00E478D2">
        <w:t>re allowed back into prison</w:t>
      </w:r>
      <w:r w:rsidR="00094523" w:rsidRPr="00E478D2">
        <w:t>s</w:t>
      </w:r>
      <w:r w:rsidR="00E7684A" w:rsidRPr="00E478D2">
        <w:t>;</w:t>
      </w:r>
      <w:r w:rsidRPr="00E478D2">
        <w:t xml:space="preserve"> </w:t>
      </w:r>
      <w:r w:rsidR="00E7684A" w:rsidRPr="00E478D2">
        <w:t xml:space="preserve">certain prisons’ security restrictions on </w:t>
      </w:r>
      <w:r w:rsidR="00407AE0" w:rsidRPr="00E478D2">
        <w:t xml:space="preserve">receiving external calls including from Services Australia, or letting guards listen in to calls; </w:t>
      </w:r>
      <w:r w:rsidR="00066647" w:rsidRPr="00E478D2">
        <w:t>participant</w:t>
      </w:r>
      <w:r w:rsidR="00407AE0" w:rsidRPr="00E478D2">
        <w:t xml:space="preserve">s not </w:t>
      </w:r>
      <w:r w:rsidR="009B2DCA" w:rsidRPr="00E478D2">
        <w:t>turning up; and the time zone difference between WA and the east coast</w:t>
      </w:r>
      <w:r w:rsidR="00C109D8" w:rsidRPr="00E478D2">
        <w:t xml:space="preserve"> (reported by WA TWES </w:t>
      </w:r>
      <w:r w:rsidR="00D61836" w:rsidRPr="00E478D2">
        <w:t>providers</w:t>
      </w:r>
      <w:r w:rsidR="00C109D8" w:rsidRPr="00E478D2">
        <w:t>)</w:t>
      </w:r>
      <w:r w:rsidR="009B2DCA" w:rsidRPr="00E478D2">
        <w:t>.</w:t>
      </w:r>
    </w:p>
    <w:p w14:paraId="5B13CDE8" w14:textId="4A4B4AED" w:rsidR="001A7C28" w:rsidRDefault="001A7C28" w:rsidP="00305B4B">
      <w:pPr>
        <w:pStyle w:val="Bulletedlist"/>
        <w:ind w:right="3"/>
      </w:pPr>
      <w:r w:rsidRPr="00E478D2">
        <w:t>COVID-19</w:t>
      </w:r>
      <w:r w:rsidR="00D955A0" w:rsidRPr="00E478D2">
        <w:t xml:space="preserve">. Two TWES </w:t>
      </w:r>
      <w:r w:rsidR="00D61836" w:rsidRPr="00E478D2">
        <w:t xml:space="preserve">providers </w:t>
      </w:r>
      <w:r w:rsidR="00D955A0" w:rsidRPr="00E478D2">
        <w:t xml:space="preserve">stated that COVID-19 also made it difficult to conduct ESAts </w:t>
      </w:r>
      <w:r w:rsidR="00570111" w:rsidRPr="00E478D2">
        <w:t xml:space="preserve">due to the impact on access to prisons and </w:t>
      </w:r>
      <w:r w:rsidR="00066647" w:rsidRPr="00E478D2">
        <w:t>participant</w:t>
      </w:r>
      <w:r w:rsidR="00570111" w:rsidRPr="00E478D2">
        <w:t>s.</w:t>
      </w:r>
    </w:p>
    <w:p w14:paraId="54A9AE9C" w14:textId="7E32DD50" w:rsidR="005768A5" w:rsidRDefault="006E6A1C" w:rsidP="00305B4B">
      <w:pPr>
        <w:pStyle w:val="BodyText"/>
        <w:ind w:right="3"/>
      </w:pPr>
      <w:r>
        <w:rPr>
          <w:noProof/>
        </w:rPr>
        <mc:AlternateContent>
          <mc:Choice Requires="wps">
            <w:drawing>
              <wp:inline distT="0" distB="0" distL="0" distR="0" wp14:anchorId="6AAB365D" wp14:editId="1085775B">
                <wp:extent cx="6294146" cy="2006081"/>
                <wp:effectExtent l="0" t="0" r="5080" b="635"/>
                <wp:docPr id="48" name="Rectangle: Rounded Corners 48"/>
                <wp:cNvGraphicFramePr/>
                <a:graphic xmlns:a="http://schemas.openxmlformats.org/drawingml/2006/main">
                  <a:graphicData uri="http://schemas.microsoft.com/office/word/2010/wordprocessingShape">
                    <wps:wsp>
                      <wps:cNvSpPr/>
                      <wps:spPr>
                        <a:xfrm>
                          <a:off x="0" y="0"/>
                          <a:ext cx="6294146" cy="2006081"/>
                        </a:xfrm>
                        <a:prstGeom prst="round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B1D55" w14:textId="545FF0E2" w:rsidR="000B1DD2" w:rsidRPr="00E478D2" w:rsidRDefault="000B1DD2" w:rsidP="00E06C4B">
                            <w:pPr>
                              <w:pStyle w:val="QuoteNoafterspace"/>
                            </w:pPr>
                            <w:r w:rsidRPr="00E478D2">
                              <w:t>Booking rooms for ESAts has been in reality quite circuitous and labour intensive due to the incompatibility between the processes to book an ESAt with Services Australia, and prisons’ own rules and regulations: prisons require the exact time, name and details of the person calling in to book a phone call, while Services Australia uses  a phone queue and wouldn’t at first guarantee who would be calling the participant. There was a lack of understanding and awareness from Services Australia that their model would need to be adapted to work within the prison's existing restrictions. This has resulted in a huge delay on top of COVID.</w:t>
                            </w:r>
                          </w:p>
                          <w:p w14:paraId="42CF494F" w14:textId="1D811156" w:rsidR="000B1DD2" w:rsidRPr="00E478D2" w:rsidRDefault="000B1DD2" w:rsidP="00E06C4B">
                            <w:pPr>
                              <w:pStyle w:val="QuoteNoafterspace"/>
                              <w:jc w:val="right"/>
                              <w:rPr>
                                <w:b/>
                                <w:bCs/>
                              </w:rPr>
                            </w:pPr>
                            <w:r w:rsidRPr="00E478D2">
                              <w:rPr>
                                <w:b/>
                                <w:bCs/>
                              </w:rPr>
                              <w:t>- Corrections stakeholder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AB365D" id="Rectangle: Rounded Corners 48" o:spid="_x0000_s1033" style="width:495.6pt;height:157.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" fillcolor="#ddf0fa [662]" stroked="f" strokeweight="2pt">
                <v:textbox inset="0,0,0,0">
                  <w:txbxContent>
                    <w:p w14:paraId="175B1D55" w14:textId="545FF0E2" w:rsidR="000B1DD2" w:rsidRPr="00E478D2" w:rsidRDefault="000B1DD2" w:rsidP="00E06C4B">
                      <w:pPr>
                        <w:pStyle w:val="QuoteNoafterspace"/>
                      </w:pPr>
                      <w:r w:rsidRPr="00E478D2">
                        <w:t xml:space="preserve">Booking rooms for </w:t>
                      </w:r>
                      <w:proofErr w:type="spellStart"/>
                      <w:r w:rsidRPr="00E478D2">
                        <w:t>ESAts</w:t>
                      </w:r>
                      <w:proofErr w:type="spellEnd"/>
                      <w:r w:rsidRPr="00E478D2">
                        <w:t xml:space="preserve"> has been in reality quite circuitous and labour intensive due to the incompatibility between the processes to book an </w:t>
                      </w:r>
                      <w:proofErr w:type="spellStart"/>
                      <w:r w:rsidRPr="00E478D2">
                        <w:t>ESAt</w:t>
                      </w:r>
                      <w:proofErr w:type="spellEnd"/>
                      <w:r w:rsidRPr="00E478D2">
                        <w:t xml:space="preserve"> with Services Australia, and prisons’ own rules and regulations: prisons require the exact time, name and details of the person calling in to book a phone call, while Services Australia </w:t>
                      </w:r>
                      <w:proofErr w:type="gramStart"/>
                      <w:r w:rsidRPr="00E478D2">
                        <w:t>uses  a</w:t>
                      </w:r>
                      <w:proofErr w:type="gramEnd"/>
                      <w:r w:rsidRPr="00E478D2">
                        <w:t xml:space="preserve"> phone queue and wouldn’t at first guarantee who would be calling the participant. There was a lack of understanding and awareness from Services Australia that their model would need to be adapted to work within the prison's existing restrictions. This has resulted in a huge delay on top of COVID.</w:t>
                      </w:r>
                    </w:p>
                    <w:p w14:paraId="42CF494F" w14:textId="1D811156" w:rsidR="000B1DD2" w:rsidRPr="00E478D2" w:rsidRDefault="000B1DD2" w:rsidP="00E06C4B">
                      <w:pPr>
                        <w:pStyle w:val="QuoteNoafterspace"/>
                        <w:jc w:val="right"/>
                        <w:rPr>
                          <w:b/>
                          <w:bCs/>
                        </w:rPr>
                      </w:pPr>
                      <w:r w:rsidRPr="00E478D2">
                        <w:rPr>
                          <w:b/>
                          <w:bCs/>
                        </w:rPr>
                        <w:t>- Corrections stakeholder</w:t>
                      </w:r>
                    </w:p>
                  </w:txbxContent>
                </v:textbox>
                <w10:anchorlock/>
              </v:roundrect>
            </w:pict>
          </mc:Fallback>
        </mc:AlternateContent>
      </w:r>
    </w:p>
    <w:p w14:paraId="028C9D0F" w14:textId="01C77133" w:rsidR="00490E6D" w:rsidRPr="001A175C" w:rsidRDefault="0096637F" w:rsidP="00305B4B">
      <w:pPr>
        <w:pStyle w:val="BodyText"/>
        <w:ind w:right="3"/>
      </w:pPr>
      <w:r>
        <w:br/>
      </w:r>
      <w:r w:rsidR="00490E6D" w:rsidRPr="001A175C">
        <w:t>DESE and Services Australia representatives noted</w:t>
      </w:r>
      <w:r w:rsidR="00DD5021" w:rsidRPr="001A175C">
        <w:t xml:space="preserve"> in interviews that</w:t>
      </w:r>
      <w:r w:rsidR="00490E6D" w:rsidRPr="001A175C">
        <w:t xml:space="preserve"> several </w:t>
      </w:r>
      <w:r w:rsidR="00566B77" w:rsidRPr="001A175C">
        <w:t xml:space="preserve">improvements </w:t>
      </w:r>
      <w:r w:rsidR="000525A4" w:rsidRPr="001A175C">
        <w:t>are being</w:t>
      </w:r>
      <w:r w:rsidR="00490E6D" w:rsidRPr="001A175C">
        <w:t xml:space="preserve"> made to </w:t>
      </w:r>
      <w:r w:rsidR="00566B77" w:rsidRPr="001A175C">
        <w:t xml:space="preserve">the ESAt process to </w:t>
      </w:r>
      <w:r w:rsidR="00490E6D" w:rsidRPr="001A175C">
        <w:t>respond to these challenges</w:t>
      </w:r>
      <w:r w:rsidR="00566B77" w:rsidRPr="001A175C">
        <w:t>:</w:t>
      </w:r>
    </w:p>
    <w:p w14:paraId="6771EAD7" w14:textId="594ADBFC" w:rsidR="00490E6D" w:rsidRPr="001A175C" w:rsidRDefault="0022092C" w:rsidP="00305B4B">
      <w:pPr>
        <w:pStyle w:val="Bulletedlist"/>
        <w:ind w:right="3"/>
      </w:pPr>
      <w:r w:rsidRPr="001A175C">
        <w:t xml:space="preserve">Developing a process to conduct </w:t>
      </w:r>
      <w:r w:rsidR="00490E6D" w:rsidRPr="001A175C">
        <w:t>‘file-based</w:t>
      </w:r>
      <w:r w:rsidRPr="001A175C">
        <w:t xml:space="preserve"> assessments’</w:t>
      </w:r>
      <w:r w:rsidR="0068102F" w:rsidRPr="001A175C">
        <w:t xml:space="preserve"> so that </w:t>
      </w:r>
      <w:r w:rsidR="00490E6D" w:rsidRPr="001A175C">
        <w:t xml:space="preserve">ESAts </w:t>
      </w:r>
      <w:r w:rsidR="0068102F" w:rsidRPr="001A175C">
        <w:t xml:space="preserve">can still be completed for participants when a scheduled phone call with </w:t>
      </w:r>
      <w:r w:rsidR="00490E6D" w:rsidRPr="001A175C">
        <w:t>Services Australia staff is not possible</w:t>
      </w:r>
      <w:r w:rsidR="000A070C" w:rsidRPr="001A175C">
        <w:t>.</w:t>
      </w:r>
    </w:p>
    <w:p w14:paraId="33F59E2D" w14:textId="35F3DADF" w:rsidR="0068102F" w:rsidRPr="001A175C" w:rsidRDefault="00F0754E" w:rsidP="00305B4B">
      <w:pPr>
        <w:pStyle w:val="Bulletedlist"/>
        <w:ind w:right="3"/>
      </w:pPr>
      <w:r w:rsidRPr="001A175C">
        <w:t>Clarifying that w</w:t>
      </w:r>
      <w:r w:rsidR="00314767" w:rsidRPr="001A175C">
        <w:t xml:space="preserve">hile TWES </w:t>
      </w:r>
      <w:r w:rsidR="00D61836" w:rsidRPr="001A175C">
        <w:t xml:space="preserve">providers </w:t>
      </w:r>
      <w:r w:rsidR="00314767" w:rsidRPr="001A175C">
        <w:t xml:space="preserve">must request medical records from </w:t>
      </w:r>
      <w:r w:rsidR="00467A51" w:rsidRPr="001A175C">
        <w:t>state</w:t>
      </w:r>
      <w:r w:rsidR="00314767" w:rsidRPr="001A175C">
        <w:t>/</w:t>
      </w:r>
      <w:r w:rsidR="00467A51" w:rsidRPr="001A175C">
        <w:t>territory</w:t>
      </w:r>
      <w:r w:rsidR="00314767" w:rsidRPr="001A175C">
        <w:t xml:space="preserve"> health departments </w:t>
      </w:r>
      <w:r w:rsidR="00171C03" w:rsidRPr="001A175C">
        <w:t xml:space="preserve">and send to Services Australia when received, </w:t>
      </w:r>
      <w:r w:rsidR="008B1D8C" w:rsidRPr="001A175C">
        <w:t>if they are not received within six weeks, the ESAt should be held without this information and</w:t>
      </w:r>
      <w:r w:rsidR="00171C03" w:rsidRPr="001A175C">
        <w:t xml:space="preserve"> it is </w:t>
      </w:r>
      <w:r w:rsidR="00DF6B11" w:rsidRPr="001A175C">
        <w:t>permissible</w:t>
      </w:r>
      <w:r w:rsidR="00171C03" w:rsidRPr="001A175C">
        <w:t xml:space="preserve"> that these records are shared</w:t>
      </w:r>
      <w:r w:rsidR="00B72BD4" w:rsidRPr="001A175C">
        <w:t xml:space="preserve"> </w:t>
      </w:r>
      <w:r w:rsidR="008B1D8C" w:rsidRPr="001A175C">
        <w:t>with Services Australia</w:t>
      </w:r>
      <w:r w:rsidR="00171C03" w:rsidRPr="001A175C">
        <w:t xml:space="preserve"> </w:t>
      </w:r>
      <w:r w:rsidR="00DF6B11" w:rsidRPr="001A175C">
        <w:t>after th</w:t>
      </w:r>
      <w:r w:rsidR="001E1C7F" w:rsidRPr="001A175C">
        <w:t>e</w:t>
      </w:r>
      <w:r w:rsidR="00DF6B11" w:rsidRPr="001A175C">
        <w:t xml:space="preserve"> ESAt is conducted</w:t>
      </w:r>
      <w:r w:rsidR="000A070C" w:rsidRPr="001A175C">
        <w:t>.</w:t>
      </w:r>
    </w:p>
    <w:p w14:paraId="156E1AE4" w14:textId="19E9DFC4" w:rsidR="00490E6D" w:rsidRPr="001A175C" w:rsidRDefault="00490E6D" w:rsidP="00305B4B">
      <w:pPr>
        <w:pStyle w:val="Bulletedlist"/>
        <w:ind w:right="3"/>
      </w:pPr>
      <w:r w:rsidRPr="001A175C">
        <w:t xml:space="preserve">Allocating dedicated Services Australia staff to conducting ESAts with TWES </w:t>
      </w:r>
      <w:r w:rsidR="00DB7649" w:rsidRPr="001A175C">
        <w:t>participant</w:t>
      </w:r>
      <w:r w:rsidRPr="001A175C">
        <w:t xml:space="preserve">s, who are more experienced, have received </w:t>
      </w:r>
      <w:r w:rsidR="00396BD4" w:rsidRPr="001A175C">
        <w:t xml:space="preserve">cultural competency </w:t>
      </w:r>
      <w:r w:rsidRPr="001A175C">
        <w:t>training and have a better</w:t>
      </w:r>
      <w:r w:rsidR="00C64661" w:rsidRPr="001A175C">
        <w:t xml:space="preserve"> </w:t>
      </w:r>
      <w:r w:rsidRPr="001A175C">
        <w:t>understanding of the context, language barriers, and pathways post-release for Aboriginal and Torres Strait Islander prisoners.</w:t>
      </w:r>
    </w:p>
    <w:p w14:paraId="3C0A594C" w14:textId="7BB1811F" w:rsidR="00490E6D" w:rsidRPr="001A175C" w:rsidRDefault="00490E6D" w:rsidP="00305B4B">
      <w:pPr>
        <w:pStyle w:val="BodyText"/>
        <w:ind w:right="3"/>
      </w:pPr>
      <w:r w:rsidRPr="001A175C">
        <w:t xml:space="preserve">These are positive changes </w:t>
      </w:r>
      <w:r w:rsidR="000525A4" w:rsidRPr="001A175C">
        <w:t>being rolled out from July 2021</w:t>
      </w:r>
      <w:r w:rsidRPr="001A175C">
        <w:t xml:space="preserve"> to simplify and improve the ESAt process. Interviews with TWES</w:t>
      </w:r>
      <w:r w:rsidR="00A13FFA" w:rsidRPr="001A175C">
        <w:t xml:space="preserve"> providers </w:t>
      </w:r>
      <w:r w:rsidR="0083006D" w:rsidRPr="001A175C">
        <w:t xml:space="preserve">indicate that some providers </w:t>
      </w:r>
      <w:r w:rsidR="006F1755" w:rsidRPr="001A175C">
        <w:t xml:space="preserve">are unaware of these changes </w:t>
      </w:r>
      <w:r w:rsidR="007E066C" w:rsidRPr="001A175C">
        <w:t xml:space="preserve">and </w:t>
      </w:r>
      <w:r w:rsidR="00314CEC" w:rsidRPr="001A175C">
        <w:t xml:space="preserve">understanding </w:t>
      </w:r>
      <w:r w:rsidR="00314CEC" w:rsidRPr="001A175C">
        <w:lastRenderedPageBreak/>
        <w:t>about the process remains inconsistent</w:t>
      </w:r>
      <w:r w:rsidR="006F1755" w:rsidRPr="001A175C">
        <w:t xml:space="preserve">. </w:t>
      </w:r>
      <w:r w:rsidR="00517BC0" w:rsidRPr="001A175C">
        <w:t>Improved</w:t>
      </w:r>
      <w:r w:rsidR="00DD4530" w:rsidRPr="001A175C">
        <w:t xml:space="preserve"> </w:t>
      </w:r>
      <w:r w:rsidRPr="001A175C">
        <w:t xml:space="preserve">communication </w:t>
      </w:r>
      <w:r w:rsidR="00DD4530" w:rsidRPr="001A175C">
        <w:t xml:space="preserve">about the ESAt process </w:t>
      </w:r>
      <w:r w:rsidRPr="001A175C">
        <w:t>could help</w:t>
      </w:r>
      <w:r w:rsidR="00DD4530" w:rsidRPr="001A175C">
        <w:t xml:space="preserve"> address</w:t>
      </w:r>
      <w:r w:rsidR="00380B10" w:rsidRPr="001A175C">
        <w:t xml:space="preserve"> mis</w:t>
      </w:r>
      <w:r w:rsidRPr="001A175C">
        <w:t>understanding</w:t>
      </w:r>
      <w:r w:rsidR="00C761EE" w:rsidRPr="001A175C">
        <w:t>s</w:t>
      </w:r>
      <w:r w:rsidRPr="001A175C">
        <w:t xml:space="preserve"> and increase the number of ESAts completed.</w:t>
      </w:r>
    </w:p>
    <w:p w14:paraId="1D1368E2" w14:textId="20C710F9" w:rsidR="00194420" w:rsidRPr="001A175C" w:rsidRDefault="00C838E6" w:rsidP="00305B4B">
      <w:pPr>
        <w:pStyle w:val="Heading3"/>
        <w:ind w:right="3"/>
      </w:pPr>
      <w:bookmarkStart w:id="91" w:name="_Ref72845471"/>
      <w:r w:rsidRPr="001A175C">
        <w:t xml:space="preserve">How many TWES participants have </w:t>
      </w:r>
      <w:r w:rsidR="00194420" w:rsidRPr="001A175C">
        <w:t>Approved Transition Plans</w:t>
      </w:r>
      <w:r w:rsidR="00D5391F" w:rsidRPr="001A175C">
        <w:t xml:space="preserve"> and</w:t>
      </w:r>
      <w:r w:rsidR="00194420" w:rsidRPr="001A175C">
        <w:t xml:space="preserve"> Facilitated Transfer</w:t>
      </w:r>
      <w:r w:rsidR="00D5391F" w:rsidRPr="001A175C">
        <w:t xml:space="preserve"> </w:t>
      </w:r>
      <w:r w:rsidRPr="001A175C">
        <w:t>M</w:t>
      </w:r>
      <w:r w:rsidR="00D5391F" w:rsidRPr="001A175C">
        <w:t>eetings</w:t>
      </w:r>
      <w:r w:rsidRPr="001A175C">
        <w:t>?</w:t>
      </w:r>
      <w:bookmarkEnd w:id="91"/>
      <w:r w:rsidRPr="001A175C">
        <w:t xml:space="preserve"> </w:t>
      </w:r>
    </w:p>
    <w:p w14:paraId="0CAB73F5" w14:textId="6F653796" w:rsidR="00A217D9" w:rsidRPr="00E478D2" w:rsidRDefault="00961A3F" w:rsidP="00305B4B">
      <w:pPr>
        <w:pStyle w:val="BodyText"/>
        <w:ind w:right="3"/>
      </w:pPr>
      <w:r w:rsidRPr="00E478D2">
        <w:t xml:space="preserve">After the JSCI and ESAt are completed TWES </w:t>
      </w:r>
      <w:r w:rsidR="00D61836" w:rsidRPr="00E478D2">
        <w:t xml:space="preserve">providers </w:t>
      </w:r>
      <w:r w:rsidRPr="00E478D2">
        <w:t xml:space="preserve">complete an Approved Transition Plan for participants. A Transition Plan can be approved once all TWES program components have been completed. Where a Facilitated Transfer Meeting is not possible, Transition Plans can still be approved where the Transition Plan has been prepared with the participant. </w:t>
      </w:r>
      <w:r w:rsidR="001479B5" w:rsidRPr="00E478D2">
        <w:t>P</w:t>
      </w:r>
      <w:r w:rsidR="00467A51" w:rsidRPr="00E478D2">
        <w:t>rovider</w:t>
      </w:r>
      <w:r w:rsidRPr="00E478D2">
        <w:t>s receive a payment for each Approved Transition Plan (see</w:t>
      </w:r>
      <w:r w:rsidR="007F468E" w:rsidRPr="00E478D2">
        <w:t xml:space="preserve"> page </w:t>
      </w:r>
      <w:r w:rsidR="007F468E" w:rsidRPr="00E478D2">
        <w:fldChar w:fldCharType="begin"/>
      </w:r>
      <w:r w:rsidR="007F468E" w:rsidRPr="00E478D2">
        <w:instrText xml:space="preserve"> PAGEREF _Ref69251141 \h </w:instrText>
      </w:r>
      <w:r w:rsidR="007F468E" w:rsidRPr="00E478D2">
        <w:fldChar w:fldCharType="separate"/>
      </w:r>
      <w:r w:rsidR="00E93A98" w:rsidRPr="00E478D2">
        <w:t>47</w:t>
      </w:r>
      <w:r w:rsidR="007F468E" w:rsidRPr="00E478D2">
        <w:fldChar w:fldCharType="end"/>
      </w:r>
      <w:r w:rsidR="007F468E" w:rsidRPr="00E478D2">
        <w:t xml:space="preserve"> </w:t>
      </w:r>
      <w:r w:rsidR="00503A2C" w:rsidRPr="00E478D2">
        <w:t xml:space="preserve">for </w:t>
      </w:r>
      <w:r w:rsidR="00D14DB3" w:rsidRPr="00E478D2">
        <w:t>further details on funding</w:t>
      </w:r>
      <w:r w:rsidR="00503A2C" w:rsidRPr="00E478D2">
        <w:t>)</w:t>
      </w:r>
      <w:r w:rsidR="00A217D9" w:rsidRPr="00E478D2">
        <w:t>.</w:t>
      </w:r>
    </w:p>
    <w:p w14:paraId="288C26EB" w14:textId="2EFE698A" w:rsidR="00961A3F" w:rsidRPr="00E478D2" w:rsidRDefault="001479B5" w:rsidP="00305B4B">
      <w:pPr>
        <w:pStyle w:val="BodyText"/>
        <w:ind w:right="3"/>
      </w:pPr>
      <w:bookmarkStart w:id="92" w:name="bookmark21"/>
      <w:bookmarkEnd w:id="92"/>
      <w:r w:rsidRPr="00E478D2">
        <w:t>P</w:t>
      </w:r>
      <w:r w:rsidR="00467A51" w:rsidRPr="00E478D2">
        <w:t>rovider</w:t>
      </w:r>
      <w:r w:rsidR="00E8613D" w:rsidRPr="00E478D2">
        <w:t>s</w:t>
      </w:r>
      <w:r w:rsidR="00716C01" w:rsidRPr="00E478D2">
        <w:t xml:space="preserve"> arrange </w:t>
      </w:r>
      <w:r w:rsidR="00961A3F" w:rsidRPr="00E478D2">
        <w:t xml:space="preserve">a Facilitated Transfer </w:t>
      </w:r>
      <w:r w:rsidR="000F1E2F" w:rsidRPr="00E478D2">
        <w:t>M</w:t>
      </w:r>
      <w:r w:rsidR="00961A3F" w:rsidRPr="00E478D2">
        <w:t>eeting with a</w:t>
      </w:r>
      <w:r w:rsidR="00716C01" w:rsidRPr="00E478D2">
        <w:t>n</w:t>
      </w:r>
      <w:r w:rsidR="00961A3F" w:rsidRPr="00E478D2">
        <w:t xml:space="preserve"> employment services provider to introduce the participant to the post-release provider, discuss their barriers to employment and available services and opportunities, discuss the participant’s Transition Plan, and confirm the first post-release meeting between the participants and post-release provider.</w:t>
      </w:r>
    </w:p>
    <w:p w14:paraId="416BE2DD" w14:textId="2BADB40B" w:rsidR="00961A3F" w:rsidRPr="00E478D2" w:rsidRDefault="008C0436" w:rsidP="00305B4B">
      <w:pPr>
        <w:pStyle w:val="BodyText"/>
        <w:ind w:right="3"/>
      </w:pPr>
      <w:r w:rsidRPr="00E478D2">
        <w:rPr>
          <w:b/>
          <w:bCs/>
        </w:rPr>
        <w:fldChar w:fldCharType="begin"/>
      </w:r>
      <w:r w:rsidRPr="00E478D2">
        <w:rPr>
          <w:b/>
          <w:bCs/>
        </w:rPr>
        <w:instrText xml:space="preserve"> REF _Ref71659208 \h  \* MERGEFORMAT </w:instrText>
      </w:r>
      <w:r w:rsidRPr="00E478D2">
        <w:rPr>
          <w:b/>
          <w:bCs/>
        </w:rPr>
      </w:r>
      <w:r w:rsidRPr="00E478D2">
        <w:rPr>
          <w:b/>
          <w:bCs/>
        </w:rPr>
        <w:fldChar w:fldCharType="separate"/>
      </w:r>
      <w:r w:rsidR="00E93A98" w:rsidRPr="00E478D2">
        <w:rPr>
          <w:b/>
          <w:bCs/>
        </w:rPr>
        <w:t>Table 11</w:t>
      </w:r>
      <w:r w:rsidRPr="00E478D2">
        <w:rPr>
          <w:b/>
          <w:bCs/>
        </w:rPr>
        <w:fldChar w:fldCharType="end"/>
      </w:r>
      <w:r w:rsidRPr="00E478D2">
        <w:t xml:space="preserve"> shows </w:t>
      </w:r>
      <w:r w:rsidR="00961A3F" w:rsidRPr="00E478D2">
        <w:t>that 1,815 TWES participants had completed a</w:t>
      </w:r>
      <w:r w:rsidR="00FA342C" w:rsidRPr="00E478D2">
        <w:t>n</w:t>
      </w:r>
      <w:r w:rsidR="00961A3F" w:rsidRPr="00E478D2">
        <w:t xml:space="preserve"> Approved Transition Plan</w:t>
      </w:r>
      <w:r w:rsidR="004225F9" w:rsidRPr="00E478D2">
        <w:rPr>
          <w:rStyle w:val="CommentReference"/>
          <w:rFonts w:cs="Arial"/>
          <w:sz w:val="20"/>
          <w:szCs w:val="22"/>
        </w:rPr>
        <w:t xml:space="preserve"> </w:t>
      </w:r>
      <w:r w:rsidRPr="00E478D2">
        <w:rPr>
          <w:rStyle w:val="CommentReference"/>
          <w:rFonts w:cs="Arial"/>
          <w:sz w:val="20"/>
          <w:szCs w:val="22"/>
        </w:rPr>
        <w:t>(</w:t>
      </w:r>
      <w:r w:rsidR="00961A3F" w:rsidRPr="00E478D2">
        <w:t xml:space="preserve">40% of </w:t>
      </w:r>
      <w:r w:rsidR="00FB517E" w:rsidRPr="00E478D2">
        <w:t>all TWES participants</w:t>
      </w:r>
      <w:r w:rsidRPr="00E478D2">
        <w:t>)</w:t>
      </w:r>
      <w:r w:rsidR="00961A3F" w:rsidRPr="00E478D2">
        <w:t xml:space="preserve">. Of those with an Approved Transition Plan, 575 (13% of </w:t>
      </w:r>
      <w:r w:rsidR="00FB517E" w:rsidRPr="00E478D2">
        <w:t>all TWES participants</w:t>
      </w:r>
      <w:r w:rsidR="00961A3F" w:rsidRPr="00E478D2">
        <w:t xml:space="preserve">) had a </w:t>
      </w:r>
      <w:r w:rsidR="00FA4C85" w:rsidRPr="00E478D2">
        <w:t>Facilitated Transfer Meeting</w:t>
      </w:r>
      <w:r w:rsidR="00961A3F" w:rsidRPr="00E478D2">
        <w:t xml:space="preserve"> to a post-release provider or alternative employment service such as DES. </w:t>
      </w:r>
    </w:p>
    <w:p w14:paraId="5593EAA6" w14:textId="7CA4CCAF" w:rsidR="00961A3F" w:rsidRPr="00E478D2" w:rsidRDefault="00961A3F" w:rsidP="00305B4B">
      <w:pPr>
        <w:pStyle w:val="BodyText"/>
        <w:ind w:right="3"/>
      </w:pPr>
      <w:r w:rsidRPr="00E478D2">
        <w:t>Remote</w:t>
      </w:r>
      <w:r w:rsidR="004A2F11" w:rsidRPr="00E478D2">
        <w:t xml:space="preserve"> sites</w:t>
      </w:r>
      <w:r w:rsidRPr="00E478D2">
        <w:t xml:space="preserve"> had a higher rate of participants with an Approved Transition Plan (50% of </w:t>
      </w:r>
      <w:r w:rsidR="009B41F8" w:rsidRPr="00E478D2">
        <w:t>participants</w:t>
      </w:r>
      <w:r w:rsidRPr="00E478D2">
        <w:t xml:space="preserve">) as compared to non-remote (39% of </w:t>
      </w:r>
      <w:r w:rsidR="009B41F8" w:rsidRPr="00E478D2">
        <w:t>participants</w:t>
      </w:r>
      <w:r w:rsidRPr="00E478D2">
        <w:t>).</w:t>
      </w:r>
    </w:p>
    <w:p w14:paraId="7830F78D" w14:textId="7D1F1243" w:rsidR="00961A3F" w:rsidRDefault="00961A3F" w:rsidP="00305B4B">
      <w:pPr>
        <w:pStyle w:val="Caption"/>
        <w:ind w:right="3"/>
      </w:pPr>
      <w:bookmarkStart w:id="93" w:name="_Ref71659208"/>
      <w:r w:rsidRPr="00FD4811">
        <w:t xml:space="preserve">Table </w:t>
      </w:r>
      <w:r w:rsidRPr="00FD4811">
        <w:fldChar w:fldCharType="begin"/>
      </w:r>
      <w:r w:rsidRPr="00FD4811">
        <w:instrText xml:space="preserve"> SEQ Table \* ARABIC </w:instrText>
      </w:r>
      <w:r w:rsidRPr="00FD4811">
        <w:fldChar w:fldCharType="separate"/>
      </w:r>
      <w:r w:rsidR="00E93A98">
        <w:rPr>
          <w:noProof/>
        </w:rPr>
        <w:t>11</w:t>
      </w:r>
      <w:r w:rsidRPr="00FD4811">
        <w:fldChar w:fldCharType="end"/>
      </w:r>
      <w:bookmarkEnd w:id="93"/>
      <w:r w:rsidRPr="00FD4811">
        <w:t>: TWES participants with an Approved Transition Plan and Facilitated Transfer (Non-remote vs Remote</w:t>
      </w:r>
      <w:r w:rsidR="003E7974">
        <w:t>)</w:t>
      </w:r>
      <w:r w:rsidR="005E3CF9">
        <w:rPr>
          <w:rStyle w:val="FootnoteReference"/>
        </w:rPr>
        <w:footnoteReference w:id="24"/>
      </w:r>
    </w:p>
    <w:tbl>
      <w:tblPr>
        <w:tblW w:w="0" w:type="auto"/>
        <w:tblInd w:w="37" w:type="dxa"/>
        <w:tblBorders>
          <w:top w:val="single" w:sz="4" w:space="0" w:color="B1B3AA"/>
          <w:left w:val="single" w:sz="4" w:space="0" w:color="B1B3AA"/>
          <w:bottom w:val="single" w:sz="4" w:space="0" w:color="B1B3AA"/>
          <w:right w:val="single" w:sz="4" w:space="0" w:color="B1B3AA"/>
          <w:insideH w:val="single" w:sz="4" w:space="0" w:color="B1B3AA"/>
          <w:insideV w:val="single" w:sz="4" w:space="0" w:color="B1B3AA"/>
        </w:tblBorders>
        <w:tblLayout w:type="fixed"/>
        <w:tblCellMar>
          <w:left w:w="0" w:type="dxa"/>
          <w:right w:w="0" w:type="dxa"/>
        </w:tblCellMar>
        <w:tblLook w:val="0000" w:firstRow="0" w:lastRow="0" w:firstColumn="0" w:lastColumn="0" w:noHBand="0" w:noVBand="0"/>
        <w:tblCaption w:val="TWES participants with an Approved Transition Plan and Facilitated Transfer (non-remote vs remote)"/>
        <w:tblDescription w:val="A table of the number of participants with an Approved Transition Plan where 40% of participants had completed, and that 13% of all participants had a Facilitated Transfer Meeting. Remote sites had a higher rate of participants with an Approved Transition Plan than non-remote. "/>
      </w:tblPr>
      <w:tblGrid>
        <w:gridCol w:w="1582"/>
        <w:gridCol w:w="2199"/>
        <w:gridCol w:w="2981"/>
        <w:gridCol w:w="2835"/>
      </w:tblGrid>
      <w:tr w:rsidR="009D39E7" w:rsidRPr="006B0D0D" w14:paraId="0C35A44E" w14:textId="77777777" w:rsidTr="000710CA">
        <w:trPr>
          <w:cantSplit/>
          <w:trHeight w:val="284"/>
        </w:trPr>
        <w:tc>
          <w:tcPr>
            <w:tcW w:w="1582" w:type="dxa"/>
            <w:shd w:val="clear" w:color="auto" w:fill="002D62"/>
            <w:tcMar>
              <w:top w:w="85" w:type="dxa"/>
              <w:left w:w="85" w:type="dxa"/>
              <w:bottom w:w="85" w:type="dxa"/>
              <w:right w:w="85" w:type="dxa"/>
            </w:tcMar>
          </w:tcPr>
          <w:p w14:paraId="0995D336" w14:textId="77777777" w:rsidR="00194420" w:rsidRPr="006B0D0D" w:rsidRDefault="00194420" w:rsidP="000710CA">
            <w:pPr>
              <w:pStyle w:val="TableHeading"/>
            </w:pPr>
            <w:r w:rsidRPr="006B0D0D">
              <w:t>Region</w:t>
            </w:r>
          </w:p>
        </w:tc>
        <w:tc>
          <w:tcPr>
            <w:tcW w:w="2199" w:type="dxa"/>
            <w:shd w:val="clear" w:color="auto" w:fill="002D62"/>
            <w:tcMar>
              <w:top w:w="85" w:type="dxa"/>
              <w:left w:w="85" w:type="dxa"/>
              <w:bottom w:w="85" w:type="dxa"/>
              <w:right w:w="85" w:type="dxa"/>
            </w:tcMar>
          </w:tcPr>
          <w:p w14:paraId="53D4832D" w14:textId="4475CFAB" w:rsidR="00194420" w:rsidRPr="006B0D0D" w:rsidRDefault="00452B94" w:rsidP="000710CA">
            <w:pPr>
              <w:pStyle w:val="TableHeading"/>
            </w:pPr>
            <w:r>
              <w:t>TWES participants</w:t>
            </w:r>
          </w:p>
        </w:tc>
        <w:tc>
          <w:tcPr>
            <w:tcW w:w="2981" w:type="dxa"/>
            <w:shd w:val="clear" w:color="auto" w:fill="002D62"/>
            <w:tcMar>
              <w:top w:w="85" w:type="dxa"/>
              <w:left w:w="85" w:type="dxa"/>
              <w:bottom w:w="85" w:type="dxa"/>
              <w:right w:w="85" w:type="dxa"/>
            </w:tcMar>
          </w:tcPr>
          <w:p w14:paraId="1AB936E8" w14:textId="0CCD24E9" w:rsidR="00194420" w:rsidRPr="006B0D0D" w:rsidRDefault="00194420" w:rsidP="000710CA">
            <w:pPr>
              <w:pStyle w:val="TableHeading"/>
            </w:pPr>
            <w:r w:rsidRPr="006B0D0D">
              <w:t>Approved Transition Plan</w:t>
            </w:r>
          </w:p>
        </w:tc>
        <w:tc>
          <w:tcPr>
            <w:tcW w:w="2835" w:type="dxa"/>
            <w:shd w:val="clear" w:color="auto" w:fill="002D62"/>
            <w:tcMar>
              <w:top w:w="85" w:type="dxa"/>
              <w:left w:w="85" w:type="dxa"/>
              <w:bottom w:w="85" w:type="dxa"/>
              <w:right w:w="85" w:type="dxa"/>
            </w:tcMar>
          </w:tcPr>
          <w:p w14:paraId="4E7C28CA" w14:textId="5F977403" w:rsidR="00194420" w:rsidRPr="006B0D0D" w:rsidRDefault="00502862" w:rsidP="000710CA">
            <w:pPr>
              <w:pStyle w:val="TableHeading"/>
            </w:pPr>
            <w:r w:rsidRPr="006B0D0D">
              <w:t xml:space="preserve">With Facilitated </w:t>
            </w:r>
            <w:r w:rsidR="00FA4C85">
              <w:t>T</w:t>
            </w:r>
            <w:r w:rsidRPr="006B0D0D">
              <w:t>ransfer</w:t>
            </w:r>
          </w:p>
        </w:tc>
      </w:tr>
      <w:tr w:rsidR="00BD3A5E" w:rsidRPr="00E478D2" w14:paraId="2DB8AB9C" w14:textId="77777777" w:rsidTr="000710CA">
        <w:trPr>
          <w:cantSplit/>
          <w:trHeight w:val="170"/>
        </w:trPr>
        <w:tc>
          <w:tcPr>
            <w:tcW w:w="1582" w:type="dxa"/>
            <w:tcMar>
              <w:top w:w="85" w:type="dxa"/>
              <w:left w:w="85" w:type="dxa"/>
              <w:bottom w:w="85" w:type="dxa"/>
              <w:right w:w="85" w:type="dxa"/>
            </w:tcMar>
          </w:tcPr>
          <w:p w14:paraId="00ECEC6D" w14:textId="77777777" w:rsidR="00BD3A5E" w:rsidRPr="00E478D2" w:rsidRDefault="00BD3A5E" w:rsidP="007F09E7">
            <w:pPr>
              <w:pStyle w:val="TableParagraph"/>
            </w:pPr>
            <w:r w:rsidRPr="00E478D2">
              <w:t>Non-Remote</w:t>
            </w:r>
          </w:p>
        </w:tc>
        <w:tc>
          <w:tcPr>
            <w:tcW w:w="2199" w:type="dxa"/>
            <w:tcMar>
              <w:top w:w="85" w:type="dxa"/>
              <w:left w:w="85" w:type="dxa"/>
              <w:bottom w:w="85" w:type="dxa"/>
              <w:right w:w="85" w:type="dxa"/>
            </w:tcMar>
          </w:tcPr>
          <w:p w14:paraId="1C36CBE5" w14:textId="77777777" w:rsidR="00BD3A5E" w:rsidRPr="00E478D2" w:rsidRDefault="00BD3A5E" w:rsidP="007F09E7">
            <w:pPr>
              <w:pStyle w:val="TableParagraph"/>
            </w:pPr>
            <w:r w:rsidRPr="00E478D2">
              <w:t>4,154</w:t>
            </w:r>
          </w:p>
        </w:tc>
        <w:tc>
          <w:tcPr>
            <w:tcW w:w="2981" w:type="dxa"/>
            <w:tcMar>
              <w:top w:w="85" w:type="dxa"/>
              <w:left w:w="85" w:type="dxa"/>
              <w:bottom w:w="85" w:type="dxa"/>
              <w:right w:w="85" w:type="dxa"/>
            </w:tcMar>
          </w:tcPr>
          <w:p w14:paraId="7D38CFCE" w14:textId="77777777" w:rsidR="00BD3A5E" w:rsidRPr="00E478D2" w:rsidRDefault="00BD3A5E" w:rsidP="007F09E7">
            <w:pPr>
              <w:pStyle w:val="TableParagraph"/>
            </w:pPr>
            <w:r w:rsidRPr="00E478D2">
              <w:t>1,640</w:t>
            </w:r>
          </w:p>
        </w:tc>
        <w:tc>
          <w:tcPr>
            <w:tcW w:w="2835" w:type="dxa"/>
            <w:tcMar>
              <w:top w:w="85" w:type="dxa"/>
              <w:left w:w="85" w:type="dxa"/>
              <w:bottom w:w="85" w:type="dxa"/>
              <w:right w:w="85" w:type="dxa"/>
            </w:tcMar>
          </w:tcPr>
          <w:p w14:paraId="0788FF59" w14:textId="77777777" w:rsidR="00BD3A5E" w:rsidRPr="00E478D2" w:rsidRDefault="00BD3A5E" w:rsidP="007F09E7">
            <w:pPr>
              <w:pStyle w:val="TableParagraph"/>
            </w:pPr>
            <w:r w:rsidRPr="00E478D2">
              <w:t>503</w:t>
            </w:r>
          </w:p>
        </w:tc>
      </w:tr>
      <w:tr w:rsidR="00BD3A5E" w:rsidRPr="00E478D2" w14:paraId="4D89C636" w14:textId="77777777" w:rsidTr="000710CA">
        <w:trPr>
          <w:cantSplit/>
          <w:trHeight w:val="170"/>
        </w:trPr>
        <w:tc>
          <w:tcPr>
            <w:tcW w:w="1582" w:type="dxa"/>
            <w:tcMar>
              <w:top w:w="85" w:type="dxa"/>
              <w:left w:w="85" w:type="dxa"/>
              <w:bottom w:w="85" w:type="dxa"/>
              <w:right w:w="85" w:type="dxa"/>
            </w:tcMar>
          </w:tcPr>
          <w:p w14:paraId="209C54F1" w14:textId="77777777" w:rsidR="00BD3A5E" w:rsidRPr="00E478D2" w:rsidRDefault="00BD3A5E" w:rsidP="007F09E7">
            <w:pPr>
              <w:pStyle w:val="TableParagraph"/>
            </w:pPr>
            <w:r w:rsidRPr="00E478D2">
              <w:t>Remote</w:t>
            </w:r>
          </w:p>
        </w:tc>
        <w:tc>
          <w:tcPr>
            <w:tcW w:w="2199" w:type="dxa"/>
            <w:tcMar>
              <w:top w:w="85" w:type="dxa"/>
              <w:left w:w="85" w:type="dxa"/>
              <w:bottom w:w="85" w:type="dxa"/>
              <w:right w:w="85" w:type="dxa"/>
            </w:tcMar>
          </w:tcPr>
          <w:p w14:paraId="28737027" w14:textId="77777777" w:rsidR="00BD3A5E" w:rsidRPr="00E478D2" w:rsidRDefault="00BD3A5E" w:rsidP="007F09E7">
            <w:pPr>
              <w:pStyle w:val="TableParagraph"/>
            </w:pPr>
            <w:r w:rsidRPr="00E478D2">
              <w:t>348</w:t>
            </w:r>
          </w:p>
        </w:tc>
        <w:tc>
          <w:tcPr>
            <w:tcW w:w="2981" w:type="dxa"/>
            <w:tcMar>
              <w:top w:w="85" w:type="dxa"/>
              <w:left w:w="85" w:type="dxa"/>
              <w:bottom w:w="85" w:type="dxa"/>
              <w:right w:w="85" w:type="dxa"/>
            </w:tcMar>
          </w:tcPr>
          <w:p w14:paraId="6FA25065" w14:textId="77777777" w:rsidR="00BD3A5E" w:rsidRPr="00E478D2" w:rsidRDefault="00BD3A5E" w:rsidP="007F09E7">
            <w:pPr>
              <w:pStyle w:val="TableParagraph"/>
            </w:pPr>
            <w:r w:rsidRPr="00E478D2">
              <w:t>175</w:t>
            </w:r>
          </w:p>
        </w:tc>
        <w:tc>
          <w:tcPr>
            <w:tcW w:w="2835" w:type="dxa"/>
            <w:tcMar>
              <w:top w:w="85" w:type="dxa"/>
              <w:left w:w="85" w:type="dxa"/>
              <w:bottom w:w="85" w:type="dxa"/>
              <w:right w:w="85" w:type="dxa"/>
            </w:tcMar>
          </w:tcPr>
          <w:p w14:paraId="40F336CA" w14:textId="77777777" w:rsidR="00BD3A5E" w:rsidRPr="00E478D2" w:rsidRDefault="00BD3A5E" w:rsidP="007F09E7">
            <w:pPr>
              <w:pStyle w:val="TableParagraph"/>
            </w:pPr>
            <w:r w:rsidRPr="00E478D2">
              <w:t>72</w:t>
            </w:r>
          </w:p>
        </w:tc>
      </w:tr>
      <w:tr w:rsidR="00BD3A5E" w:rsidRPr="006B0D0D" w14:paraId="52835B8C" w14:textId="77777777" w:rsidTr="000710CA">
        <w:trPr>
          <w:cantSplit/>
          <w:trHeight w:val="170"/>
        </w:trPr>
        <w:tc>
          <w:tcPr>
            <w:tcW w:w="1582" w:type="dxa"/>
            <w:shd w:val="clear" w:color="auto" w:fill="002D62"/>
            <w:tcMar>
              <w:top w:w="85" w:type="dxa"/>
              <w:left w:w="85" w:type="dxa"/>
              <w:bottom w:w="85" w:type="dxa"/>
              <w:right w:w="85" w:type="dxa"/>
            </w:tcMar>
          </w:tcPr>
          <w:p w14:paraId="3985F5DC" w14:textId="77777777" w:rsidR="00BD3A5E" w:rsidRPr="006B0D0D" w:rsidRDefault="00BD3A5E" w:rsidP="007F09E7">
            <w:pPr>
              <w:pStyle w:val="TableParagraph"/>
            </w:pPr>
            <w:r w:rsidRPr="006B0D0D">
              <w:t>Total</w:t>
            </w:r>
          </w:p>
        </w:tc>
        <w:tc>
          <w:tcPr>
            <w:tcW w:w="2199" w:type="dxa"/>
            <w:shd w:val="clear" w:color="auto" w:fill="002D62"/>
            <w:tcMar>
              <w:top w:w="85" w:type="dxa"/>
              <w:left w:w="85" w:type="dxa"/>
              <w:bottom w:w="85" w:type="dxa"/>
              <w:right w:w="85" w:type="dxa"/>
            </w:tcMar>
          </w:tcPr>
          <w:p w14:paraId="6335D681" w14:textId="77777777" w:rsidR="00BD3A5E" w:rsidRPr="006B0D0D" w:rsidRDefault="00BD3A5E" w:rsidP="007F09E7">
            <w:pPr>
              <w:pStyle w:val="TableParagraph"/>
            </w:pPr>
            <w:r w:rsidRPr="006B0D0D">
              <w:t>4,502</w:t>
            </w:r>
          </w:p>
        </w:tc>
        <w:tc>
          <w:tcPr>
            <w:tcW w:w="2981" w:type="dxa"/>
            <w:shd w:val="clear" w:color="auto" w:fill="002D62"/>
            <w:tcMar>
              <w:top w:w="85" w:type="dxa"/>
              <w:left w:w="85" w:type="dxa"/>
              <w:bottom w:w="85" w:type="dxa"/>
              <w:right w:w="85" w:type="dxa"/>
            </w:tcMar>
          </w:tcPr>
          <w:p w14:paraId="23730E0C" w14:textId="77777777" w:rsidR="00BD3A5E" w:rsidRPr="006B0D0D" w:rsidRDefault="00BD3A5E" w:rsidP="007F09E7">
            <w:pPr>
              <w:pStyle w:val="TableParagraph"/>
            </w:pPr>
            <w:r w:rsidRPr="006B0D0D">
              <w:t>1,815</w:t>
            </w:r>
          </w:p>
        </w:tc>
        <w:tc>
          <w:tcPr>
            <w:tcW w:w="2835" w:type="dxa"/>
            <w:shd w:val="clear" w:color="auto" w:fill="002D62"/>
            <w:tcMar>
              <w:top w:w="85" w:type="dxa"/>
              <w:left w:w="85" w:type="dxa"/>
              <w:bottom w:w="85" w:type="dxa"/>
              <w:right w:w="85" w:type="dxa"/>
            </w:tcMar>
          </w:tcPr>
          <w:p w14:paraId="0FEEAD84" w14:textId="77777777" w:rsidR="00BD3A5E" w:rsidRPr="006B0D0D" w:rsidRDefault="00BD3A5E" w:rsidP="007F09E7">
            <w:pPr>
              <w:pStyle w:val="TableParagraph"/>
            </w:pPr>
            <w:r w:rsidRPr="006B0D0D">
              <w:t>575</w:t>
            </w:r>
          </w:p>
        </w:tc>
      </w:tr>
      <w:tr w:rsidR="00616CF9" w:rsidRPr="006B0D0D" w14:paraId="61A8BAF3" w14:textId="77777777" w:rsidTr="000710CA">
        <w:trPr>
          <w:cantSplit/>
          <w:trHeight w:val="170"/>
        </w:trPr>
        <w:tc>
          <w:tcPr>
            <w:tcW w:w="1582" w:type="dxa"/>
            <w:shd w:val="clear" w:color="auto" w:fill="F1F1F1"/>
            <w:tcMar>
              <w:top w:w="85" w:type="dxa"/>
              <w:left w:w="85" w:type="dxa"/>
              <w:bottom w:w="85" w:type="dxa"/>
              <w:right w:w="85" w:type="dxa"/>
            </w:tcMar>
          </w:tcPr>
          <w:p w14:paraId="145BE55A" w14:textId="0E9282E5" w:rsidR="00616CF9" w:rsidRPr="006B0D0D" w:rsidRDefault="00616CF9" w:rsidP="007F09E7">
            <w:pPr>
              <w:pStyle w:val="TableParagraph"/>
            </w:pPr>
            <w:r w:rsidRPr="006B0D0D">
              <w:t>%</w:t>
            </w:r>
            <w:r w:rsidRPr="006B0D0D">
              <w:rPr>
                <w:spacing w:val="2"/>
              </w:rPr>
              <w:t xml:space="preserve"> </w:t>
            </w:r>
            <w:r w:rsidRPr="006B0D0D">
              <w:rPr>
                <w:spacing w:val="-2"/>
              </w:rPr>
              <w:t>of</w:t>
            </w:r>
            <w:r w:rsidRPr="006B0D0D">
              <w:t xml:space="preserve"> </w:t>
            </w:r>
            <w:r w:rsidR="007026A6">
              <w:t>all participants</w:t>
            </w:r>
          </w:p>
        </w:tc>
        <w:tc>
          <w:tcPr>
            <w:tcW w:w="2199" w:type="dxa"/>
            <w:shd w:val="clear" w:color="auto" w:fill="F1F1F1"/>
            <w:tcMar>
              <w:top w:w="85" w:type="dxa"/>
              <w:left w:w="85" w:type="dxa"/>
              <w:bottom w:w="85" w:type="dxa"/>
              <w:right w:w="85" w:type="dxa"/>
            </w:tcMar>
          </w:tcPr>
          <w:p w14:paraId="247A58DB" w14:textId="77777777" w:rsidR="00616CF9" w:rsidRPr="006B0D0D" w:rsidRDefault="00616CF9" w:rsidP="007F09E7">
            <w:pPr>
              <w:pStyle w:val="TableParagraph"/>
            </w:pPr>
          </w:p>
        </w:tc>
        <w:tc>
          <w:tcPr>
            <w:tcW w:w="2981" w:type="dxa"/>
            <w:shd w:val="clear" w:color="auto" w:fill="F1F1F1"/>
            <w:tcMar>
              <w:top w:w="85" w:type="dxa"/>
              <w:left w:w="85" w:type="dxa"/>
              <w:bottom w:w="85" w:type="dxa"/>
              <w:right w:w="85" w:type="dxa"/>
            </w:tcMar>
          </w:tcPr>
          <w:p w14:paraId="04AF9504" w14:textId="77777777" w:rsidR="00616CF9" w:rsidRPr="006B0D0D" w:rsidRDefault="001702CA" w:rsidP="007F09E7">
            <w:pPr>
              <w:pStyle w:val="TableParagraph"/>
            </w:pPr>
            <w:r w:rsidRPr="006B0D0D">
              <w:t>40%</w:t>
            </w:r>
          </w:p>
        </w:tc>
        <w:tc>
          <w:tcPr>
            <w:tcW w:w="2835" w:type="dxa"/>
            <w:shd w:val="clear" w:color="auto" w:fill="F1F1F1"/>
            <w:tcMar>
              <w:top w:w="85" w:type="dxa"/>
              <w:left w:w="85" w:type="dxa"/>
              <w:bottom w:w="85" w:type="dxa"/>
              <w:right w:w="85" w:type="dxa"/>
            </w:tcMar>
          </w:tcPr>
          <w:p w14:paraId="5EF46A8E" w14:textId="65CB4837" w:rsidR="00616CF9" w:rsidRPr="006B0D0D" w:rsidRDefault="001702CA" w:rsidP="007F09E7">
            <w:pPr>
              <w:pStyle w:val="TableParagraph"/>
            </w:pPr>
            <w:r w:rsidRPr="006B0D0D">
              <w:t>13%</w:t>
            </w:r>
          </w:p>
        </w:tc>
      </w:tr>
    </w:tbl>
    <w:p w14:paraId="2118F5AA" w14:textId="3D89F86B" w:rsidR="00194420" w:rsidRDefault="00827093" w:rsidP="00305B4B">
      <w:pPr>
        <w:pStyle w:val="BodyText"/>
        <w:ind w:right="3"/>
      </w:pPr>
      <w:r>
        <w:br/>
      </w:r>
      <w:r w:rsidR="00194420">
        <w:t>Comparing</w:t>
      </w:r>
      <w:r w:rsidR="00194420" w:rsidRPr="00FF3D15">
        <w:rPr>
          <w:spacing w:val="-8"/>
        </w:rPr>
        <w:t xml:space="preserve"> </w:t>
      </w:r>
      <w:r w:rsidR="00194420">
        <w:t>across</w:t>
      </w:r>
      <w:r w:rsidR="00194420" w:rsidRPr="00FF3D15">
        <w:rPr>
          <w:spacing w:val="-6"/>
        </w:rPr>
        <w:t xml:space="preserve"> </w:t>
      </w:r>
      <w:r w:rsidR="00194420" w:rsidRPr="00FF3D15">
        <w:rPr>
          <w:spacing w:val="-1"/>
        </w:rPr>
        <w:t>states</w:t>
      </w:r>
      <w:r w:rsidR="00DC502D">
        <w:rPr>
          <w:spacing w:val="-1"/>
        </w:rPr>
        <w:t xml:space="preserve"> and territories</w:t>
      </w:r>
      <w:r w:rsidR="00194420" w:rsidRPr="00FF3D15">
        <w:rPr>
          <w:spacing w:val="-1"/>
        </w:rPr>
        <w:t>,</w:t>
      </w:r>
      <w:r w:rsidR="00194420" w:rsidRPr="00FF3D15">
        <w:rPr>
          <w:spacing w:val="-5"/>
        </w:rPr>
        <w:t xml:space="preserve"> </w:t>
      </w:r>
      <w:r w:rsidR="00194420">
        <w:t>NT</w:t>
      </w:r>
      <w:r w:rsidR="00194420" w:rsidRPr="00FF3D15">
        <w:rPr>
          <w:spacing w:val="-6"/>
        </w:rPr>
        <w:t xml:space="preserve"> </w:t>
      </w:r>
      <w:r w:rsidR="00194420" w:rsidRPr="00FF3D15">
        <w:rPr>
          <w:spacing w:val="-1"/>
        </w:rPr>
        <w:t>had</w:t>
      </w:r>
      <w:r w:rsidR="00194420" w:rsidRPr="00FF3D15">
        <w:rPr>
          <w:spacing w:val="-6"/>
        </w:rPr>
        <w:t xml:space="preserve"> </w:t>
      </w:r>
      <w:r w:rsidR="00194420">
        <w:t>the</w:t>
      </w:r>
      <w:r w:rsidR="00194420" w:rsidRPr="00FF3D15">
        <w:rPr>
          <w:spacing w:val="-6"/>
        </w:rPr>
        <w:t xml:space="preserve"> </w:t>
      </w:r>
      <w:r w:rsidR="00194420" w:rsidRPr="00FF3D15">
        <w:rPr>
          <w:spacing w:val="-1"/>
        </w:rPr>
        <w:t>highest</w:t>
      </w:r>
      <w:r w:rsidR="00194420" w:rsidRPr="00FF3D15">
        <w:rPr>
          <w:spacing w:val="-2"/>
        </w:rPr>
        <w:t xml:space="preserve"> </w:t>
      </w:r>
      <w:r w:rsidR="00184285">
        <w:t>percentage</w:t>
      </w:r>
      <w:r w:rsidR="00184285" w:rsidRPr="00FF3D15">
        <w:rPr>
          <w:spacing w:val="-5"/>
        </w:rPr>
        <w:t xml:space="preserve"> </w:t>
      </w:r>
      <w:r w:rsidR="00184285">
        <w:t>of</w:t>
      </w:r>
      <w:r w:rsidR="00184285" w:rsidRPr="00FF3D15">
        <w:rPr>
          <w:spacing w:val="-6"/>
        </w:rPr>
        <w:t xml:space="preserve"> </w:t>
      </w:r>
      <w:r w:rsidR="003853E0">
        <w:t>commenced</w:t>
      </w:r>
      <w:r w:rsidR="003853E0" w:rsidRPr="00FF3D15">
        <w:rPr>
          <w:spacing w:val="-7"/>
        </w:rPr>
        <w:t xml:space="preserve"> </w:t>
      </w:r>
      <w:r w:rsidR="00184285">
        <w:t>participants</w:t>
      </w:r>
      <w:r w:rsidR="00184285" w:rsidRPr="00FF3D15">
        <w:rPr>
          <w:spacing w:val="-7"/>
        </w:rPr>
        <w:t xml:space="preserve"> </w:t>
      </w:r>
      <w:r w:rsidR="00184285">
        <w:t>with</w:t>
      </w:r>
      <w:r w:rsidR="00184285" w:rsidRPr="00FF3D15">
        <w:rPr>
          <w:spacing w:val="-7"/>
        </w:rPr>
        <w:t xml:space="preserve"> </w:t>
      </w:r>
      <w:r w:rsidR="00184285">
        <w:t>an</w:t>
      </w:r>
      <w:r w:rsidR="00184285" w:rsidRPr="00FF3D15">
        <w:rPr>
          <w:spacing w:val="44"/>
          <w:w w:val="99"/>
        </w:rPr>
        <w:t xml:space="preserve"> </w:t>
      </w:r>
      <w:r w:rsidR="00194420" w:rsidRPr="00FF3D15">
        <w:rPr>
          <w:spacing w:val="-1"/>
        </w:rPr>
        <w:t>Approved</w:t>
      </w:r>
      <w:r w:rsidR="00194420" w:rsidRPr="00FF3D15">
        <w:rPr>
          <w:spacing w:val="-7"/>
        </w:rPr>
        <w:t xml:space="preserve"> </w:t>
      </w:r>
      <w:r w:rsidR="00194420">
        <w:t>Transition</w:t>
      </w:r>
      <w:r w:rsidR="00194420" w:rsidRPr="00FF3D15">
        <w:rPr>
          <w:spacing w:val="-6"/>
        </w:rPr>
        <w:t xml:space="preserve"> </w:t>
      </w:r>
      <w:r w:rsidR="00194420" w:rsidRPr="00FF3D15">
        <w:rPr>
          <w:spacing w:val="-1"/>
        </w:rPr>
        <w:t>Plan</w:t>
      </w:r>
      <w:r w:rsidR="00194420" w:rsidRPr="00FF3D15">
        <w:rPr>
          <w:spacing w:val="-5"/>
        </w:rPr>
        <w:t xml:space="preserve"> </w:t>
      </w:r>
      <w:r w:rsidR="00151756">
        <w:t>(</w:t>
      </w:r>
      <w:r w:rsidR="00085BB7">
        <w:t>~57%</w:t>
      </w:r>
      <w:r w:rsidR="003853E0">
        <w:t>)</w:t>
      </w:r>
      <w:r w:rsidR="00880418">
        <w:t>,</w:t>
      </w:r>
      <w:r w:rsidR="00880418" w:rsidRPr="00FF3D15">
        <w:rPr>
          <w:spacing w:val="-7"/>
        </w:rPr>
        <w:t xml:space="preserve"> </w:t>
      </w:r>
      <w:r w:rsidR="00880418">
        <w:t>however</w:t>
      </w:r>
      <w:r w:rsidR="00880418" w:rsidRPr="00FF3D15">
        <w:rPr>
          <w:spacing w:val="-6"/>
        </w:rPr>
        <w:t xml:space="preserve"> </w:t>
      </w:r>
      <w:r w:rsidR="00A45BA5">
        <w:t>~38%</w:t>
      </w:r>
      <w:r w:rsidR="00A45BA5" w:rsidRPr="00FF3D15">
        <w:rPr>
          <w:spacing w:val="-4"/>
        </w:rPr>
        <w:t xml:space="preserve"> </w:t>
      </w:r>
      <w:r w:rsidR="00A45BA5">
        <w:t>of</w:t>
      </w:r>
      <w:r w:rsidR="00A45BA5" w:rsidRPr="00FF3D15">
        <w:rPr>
          <w:spacing w:val="-7"/>
        </w:rPr>
        <w:t xml:space="preserve"> </w:t>
      </w:r>
      <w:r w:rsidR="00A45BA5">
        <w:t>these</w:t>
      </w:r>
      <w:r w:rsidR="00A45BA5" w:rsidRPr="00FF3D15">
        <w:rPr>
          <w:spacing w:val="-7"/>
        </w:rPr>
        <w:t xml:space="preserve"> </w:t>
      </w:r>
      <w:r w:rsidR="00A45BA5">
        <w:t>then</w:t>
      </w:r>
      <w:r w:rsidR="00A45BA5" w:rsidRPr="00FF3D15">
        <w:rPr>
          <w:spacing w:val="-6"/>
        </w:rPr>
        <w:t xml:space="preserve"> </w:t>
      </w:r>
      <w:r w:rsidR="00A45BA5" w:rsidRPr="00FF3D15">
        <w:rPr>
          <w:spacing w:val="-1"/>
        </w:rPr>
        <w:t>had</w:t>
      </w:r>
      <w:r w:rsidR="00A45BA5" w:rsidRPr="00FF3D15">
        <w:rPr>
          <w:spacing w:val="-5"/>
        </w:rPr>
        <w:t xml:space="preserve"> </w:t>
      </w:r>
      <w:r w:rsidR="00A45BA5">
        <w:t>a</w:t>
      </w:r>
      <w:r w:rsidR="00A45BA5" w:rsidRPr="00FF3D15">
        <w:rPr>
          <w:spacing w:val="-7"/>
        </w:rPr>
        <w:t xml:space="preserve"> </w:t>
      </w:r>
      <w:r w:rsidR="00194420">
        <w:t>Facilitated</w:t>
      </w:r>
      <w:r w:rsidR="00194420" w:rsidRPr="00FF3D15">
        <w:rPr>
          <w:spacing w:val="-6"/>
        </w:rPr>
        <w:t xml:space="preserve"> </w:t>
      </w:r>
      <w:r w:rsidR="00194420">
        <w:t>Transfer</w:t>
      </w:r>
      <w:r w:rsidR="00961A3F">
        <w:t xml:space="preserve"> (see </w:t>
      </w:r>
      <w:r w:rsidR="00961A3F" w:rsidRPr="00302318">
        <w:rPr>
          <w:b/>
          <w:bCs/>
        </w:rPr>
        <w:fldChar w:fldCharType="begin"/>
      </w:r>
      <w:r w:rsidR="00961A3F" w:rsidRPr="00302318">
        <w:rPr>
          <w:b/>
          <w:bCs/>
        </w:rPr>
        <w:instrText xml:space="preserve"> REF _Ref71659319 \h </w:instrText>
      </w:r>
      <w:r w:rsidR="00961A3F">
        <w:rPr>
          <w:b/>
          <w:bCs/>
        </w:rPr>
        <w:instrText xml:space="preserve"> \* MERGEFORMAT </w:instrText>
      </w:r>
      <w:r w:rsidR="00961A3F" w:rsidRPr="00302318">
        <w:rPr>
          <w:b/>
          <w:bCs/>
        </w:rPr>
      </w:r>
      <w:r w:rsidR="00961A3F" w:rsidRPr="00302318">
        <w:rPr>
          <w:b/>
          <w:bCs/>
        </w:rPr>
        <w:fldChar w:fldCharType="separate"/>
      </w:r>
      <w:r w:rsidR="00E93A98" w:rsidRPr="00E93A98">
        <w:rPr>
          <w:b/>
          <w:bCs/>
        </w:rPr>
        <w:t xml:space="preserve">Table </w:t>
      </w:r>
      <w:r w:rsidR="00E93A98" w:rsidRPr="00E93A98">
        <w:rPr>
          <w:b/>
          <w:bCs/>
          <w:noProof/>
        </w:rPr>
        <w:t>12</w:t>
      </w:r>
      <w:r w:rsidR="00961A3F" w:rsidRPr="00302318">
        <w:rPr>
          <w:b/>
          <w:bCs/>
        </w:rPr>
        <w:fldChar w:fldCharType="end"/>
      </w:r>
      <w:r w:rsidR="00961A3F">
        <w:t>).</w:t>
      </w:r>
    </w:p>
    <w:p w14:paraId="5896F466" w14:textId="23E3CDFC" w:rsidR="00961A3F" w:rsidRPr="001D2001" w:rsidRDefault="00961A3F" w:rsidP="00D519D6">
      <w:pPr>
        <w:pStyle w:val="Caption"/>
        <w:ind w:right="3"/>
      </w:pPr>
      <w:bookmarkStart w:id="94" w:name="_Ref71659319"/>
      <w:r w:rsidRPr="001D2001">
        <w:t xml:space="preserve">Table </w:t>
      </w:r>
      <w:r w:rsidRPr="001D2001">
        <w:fldChar w:fldCharType="begin"/>
      </w:r>
      <w:r w:rsidRPr="001D2001">
        <w:instrText xml:space="preserve"> SEQ Table \* ARABIC </w:instrText>
      </w:r>
      <w:r w:rsidRPr="001D2001">
        <w:fldChar w:fldCharType="separate"/>
      </w:r>
      <w:r w:rsidR="00E93A98">
        <w:rPr>
          <w:noProof/>
        </w:rPr>
        <w:t>12</w:t>
      </w:r>
      <w:r w:rsidRPr="001D2001">
        <w:fldChar w:fldCharType="end"/>
      </w:r>
      <w:bookmarkEnd w:id="94"/>
      <w:r w:rsidRPr="001D2001">
        <w:t>: TWES participants with an Approved Transition Plan with Facilitated Transfer (</w:t>
      </w:r>
      <w:r w:rsidR="00B63B84">
        <w:t>s</w:t>
      </w:r>
      <w:r w:rsidR="00B63B84" w:rsidRPr="001D2001">
        <w:t>tates</w:t>
      </w:r>
      <w:r w:rsidR="00DC502D">
        <w:t>/</w:t>
      </w:r>
      <w:r w:rsidR="00B63B84">
        <w:t>t</w:t>
      </w:r>
      <w:r w:rsidR="00DC502D">
        <w:t>erritories</w:t>
      </w:r>
      <w:r w:rsidRPr="001D2001">
        <w:t>)</w:t>
      </w:r>
    </w:p>
    <w:tbl>
      <w:tblPr>
        <w:tblW w:w="0" w:type="auto"/>
        <w:tblInd w:w="-10" w:type="dxa"/>
        <w:tblBorders>
          <w:top w:val="single" w:sz="8" w:space="0" w:color="B1B3AA"/>
          <w:left w:val="single" w:sz="8" w:space="0" w:color="B1B3AA"/>
          <w:bottom w:val="single" w:sz="8" w:space="0" w:color="B1B3AA"/>
          <w:right w:val="single" w:sz="8" w:space="0" w:color="B1B3AA"/>
          <w:insideH w:val="single" w:sz="8" w:space="0" w:color="B1B3AA"/>
          <w:insideV w:val="single" w:sz="8" w:space="0" w:color="B1B3AA"/>
        </w:tblBorders>
        <w:tblLayout w:type="fixed"/>
        <w:tblCellMar>
          <w:left w:w="0" w:type="dxa"/>
          <w:right w:w="0" w:type="dxa"/>
        </w:tblCellMar>
        <w:tblLook w:val="0020" w:firstRow="1" w:lastRow="0" w:firstColumn="0" w:lastColumn="0" w:noHBand="0" w:noVBand="0"/>
        <w:tblCaption w:val="TWES participants with an Approved Transition Plan with Facilitated Transfer (states/territories)"/>
        <w:tblDescription w:val="A table of the number of participants with an Approved Transition Plan with Facilitated Transfer by state and territory where NT had the highest percentage of participants with an Approved Transition Plan at 57% but only 38% of those also had a Facilitate"/>
      </w:tblPr>
      <w:tblGrid>
        <w:gridCol w:w="1843"/>
        <w:gridCol w:w="1965"/>
        <w:gridCol w:w="2288"/>
        <w:gridCol w:w="3543"/>
      </w:tblGrid>
      <w:tr w:rsidR="00961A3F" w:rsidRPr="0021141E" w14:paraId="08D460A6" w14:textId="66DB3659" w:rsidTr="00B4730A">
        <w:trPr>
          <w:trHeight w:val="284"/>
        </w:trPr>
        <w:tc>
          <w:tcPr>
            <w:tcW w:w="1843" w:type="dxa"/>
            <w:shd w:val="clear" w:color="auto" w:fill="002D62"/>
            <w:noWrap/>
            <w:tcMar>
              <w:top w:w="85" w:type="dxa"/>
              <w:left w:w="85" w:type="dxa"/>
              <w:bottom w:w="85" w:type="dxa"/>
              <w:right w:w="85" w:type="dxa"/>
            </w:tcMar>
          </w:tcPr>
          <w:p w14:paraId="322ABF8D" w14:textId="63EF55B1" w:rsidR="00961A3F" w:rsidRPr="000710CA" w:rsidRDefault="00961A3F" w:rsidP="00D519D6">
            <w:pPr>
              <w:pStyle w:val="TableHeading"/>
            </w:pPr>
            <w:r w:rsidRPr="000710CA">
              <w:t xml:space="preserve">State / </w:t>
            </w:r>
            <w:r w:rsidR="00467A51" w:rsidRPr="000710CA">
              <w:t>territory</w:t>
            </w:r>
          </w:p>
        </w:tc>
        <w:tc>
          <w:tcPr>
            <w:tcW w:w="1965" w:type="dxa"/>
            <w:shd w:val="clear" w:color="auto" w:fill="002D62"/>
            <w:noWrap/>
            <w:tcMar>
              <w:top w:w="85" w:type="dxa"/>
              <w:left w:w="85" w:type="dxa"/>
              <w:bottom w:w="85" w:type="dxa"/>
              <w:right w:w="85" w:type="dxa"/>
            </w:tcMar>
          </w:tcPr>
          <w:p w14:paraId="2D035D8A" w14:textId="09DB0886" w:rsidR="00961A3F" w:rsidRPr="000710CA" w:rsidRDefault="00452B94" w:rsidP="00D519D6">
            <w:pPr>
              <w:pStyle w:val="TableHeading"/>
            </w:pPr>
            <w:r w:rsidRPr="000710CA">
              <w:t>TWES participants</w:t>
            </w:r>
          </w:p>
        </w:tc>
        <w:tc>
          <w:tcPr>
            <w:tcW w:w="2288" w:type="dxa"/>
            <w:shd w:val="clear" w:color="auto" w:fill="002D62"/>
            <w:noWrap/>
            <w:tcMar>
              <w:top w:w="85" w:type="dxa"/>
              <w:left w:w="85" w:type="dxa"/>
              <w:bottom w:w="85" w:type="dxa"/>
              <w:right w:w="85" w:type="dxa"/>
            </w:tcMar>
          </w:tcPr>
          <w:p w14:paraId="75283E63" w14:textId="3C9BF7F7" w:rsidR="00961A3F" w:rsidRPr="000710CA" w:rsidRDefault="00961A3F" w:rsidP="00D519D6">
            <w:pPr>
              <w:pStyle w:val="TableHeading"/>
            </w:pPr>
            <w:r w:rsidRPr="000710CA">
              <w:t>Approved Transition Plans</w:t>
            </w:r>
          </w:p>
        </w:tc>
        <w:tc>
          <w:tcPr>
            <w:tcW w:w="3543" w:type="dxa"/>
            <w:shd w:val="clear" w:color="auto" w:fill="002D62"/>
            <w:noWrap/>
            <w:tcMar>
              <w:top w:w="85" w:type="dxa"/>
              <w:left w:w="85" w:type="dxa"/>
              <w:bottom w:w="85" w:type="dxa"/>
              <w:right w:w="85" w:type="dxa"/>
            </w:tcMar>
          </w:tcPr>
          <w:p w14:paraId="23EE5234" w14:textId="5E56FEA0" w:rsidR="00961A3F" w:rsidRPr="000710CA" w:rsidRDefault="00961A3F" w:rsidP="00D519D6">
            <w:pPr>
              <w:pStyle w:val="TableHeading"/>
            </w:pPr>
            <w:r w:rsidRPr="000710CA">
              <w:t xml:space="preserve">Approved Transition Plan </w:t>
            </w:r>
            <w:r w:rsidR="000710CA">
              <w:br/>
            </w:r>
            <w:r w:rsidRPr="000710CA">
              <w:t>with Facilitated Transfer</w:t>
            </w:r>
          </w:p>
        </w:tc>
      </w:tr>
      <w:tr w:rsidR="00961A3F" w:rsidRPr="0021141E" w14:paraId="1E58A9B8" w14:textId="251D6672" w:rsidTr="00B4730A">
        <w:trPr>
          <w:trHeight w:val="198"/>
        </w:trPr>
        <w:tc>
          <w:tcPr>
            <w:tcW w:w="1843" w:type="dxa"/>
            <w:noWrap/>
            <w:tcMar>
              <w:top w:w="85" w:type="dxa"/>
              <w:left w:w="85" w:type="dxa"/>
              <w:bottom w:w="85" w:type="dxa"/>
              <w:right w:w="85" w:type="dxa"/>
            </w:tcMar>
          </w:tcPr>
          <w:p w14:paraId="568C65EB" w14:textId="3D781434" w:rsidR="00961A3F" w:rsidRPr="000710CA" w:rsidRDefault="00961A3F" w:rsidP="007F09E7">
            <w:pPr>
              <w:pStyle w:val="TableParagraph"/>
            </w:pPr>
            <w:r w:rsidRPr="000710CA">
              <w:t>ACT</w:t>
            </w:r>
          </w:p>
        </w:tc>
        <w:tc>
          <w:tcPr>
            <w:tcW w:w="1965" w:type="dxa"/>
            <w:noWrap/>
            <w:tcMar>
              <w:top w:w="85" w:type="dxa"/>
              <w:left w:w="85" w:type="dxa"/>
              <w:bottom w:w="85" w:type="dxa"/>
              <w:right w:w="85" w:type="dxa"/>
            </w:tcMar>
          </w:tcPr>
          <w:p w14:paraId="632EC940" w14:textId="5770FD97" w:rsidR="00961A3F" w:rsidRPr="000710CA" w:rsidRDefault="00961A3F" w:rsidP="007F09E7">
            <w:pPr>
              <w:pStyle w:val="TableParagraph"/>
            </w:pPr>
            <w:r w:rsidRPr="000710CA">
              <w:t>44</w:t>
            </w:r>
          </w:p>
        </w:tc>
        <w:tc>
          <w:tcPr>
            <w:tcW w:w="2288" w:type="dxa"/>
            <w:noWrap/>
            <w:tcMar>
              <w:top w:w="85" w:type="dxa"/>
              <w:left w:w="85" w:type="dxa"/>
              <w:bottom w:w="85" w:type="dxa"/>
              <w:right w:w="85" w:type="dxa"/>
            </w:tcMar>
          </w:tcPr>
          <w:p w14:paraId="14EB9723" w14:textId="13D3F0BD" w:rsidR="00961A3F" w:rsidRPr="000710CA" w:rsidRDefault="00961A3F" w:rsidP="007F09E7">
            <w:pPr>
              <w:pStyle w:val="TableParagraph"/>
            </w:pPr>
            <w:r w:rsidRPr="000710CA">
              <w:t>20</w:t>
            </w:r>
          </w:p>
        </w:tc>
        <w:tc>
          <w:tcPr>
            <w:tcW w:w="3543" w:type="dxa"/>
            <w:noWrap/>
            <w:tcMar>
              <w:top w:w="85" w:type="dxa"/>
              <w:left w:w="85" w:type="dxa"/>
              <w:bottom w:w="85" w:type="dxa"/>
              <w:right w:w="85" w:type="dxa"/>
            </w:tcMar>
          </w:tcPr>
          <w:p w14:paraId="2D11C8FF" w14:textId="2CD5E776" w:rsidR="00961A3F" w:rsidRPr="000710CA" w:rsidRDefault="00A0285A" w:rsidP="007F09E7">
            <w:pPr>
              <w:pStyle w:val="TableParagraph"/>
            </w:pPr>
            <w:r w:rsidRPr="000710CA">
              <w:t>Not provided</w:t>
            </w:r>
          </w:p>
        </w:tc>
      </w:tr>
      <w:tr w:rsidR="00961A3F" w:rsidRPr="0021141E" w14:paraId="4332D988" w14:textId="100E3C30" w:rsidTr="00B4730A">
        <w:trPr>
          <w:trHeight w:val="198"/>
        </w:trPr>
        <w:tc>
          <w:tcPr>
            <w:tcW w:w="1843" w:type="dxa"/>
            <w:noWrap/>
            <w:tcMar>
              <w:top w:w="85" w:type="dxa"/>
              <w:left w:w="85" w:type="dxa"/>
              <w:bottom w:w="85" w:type="dxa"/>
              <w:right w:w="85" w:type="dxa"/>
            </w:tcMar>
          </w:tcPr>
          <w:p w14:paraId="4A73AB78" w14:textId="56BCD057" w:rsidR="00961A3F" w:rsidRPr="000710CA" w:rsidRDefault="00961A3F" w:rsidP="007F09E7">
            <w:pPr>
              <w:pStyle w:val="TableParagraph"/>
            </w:pPr>
            <w:r w:rsidRPr="000710CA">
              <w:t>NSW</w:t>
            </w:r>
          </w:p>
        </w:tc>
        <w:tc>
          <w:tcPr>
            <w:tcW w:w="1965" w:type="dxa"/>
            <w:noWrap/>
            <w:tcMar>
              <w:top w:w="85" w:type="dxa"/>
              <w:left w:w="85" w:type="dxa"/>
              <w:bottom w:w="85" w:type="dxa"/>
              <w:right w:w="85" w:type="dxa"/>
            </w:tcMar>
          </w:tcPr>
          <w:p w14:paraId="5285FA34" w14:textId="7AD8B027" w:rsidR="00961A3F" w:rsidRPr="000710CA" w:rsidRDefault="00961A3F" w:rsidP="007F09E7">
            <w:pPr>
              <w:pStyle w:val="TableParagraph"/>
            </w:pPr>
            <w:r w:rsidRPr="000710CA">
              <w:t>1,336</w:t>
            </w:r>
          </w:p>
        </w:tc>
        <w:tc>
          <w:tcPr>
            <w:tcW w:w="2288" w:type="dxa"/>
            <w:noWrap/>
            <w:tcMar>
              <w:top w:w="85" w:type="dxa"/>
              <w:left w:w="85" w:type="dxa"/>
              <w:bottom w:w="85" w:type="dxa"/>
              <w:right w:w="85" w:type="dxa"/>
            </w:tcMar>
          </w:tcPr>
          <w:p w14:paraId="78DC6E09" w14:textId="796689A7" w:rsidR="00961A3F" w:rsidRPr="000710CA" w:rsidRDefault="00961A3F" w:rsidP="007F09E7">
            <w:pPr>
              <w:pStyle w:val="TableParagraph"/>
            </w:pPr>
            <w:r w:rsidRPr="000710CA">
              <w:t>429</w:t>
            </w:r>
          </w:p>
        </w:tc>
        <w:tc>
          <w:tcPr>
            <w:tcW w:w="3543" w:type="dxa"/>
            <w:noWrap/>
            <w:tcMar>
              <w:top w:w="85" w:type="dxa"/>
              <w:left w:w="85" w:type="dxa"/>
              <w:bottom w:w="85" w:type="dxa"/>
              <w:right w:w="85" w:type="dxa"/>
            </w:tcMar>
          </w:tcPr>
          <w:p w14:paraId="3B76449C" w14:textId="5A29C8EE" w:rsidR="00961A3F" w:rsidRPr="000710CA" w:rsidRDefault="00961A3F" w:rsidP="007F09E7">
            <w:pPr>
              <w:pStyle w:val="TableParagraph"/>
            </w:pPr>
            <w:r w:rsidRPr="000710CA">
              <w:t>182</w:t>
            </w:r>
          </w:p>
        </w:tc>
      </w:tr>
      <w:tr w:rsidR="00961A3F" w:rsidRPr="0021141E" w14:paraId="2ADBCA7B" w14:textId="676C030F" w:rsidTr="00B4730A">
        <w:trPr>
          <w:trHeight w:val="198"/>
        </w:trPr>
        <w:tc>
          <w:tcPr>
            <w:tcW w:w="1843" w:type="dxa"/>
            <w:noWrap/>
            <w:tcMar>
              <w:top w:w="85" w:type="dxa"/>
              <w:left w:w="85" w:type="dxa"/>
              <w:bottom w:w="85" w:type="dxa"/>
              <w:right w:w="85" w:type="dxa"/>
            </w:tcMar>
          </w:tcPr>
          <w:p w14:paraId="10D00D7A" w14:textId="486CDF27" w:rsidR="00961A3F" w:rsidRPr="000710CA" w:rsidRDefault="00961A3F" w:rsidP="007F09E7">
            <w:pPr>
              <w:pStyle w:val="TableParagraph"/>
            </w:pPr>
            <w:r w:rsidRPr="000710CA">
              <w:t>NT</w:t>
            </w:r>
          </w:p>
        </w:tc>
        <w:tc>
          <w:tcPr>
            <w:tcW w:w="1965" w:type="dxa"/>
            <w:noWrap/>
            <w:tcMar>
              <w:top w:w="85" w:type="dxa"/>
              <w:left w:w="85" w:type="dxa"/>
              <w:bottom w:w="85" w:type="dxa"/>
              <w:right w:w="85" w:type="dxa"/>
            </w:tcMar>
          </w:tcPr>
          <w:p w14:paraId="18A1B759" w14:textId="550BCECA" w:rsidR="00961A3F" w:rsidRPr="000710CA" w:rsidRDefault="00961A3F" w:rsidP="007F09E7">
            <w:pPr>
              <w:pStyle w:val="TableParagraph"/>
            </w:pPr>
            <w:r w:rsidRPr="000710CA">
              <w:t>286</w:t>
            </w:r>
          </w:p>
        </w:tc>
        <w:tc>
          <w:tcPr>
            <w:tcW w:w="2288" w:type="dxa"/>
            <w:noWrap/>
            <w:tcMar>
              <w:top w:w="85" w:type="dxa"/>
              <w:left w:w="85" w:type="dxa"/>
              <w:bottom w:w="85" w:type="dxa"/>
              <w:right w:w="85" w:type="dxa"/>
            </w:tcMar>
          </w:tcPr>
          <w:p w14:paraId="0F038363" w14:textId="0E640C83" w:rsidR="00961A3F" w:rsidRPr="000710CA" w:rsidRDefault="00961A3F" w:rsidP="007F09E7">
            <w:pPr>
              <w:pStyle w:val="TableParagraph"/>
            </w:pPr>
            <w:r w:rsidRPr="000710CA">
              <w:t>163</w:t>
            </w:r>
          </w:p>
        </w:tc>
        <w:tc>
          <w:tcPr>
            <w:tcW w:w="3543" w:type="dxa"/>
            <w:noWrap/>
            <w:tcMar>
              <w:top w:w="85" w:type="dxa"/>
              <w:left w:w="85" w:type="dxa"/>
              <w:bottom w:w="85" w:type="dxa"/>
              <w:right w:w="85" w:type="dxa"/>
            </w:tcMar>
          </w:tcPr>
          <w:p w14:paraId="14D42D55" w14:textId="6308E5FD" w:rsidR="00961A3F" w:rsidRPr="000710CA" w:rsidRDefault="00961A3F" w:rsidP="007F09E7">
            <w:pPr>
              <w:pStyle w:val="TableParagraph"/>
            </w:pPr>
            <w:r w:rsidRPr="000710CA">
              <w:t>62</w:t>
            </w:r>
          </w:p>
        </w:tc>
      </w:tr>
      <w:tr w:rsidR="00961A3F" w:rsidRPr="0021141E" w14:paraId="278C1DD9" w14:textId="5FD6DD86" w:rsidTr="00B4730A">
        <w:trPr>
          <w:trHeight w:val="198"/>
        </w:trPr>
        <w:tc>
          <w:tcPr>
            <w:tcW w:w="1843" w:type="dxa"/>
            <w:noWrap/>
            <w:tcMar>
              <w:top w:w="85" w:type="dxa"/>
              <w:left w:w="85" w:type="dxa"/>
              <w:bottom w:w="85" w:type="dxa"/>
              <w:right w:w="85" w:type="dxa"/>
            </w:tcMar>
          </w:tcPr>
          <w:p w14:paraId="4CF397CA" w14:textId="5F1278BD" w:rsidR="00961A3F" w:rsidRPr="000710CA" w:rsidRDefault="00961A3F" w:rsidP="007F09E7">
            <w:pPr>
              <w:pStyle w:val="TableParagraph"/>
            </w:pPr>
            <w:r w:rsidRPr="000710CA">
              <w:lastRenderedPageBreak/>
              <w:t>QLD</w:t>
            </w:r>
          </w:p>
        </w:tc>
        <w:tc>
          <w:tcPr>
            <w:tcW w:w="1965" w:type="dxa"/>
            <w:noWrap/>
            <w:tcMar>
              <w:top w:w="85" w:type="dxa"/>
              <w:left w:w="85" w:type="dxa"/>
              <w:bottom w:w="85" w:type="dxa"/>
              <w:right w:w="85" w:type="dxa"/>
            </w:tcMar>
          </w:tcPr>
          <w:p w14:paraId="381308AF" w14:textId="68F10EEC" w:rsidR="00961A3F" w:rsidRPr="000710CA" w:rsidRDefault="00961A3F" w:rsidP="007F09E7">
            <w:pPr>
              <w:pStyle w:val="TableParagraph"/>
            </w:pPr>
            <w:r w:rsidRPr="000710CA">
              <w:t>1,429</w:t>
            </w:r>
          </w:p>
        </w:tc>
        <w:tc>
          <w:tcPr>
            <w:tcW w:w="2288" w:type="dxa"/>
            <w:noWrap/>
            <w:tcMar>
              <w:top w:w="85" w:type="dxa"/>
              <w:left w:w="85" w:type="dxa"/>
              <w:bottom w:w="85" w:type="dxa"/>
              <w:right w:w="85" w:type="dxa"/>
            </w:tcMar>
          </w:tcPr>
          <w:p w14:paraId="4D40F56B" w14:textId="78754C7E" w:rsidR="00961A3F" w:rsidRPr="000710CA" w:rsidRDefault="00961A3F" w:rsidP="007F09E7">
            <w:pPr>
              <w:pStyle w:val="TableParagraph"/>
            </w:pPr>
            <w:r w:rsidRPr="000710CA">
              <w:t>586</w:t>
            </w:r>
          </w:p>
        </w:tc>
        <w:tc>
          <w:tcPr>
            <w:tcW w:w="3543" w:type="dxa"/>
            <w:noWrap/>
            <w:tcMar>
              <w:top w:w="85" w:type="dxa"/>
              <w:left w:w="85" w:type="dxa"/>
              <w:bottom w:w="85" w:type="dxa"/>
              <w:right w:w="85" w:type="dxa"/>
            </w:tcMar>
          </w:tcPr>
          <w:p w14:paraId="5013ED86" w14:textId="13813B91" w:rsidR="00961A3F" w:rsidRPr="000710CA" w:rsidRDefault="00961A3F" w:rsidP="007F09E7">
            <w:pPr>
              <w:pStyle w:val="TableParagraph"/>
            </w:pPr>
            <w:r w:rsidRPr="000710CA">
              <w:t>185</w:t>
            </w:r>
          </w:p>
        </w:tc>
      </w:tr>
      <w:tr w:rsidR="00961A3F" w:rsidRPr="0021141E" w14:paraId="77F47940" w14:textId="5101EF64" w:rsidTr="00B4730A">
        <w:trPr>
          <w:trHeight w:val="198"/>
        </w:trPr>
        <w:tc>
          <w:tcPr>
            <w:tcW w:w="1843" w:type="dxa"/>
            <w:noWrap/>
            <w:tcMar>
              <w:top w:w="85" w:type="dxa"/>
              <w:left w:w="85" w:type="dxa"/>
              <w:bottom w:w="85" w:type="dxa"/>
              <w:right w:w="85" w:type="dxa"/>
            </w:tcMar>
          </w:tcPr>
          <w:p w14:paraId="4561E473" w14:textId="21470CF3" w:rsidR="00961A3F" w:rsidRPr="000710CA" w:rsidRDefault="00961A3F" w:rsidP="007F09E7">
            <w:pPr>
              <w:pStyle w:val="TableParagraph"/>
            </w:pPr>
            <w:r w:rsidRPr="000710CA">
              <w:t>SA</w:t>
            </w:r>
          </w:p>
        </w:tc>
        <w:tc>
          <w:tcPr>
            <w:tcW w:w="1965" w:type="dxa"/>
            <w:noWrap/>
            <w:tcMar>
              <w:top w:w="85" w:type="dxa"/>
              <w:left w:w="85" w:type="dxa"/>
              <w:bottom w:w="85" w:type="dxa"/>
              <w:right w:w="85" w:type="dxa"/>
            </w:tcMar>
          </w:tcPr>
          <w:p w14:paraId="5785E8B7" w14:textId="533DC162" w:rsidR="00961A3F" w:rsidRPr="000710CA" w:rsidRDefault="00961A3F" w:rsidP="007F09E7">
            <w:pPr>
              <w:pStyle w:val="TableParagraph"/>
            </w:pPr>
            <w:r w:rsidRPr="000710CA">
              <w:t>120</w:t>
            </w:r>
          </w:p>
        </w:tc>
        <w:tc>
          <w:tcPr>
            <w:tcW w:w="2288" w:type="dxa"/>
            <w:noWrap/>
            <w:tcMar>
              <w:top w:w="85" w:type="dxa"/>
              <w:left w:w="85" w:type="dxa"/>
              <w:bottom w:w="85" w:type="dxa"/>
              <w:right w:w="85" w:type="dxa"/>
            </w:tcMar>
          </w:tcPr>
          <w:p w14:paraId="473DA59F" w14:textId="7C2911D3" w:rsidR="00961A3F" w:rsidRPr="000710CA" w:rsidRDefault="00961A3F" w:rsidP="007F09E7">
            <w:pPr>
              <w:pStyle w:val="TableParagraph"/>
            </w:pPr>
            <w:r w:rsidRPr="000710CA">
              <w:t>24</w:t>
            </w:r>
          </w:p>
        </w:tc>
        <w:tc>
          <w:tcPr>
            <w:tcW w:w="3543" w:type="dxa"/>
            <w:noWrap/>
            <w:tcMar>
              <w:top w:w="85" w:type="dxa"/>
              <w:left w:w="85" w:type="dxa"/>
              <w:bottom w:w="85" w:type="dxa"/>
              <w:right w:w="85" w:type="dxa"/>
            </w:tcMar>
          </w:tcPr>
          <w:p w14:paraId="2307A93E" w14:textId="142455F2" w:rsidR="00961A3F" w:rsidRPr="000710CA" w:rsidRDefault="00961A3F" w:rsidP="007F09E7">
            <w:pPr>
              <w:pStyle w:val="TableParagraph"/>
            </w:pPr>
            <w:r w:rsidRPr="000710CA">
              <w:t>15</w:t>
            </w:r>
          </w:p>
        </w:tc>
      </w:tr>
      <w:tr w:rsidR="00961A3F" w:rsidRPr="0021141E" w14:paraId="1D85F550" w14:textId="7A80A292" w:rsidTr="00B4730A">
        <w:trPr>
          <w:trHeight w:val="198"/>
        </w:trPr>
        <w:tc>
          <w:tcPr>
            <w:tcW w:w="1843" w:type="dxa"/>
            <w:noWrap/>
            <w:tcMar>
              <w:top w:w="85" w:type="dxa"/>
              <w:left w:w="85" w:type="dxa"/>
              <w:bottom w:w="85" w:type="dxa"/>
              <w:right w:w="85" w:type="dxa"/>
            </w:tcMar>
          </w:tcPr>
          <w:p w14:paraId="78DC8242" w14:textId="721643D2" w:rsidR="00961A3F" w:rsidRPr="000710CA" w:rsidRDefault="00961A3F" w:rsidP="007F09E7">
            <w:pPr>
              <w:pStyle w:val="TableParagraph"/>
              <w:ind w:left="0"/>
            </w:pPr>
            <w:r w:rsidRPr="000710CA">
              <w:t>TAS</w:t>
            </w:r>
          </w:p>
        </w:tc>
        <w:tc>
          <w:tcPr>
            <w:tcW w:w="1965" w:type="dxa"/>
            <w:noWrap/>
            <w:tcMar>
              <w:top w:w="85" w:type="dxa"/>
              <w:left w:w="85" w:type="dxa"/>
              <w:bottom w:w="85" w:type="dxa"/>
              <w:right w:w="85" w:type="dxa"/>
            </w:tcMar>
          </w:tcPr>
          <w:p w14:paraId="3E7E217A" w14:textId="12487AB3" w:rsidR="00961A3F" w:rsidRPr="000710CA" w:rsidRDefault="00961A3F" w:rsidP="007F09E7">
            <w:pPr>
              <w:pStyle w:val="TableParagraph"/>
              <w:ind w:left="0"/>
            </w:pPr>
            <w:r w:rsidRPr="000710CA">
              <w:t>13</w:t>
            </w:r>
          </w:p>
        </w:tc>
        <w:tc>
          <w:tcPr>
            <w:tcW w:w="2288" w:type="dxa"/>
            <w:noWrap/>
            <w:tcMar>
              <w:top w:w="85" w:type="dxa"/>
              <w:left w:w="85" w:type="dxa"/>
              <w:bottom w:w="85" w:type="dxa"/>
              <w:right w:w="85" w:type="dxa"/>
            </w:tcMar>
          </w:tcPr>
          <w:p w14:paraId="07D716C5" w14:textId="38EF4352" w:rsidR="00961A3F" w:rsidRPr="000710CA" w:rsidRDefault="00961A3F" w:rsidP="007F09E7">
            <w:pPr>
              <w:pStyle w:val="TableParagraph"/>
              <w:ind w:left="0"/>
            </w:pPr>
            <w:r w:rsidRPr="000710CA">
              <w:t>0</w:t>
            </w:r>
          </w:p>
        </w:tc>
        <w:tc>
          <w:tcPr>
            <w:tcW w:w="3543" w:type="dxa"/>
            <w:noWrap/>
            <w:tcMar>
              <w:top w:w="85" w:type="dxa"/>
              <w:left w:w="85" w:type="dxa"/>
              <w:bottom w:w="85" w:type="dxa"/>
              <w:right w:w="85" w:type="dxa"/>
            </w:tcMar>
          </w:tcPr>
          <w:p w14:paraId="6191480D" w14:textId="0394B216" w:rsidR="00961A3F" w:rsidRPr="000710CA" w:rsidRDefault="00961A3F" w:rsidP="007F09E7">
            <w:pPr>
              <w:pStyle w:val="TableParagraph"/>
              <w:ind w:left="0"/>
            </w:pPr>
            <w:r w:rsidRPr="000710CA">
              <w:t>0</w:t>
            </w:r>
          </w:p>
        </w:tc>
      </w:tr>
      <w:tr w:rsidR="00961A3F" w:rsidRPr="0021141E" w14:paraId="2FDD7B20" w14:textId="1F209C45" w:rsidTr="00B4730A">
        <w:trPr>
          <w:trHeight w:val="198"/>
        </w:trPr>
        <w:tc>
          <w:tcPr>
            <w:tcW w:w="1843" w:type="dxa"/>
            <w:noWrap/>
            <w:tcMar>
              <w:top w:w="85" w:type="dxa"/>
              <w:left w:w="85" w:type="dxa"/>
              <w:bottom w:w="85" w:type="dxa"/>
              <w:right w:w="85" w:type="dxa"/>
            </w:tcMar>
          </w:tcPr>
          <w:p w14:paraId="3720C8B1" w14:textId="2931264E" w:rsidR="00961A3F" w:rsidRPr="000710CA" w:rsidRDefault="00961A3F" w:rsidP="007F09E7">
            <w:pPr>
              <w:pStyle w:val="TableParagraph"/>
              <w:ind w:left="0"/>
            </w:pPr>
            <w:r w:rsidRPr="000710CA">
              <w:t>VIC</w:t>
            </w:r>
          </w:p>
        </w:tc>
        <w:tc>
          <w:tcPr>
            <w:tcW w:w="1965" w:type="dxa"/>
            <w:noWrap/>
            <w:tcMar>
              <w:top w:w="85" w:type="dxa"/>
              <w:left w:w="85" w:type="dxa"/>
              <w:bottom w:w="85" w:type="dxa"/>
              <w:right w:w="85" w:type="dxa"/>
            </w:tcMar>
          </w:tcPr>
          <w:p w14:paraId="7FC004D7" w14:textId="0D4D5F81" w:rsidR="00961A3F" w:rsidRPr="000710CA" w:rsidRDefault="00961A3F" w:rsidP="007F09E7">
            <w:pPr>
              <w:pStyle w:val="TableParagraph"/>
              <w:ind w:left="0"/>
            </w:pPr>
            <w:r w:rsidRPr="000710CA">
              <w:t>179</w:t>
            </w:r>
          </w:p>
        </w:tc>
        <w:tc>
          <w:tcPr>
            <w:tcW w:w="2288" w:type="dxa"/>
            <w:noWrap/>
            <w:tcMar>
              <w:top w:w="85" w:type="dxa"/>
              <w:left w:w="85" w:type="dxa"/>
              <w:bottom w:w="85" w:type="dxa"/>
              <w:right w:w="85" w:type="dxa"/>
            </w:tcMar>
          </w:tcPr>
          <w:p w14:paraId="0486A472" w14:textId="2939B57E" w:rsidR="00961A3F" w:rsidRPr="000710CA" w:rsidRDefault="00961A3F" w:rsidP="007F09E7">
            <w:pPr>
              <w:pStyle w:val="TableParagraph"/>
              <w:ind w:left="0"/>
            </w:pPr>
            <w:r w:rsidRPr="000710CA">
              <w:t>52</w:t>
            </w:r>
          </w:p>
        </w:tc>
        <w:tc>
          <w:tcPr>
            <w:tcW w:w="3543" w:type="dxa"/>
            <w:noWrap/>
            <w:tcMar>
              <w:top w:w="85" w:type="dxa"/>
              <w:left w:w="85" w:type="dxa"/>
              <w:bottom w:w="85" w:type="dxa"/>
              <w:right w:w="85" w:type="dxa"/>
            </w:tcMar>
          </w:tcPr>
          <w:p w14:paraId="3C5F521A" w14:textId="2F7463AC" w:rsidR="00961A3F" w:rsidRPr="000710CA" w:rsidRDefault="00961A3F" w:rsidP="007F09E7">
            <w:pPr>
              <w:pStyle w:val="TableParagraph"/>
              <w:ind w:left="0"/>
            </w:pPr>
            <w:r w:rsidRPr="000710CA">
              <w:t>34</w:t>
            </w:r>
          </w:p>
        </w:tc>
      </w:tr>
      <w:tr w:rsidR="00961A3F" w:rsidRPr="0021141E" w14:paraId="4364446B" w14:textId="735D3794" w:rsidTr="00B4730A">
        <w:trPr>
          <w:trHeight w:val="198"/>
        </w:trPr>
        <w:tc>
          <w:tcPr>
            <w:tcW w:w="1843" w:type="dxa"/>
            <w:noWrap/>
            <w:tcMar>
              <w:top w:w="85" w:type="dxa"/>
              <w:left w:w="85" w:type="dxa"/>
              <w:bottom w:w="85" w:type="dxa"/>
              <w:right w:w="85" w:type="dxa"/>
            </w:tcMar>
          </w:tcPr>
          <w:p w14:paraId="5EC93FA2" w14:textId="4A37F0D3" w:rsidR="00961A3F" w:rsidRPr="000710CA" w:rsidRDefault="00961A3F" w:rsidP="007F09E7">
            <w:pPr>
              <w:pStyle w:val="TableParagraph"/>
              <w:ind w:left="0"/>
            </w:pPr>
            <w:r w:rsidRPr="000710CA">
              <w:t>WA</w:t>
            </w:r>
          </w:p>
        </w:tc>
        <w:tc>
          <w:tcPr>
            <w:tcW w:w="1965" w:type="dxa"/>
            <w:noWrap/>
            <w:tcMar>
              <w:top w:w="85" w:type="dxa"/>
              <w:left w:w="85" w:type="dxa"/>
              <w:bottom w:w="85" w:type="dxa"/>
              <w:right w:w="85" w:type="dxa"/>
            </w:tcMar>
          </w:tcPr>
          <w:p w14:paraId="699B0EDA" w14:textId="3829C4D0" w:rsidR="00961A3F" w:rsidRPr="000710CA" w:rsidRDefault="00961A3F" w:rsidP="007F09E7">
            <w:pPr>
              <w:pStyle w:val="TableParagraph"/>
              <w:ind w:left="0"/>
            </w:pPr>
            <w:r w:rsidRPr="000710CA">
              <w:t>1,095</w:t>
            </w:r>
          </w:p>
        </w:tc>
        <w:tc>
          <w:tcPr>
            <w:tcW w:w="2288" w:type="dxa"/>
            <w:noWrap/>
            <w:tcMar>
              <w:top w:w="85" w:type="dxa"/>
              <w:left w:w="85" w:type="dxa"/>
              <w:bottom w:w="85" w:type="dxa"/>
              <w:right w:w="85" w:type="dxa"/>
            </w:tcMar>
          </w:tcPr>
          <w:p w14:paraId="7C95BBB3" w14:textId="2E6DC98C" w:rsidR="00961A3F" w:rsidRPr="000710CA" w:rsidRDefault="00961A3F" w:rsidP="007F09E7">
            <w:pPr>
              <w:pStyle w:val="TableParagraph"/>
              <w:ind w:left="0"/>
            </w:pPr>
            <w:r w:rsidRPr="000710CA">
              <w:t>541</w:t>
            </w:r>
          </w:p>
        </w:tc>
        <w:tc>
          <w:tcPr>
            <w:tcW w:w="3543" w:type="dxa"/>
            <w:noWrap/>
            <w:tcMar>
              <w:top w:w="85" w:type="dxa"/>
              <w:left w:w="85" w:type="dxa"/>
              <w:bottom w:w="85" w:type="dxa"/>
              <w:right w:w="85" w:type="dxa"/>
            </w:tcMar>
          </w:tcPr>
          <w:p w14:paraId="174EC18F" w14:textId="72063647" w:rsidR="00961A3F" w:rsidRPr="000710CA" w:rsidRDefault="00961A3F" w:rsidP="007F09E7">
            <w:pPr>
              <w:pStyle w:val="TableParagraph"/>
              <w:ind w:left="0"/>
            </w:pPr>
            <w:r w:rsidRPr="000710CA">
              <w:t>95</w:t>
            </w:r>
          </w:p>
        </w:tc>
      </w:tr>
      <w:tr w:rsidR="00961A3F" w:rsidRPr="0021141E" w14:paraId="0855FE32" w14:textId="495F8C34" w:rsidTr="00B4730A">
        <w:trPr>
          <w:trHeight w:val="198"/>
        </w:trPr>
        <w:tc>
          <w:tcPr>
            <w:tcW w:w="1843" w:type="dxa"/>
            <w:shd w:val="clear" w:color="auto" w:fill="002C61"/>
            <w:noWrap/>
            <w:tcMar>
              <w:top w:w="85" w:type="dxa"/>
              <w:left w:w="85" w:type="dxa"/>
              <w:bottom w:w="85" w:type="dxa"/>
              <w:right w:w="85" w:type="dxa"/>
            </w:tcMar>
          </w:tcPr>
          <w:p w14:paraId="78A1A2EC" w14:textId="1BCC225D" w:rsidR="00961A3F" w:rsidRPr="000710CA" w:rsidRDefault="00961A3F" w:rsidP="007F09E7">
            <w:pPr>
              <w:pStyle w:val="TableParagraph"/>
              <w:ind w:left="0"/>
            </w:pPr>
            <w:r w:rsidRPr="000710CA">
              <w:t>Total</w:t>
            </w:r>
          </w:p>
        </w:tc>
        <w:tc>
          <w:tcPr>
            <w:tcW w:w="1965" w:type="dxa"/>
            <w:shd w:val="clear" w:color="auto" w:fill="002C61"/>
            <w:noWrap/>
            <w:tcMar>
              <w:top w:w="85" w:type="dxa"/>
              <w:left w:w="85" w:type="dxa"/>
              <w:bottom w:w="85" w:type="dxa"/>
              <w:right w:w="85" w:type="dxa"/>
            </w:tcMar>
          </w:tcPr>
          <w:p w14:paraId="6BF420B5" w14:textId="5156427B" w:rsidR="00961A3F" w:rsidRPr="000710CA" w:rsidRDefault="00961A3F" w:rsidP="007F09E7">
            <w:pPr>
              <w:pStyle w:val="TableParagraph"/>
              <w:ind w:left="0"/>
            </w:pPr>
            <w:r w:rsidRPr="000710CA">
              <w:t>4,502</w:t>
            </w:r>
          </w:p>
        </w:tc>
        <w:tc>
          <w:tcPr>
            <w:tcW w:w="2288" w:type="dxa"/>
            <w:shd w:val="clear" w:color="auto" w:fill="002C61"/>
            <w:noWrap/>
            <w:tcMar>
              <w:top w:w="85" w:type="dxa"/>
              <w:left w:w="85" w:type="dxa"/>
              <w:bottom w:w="85" w:type="dxa"/>
              <w:right w:w="85" w:type="dxa"/>
            </w:tcMar>
          </w:tcPr>
          <w:p w14:paraId="0F97AC07" w14:textId="65653782" w:rsidR="00961A3F" w:rsidRPr="000710CA" w:rsidRDefault="00961A3F" w:rsidP="007F09E7">
            <w:pPr>
              <w:pStyle w:val="TableParagraph"/>
              <w:ind w:left="0"/>
            </w:pPr>
            <w:r w:rsidRPr="000710CA">
              <w:t>1,815</w:t>
            </w:r>
          </w:p>
        </w:tc>
        <w:tc>
          <w:tcPr>
            <w:tcW w:w="3543" w:type="dxa"/>
            <w:shd w:val="clear" w:color="auto" w:fill="002C61"/>
            <w:noWrap/>
            <w:tcMar>
              <w:top w:w="85" w:type="dxa"/>
              <w:left w:w="85" w:type="dxa"/>
              <w:bottom w:w="85" w:type="dxa"/>
              <w:right w:w="85" w:type="dxa"/>
            </w:tcMar>
          </w:tcPr>
          <w:p w14:paraId="48AF4E27" w14:textId="26C0B153" w:rsidR="00961A3F" w:rsidRPr="000710CA" w:rsidRDefault="00961A3F" w:rsidP="007F09E7">
            <w:pPr>
              <w:pStyle w:val="TableParagraph"/>
              <w:ind w:left="0"/>
            </w:pPr>
            <w:r w:rsidRPr="000710CA">
              <w:t>575</w:t>
            </w:r>
          </w:p>
        </w:tc>
      </w:tr>
    </w:tbl>
    <w:p w14:paraId="39DE970F" w14:textId="19572264" w:rsidR="00E90B76" w:rsidRDefault="00AD2FA1" w:rsidP="00305B4B">
      <w:pPr>
        <w:pStyle w:val="BodyText"/>
        <w:ind w:right="3"/>
      </w:pPr>
      <w:r>
        <w:br/>
      </w:r>
      <w:r w:rsidR="00D23481">
        <w:t>About 26% of participants who received an Approved Transit</w:t>
      </w:r>
      <w:r w:rsidR="00E76220">
        <w:t xml:space="preserve">ion Plan </w:t>
      </w:r>
      <w:r w:rsidR="008F3B77">
        <w:t>were not referred to employment services</w:t>
      </w:r>
      <w:r w:rsidR="008F3B77" w:rsidRPr="008F3B77">
        <w:t xml:space="preserve"> </w:t>
      </w:r>
      <w:r w:rsidR="008F3B77">
        <w:t>(</w:t>
      </w:r>
      <w:r w:rsidR="008F3B77" w:rsidRPr="007B041D">
        <w:rPr>
          <w:b/>
          <w:bCs/>
        </w:rPr>
        <w:fldChar w:fldCharType="begin"/>
      </w:r>
      <w:r w:rsidR="008F3B77" w:rsidRPr="007B041D">
        <w:rPr>
          <w:b/>
          <w:bCs/>
        </w:rPr>
        <w:instrText xml:space="preserve"> REF _Ref71659457 \h </w:instrText>
      </w:r>
      <w:r w:rsidR="008F3B77">
        <w:rPr>
          <w:b/>
          <w:bCs/>
        </w:rPr>
        <w:instrText xml:space="preserve"> \* MERGEFORMAT </w:instrText>
      </w:r>
      <w:r w:rsidR="008F3B77" w:rsidRPr="007B041D">
        <w:rPr>
          <w:b/>
          <w:bCs/>
        </w:rPr>
      </w:r>
      <w:r w:rsidR="008F3B77" w:rsidRPr="007B041D">
        <w:rPr>
          <w:b/>
          <w:bCs/>
        </w:rPr>
        <w:fldChar w:fldCharType="separate"/>
      </w:r>
      <w:r w:rsidR="00E93A98" w:rsidRPr="00E93A98">
        <w:rPr>
          <w:b/>
          <w:bCs/>
        </w:rPr>
        <w:t xml:space="preserve">Table </w:t>
      </w:r>
      <w:r w:rsidR="00E93A98" w:rsidRPr="00E93A98">
        <w:rPr>
          <w:b/>
          <w:bCs/>
          <w:noProof/>
        </w:rPr>
        <w:t>13</w:t>
      </w:r>
      <w:r w:rsidR="008F3B77" w:rsidRPr="007B041D">
        <w:rPr>
          <w:b/>
          <w:bCs/>
        </w:rPr>
        <w:fldChar w:fldCharType="end"/>
      </w:r>
      <w:r w:rsidR="008F3B77" w:rsidRPr="00FA3619">
        <w:t xml:space="preserve">). </w:t>
      </w:r>
      <w:r w:rsidR="00FA3619">
        <w:t xml:space="preserve">This applies where a participant has not been referred to </w:t>
      </w:r>
      <w:r w:rsidR="00852C6A">
        <w:t xml:space="preserve">post-release </w:t>
      </w:r>
      <w:r w:rsidR="00FA3619">
        <w:t>employment services</w:t>
      </w:r>
      <w:r w:rsidR="00852C6A">
        <w:t xml:space="preserve">, </w:t>
      </w:r>
      <w:r w:rsidR="009E5AF0">
        <w:t xml:space="preserve">and </w:t>
      </w:r>
      <w:r w:rsidR="00FA3619">
        <w:t xml:space="preserve">no Facilitated Transfer Meeting is required. </w:t>
      </w:r>
    </w:p>
    <w:p w14:paraId="58BB7111" w14:textId="27EF25CD" w:rsidR="00961A3F" w:rsidRPr="00D87F1E" w:rsidRDefault="00961A3F" w:rsidP="00305B4B">
      <w:pPr>
        <w:pStyle w:val="Caption"/>
        <w:ind w:right="3"/>
      </w:pPr>
      <w:bookmarkStart w:id="95" w:name="_Ref71659457"/>
      <w:r w:rsidRPr="00D87F1E">
        <w:t xml:space="preserve">Table </w:t>
      </w:r>
      <w:r w:rsidRPr="00D87F1E">
        <w:fldChar w:fldCharType="begin"/>
      </w:r>
      <w:r w:rsidRPr="00D87F1E">
        <w:instrText xml:space="preserve"> SEQ Table \* ARABIC </w:instrText>
      </w:r>
      <w:r w:rsidRPr="00D87F1E">
        <w:fldChar w:fldCharType="separate"/>
      </w:r>
      <w:r w:rsidR="00E93A98">
        <w:rPr>
          <w:noProof/>
        </w:rPr>
        <w:t>13</w:t>
      </w:r>
      <w:r w:rsidRPr="00D87F1E">
        <w:fldChar w:fldCharType="end"/>
      </w:r>
      <w:bookmarkEnd w:id="95"/>
      <w:r w:rsidRPr="00D87F1E">
        <w:t>: Reasons for Approved Transition Plans</w:t>
      </w:r>
    </w:p>
    <w:tbl>
      <w:tblPr>
        <w:tblW w:w="9923" w:type="dxa"/>
        <w:tblBorders>
          <w:top w:val="single" w:sz="4" w:space="0" w:color="B1B3AA"/>
          <w:left w:val="single" w:sz="4" w:space="0" w:color="B1B3AA"/>
          <w:bottom w:val="single" w:sz="4" w:space="0" w:color="B1B3AA"/>
          <w:right w:val="single" w:sz="4" w:space="0" w:color="B1B3AA"/>
          <w:insideH w:val="single" w:sz="4" w:space="0" w:color="B1B3AA"/>
          <w:insideV w:val="single" w:sz="4" w:space="0" w:color="B1B3AA"/>
        </w:tblBorders>
        <w:tblLayout w:type="fixed"/>
        <w:tblCellMar>
          <w:left w:w="0" w:type="dxa"/>
          <w:right w:w="0" w:type="dxa"/>
        </w:tblCellMar>
        <w:tblLook w:val="0000" w:firstRow="0" w:lastRow="0" w:firstColumn="0" w:lastColumn="0" w:noHBand="0" w:noVBand="0"/>
        <w:tblCaption w:val="Reasons for Approved Transition Plans"/>
        <w:tblDescription w:val="A table of the reasons for an Approved Transition Plan with 26% of participants who received an Approved Transition Plan were not referred to employment services. "/>
      </w:tblPr>
      <w:tblGrid>
        <w:gridCol w:w="1980"/>
        <w:gridCol w:w="1802"/>
        <w:gridCol w:w="1883"/>
        <w:gridCol w:w="1985"/>
        <w:gridCol w:w="2273"/>
      </w:tblGrid>
      <w:tr w:rsidR="009D39E7" w:rsidRPr="00E036A6" w14:paraId="5C86CA4C" w14:textId="77777777" w:rsidTr="000710CA">
        <w:trPr>
          <w:trHeight w:val="20"/>
        </w:trPr>
        <w:tc>
          <w:tcPr>
            <w:tcW w:w="1980" w:type="dxa"/>
            <w:shd w:val="clear" w:color="auto" w:fill="002D62"/>
            <w:noWrap/>
            <w:tcMar>
              <w:top w:w="85" w:type="dxa"/>
              <w:left w:w="85" w:type="dxa"/>
              <w:bottom w:w="85" w:type="dxa"/>
              <w:right w:w="85" w:type="dxa"/>
            </w:tcMar>
          </w:tcPr>
          <w:p w14:paraId="166D861A" w14:textId="77777777" w:rsidR="00385537" w:rsidRPr="000710CA" w:rsidRDefault="00385537" w:rsidP="000710CA">
            <w:pPr>
              <w:pStyle w:val="TableHeading"/>
            </w:pPr>
            <w:r w:rsidRPr="000710CA">
              <w:t>Region</w:t>
            </w:r>
          </w:p>
        </w:tc>
        <w:tc>
          <w:tcPr>
            <w:tcW w:w="1802" w:type="dxa"/>
            <w:shd w:val="clear" w:color="auto" w:fill="002D62"/>
            <w:noWrap/>
            <w:tcMar>
              <w:top w:w="85" w:type="dxa"/>
              <w:left w:w="85" w:type="dxa"/>
              <w:bottom w:w="85" w:type="dxa"/>
              <w:right w:w="85" w:type="dxa"/>
            </w:tcMar>
          </w:tcPr>
          <w:p w14:paraId="02BE46DA" w14:textId="77777777" w:rsidR="00385537" w:rsidRPr="000710CA" w:rsidRDefault="00385537" w:rsidP="000710CA">
            <w:pPr>
              <w:pStyle w:val="TableHeading"/>
            </w:pPr>
            <w:r w:rsidRPr="000710CA">
              <w:t>Approved Transition Plans</w:t>
            </w:r>
          </w:p>
        </w:tc>
        <w:tc>
          <w:tcPr>
            <w:tcW w:w="1883" w:type="dxa"/>
            <w:shd w:val="clear" w:color="auto" w:fill="002D62"/>
            <w:noWrap/>
            <w:tcMar>
              <w:top w:w="85" w:type="dxa"/>
              <w:left w:w="85" w:type="dxa"/>
              <w:bottom w:w="85" w:type="dxa"/>
              <w:right w:w="85" w:type="dxa"/>
            </w:tcMar>
          </w:tcPr>
          <w:p w14:paraId="58B0BD89" w14:textId="77777777" w:rsidR="00385537" w:rsidRPr="000710CA" w:rsidRDefault="00385537" w:rsidP="000710CA">
            <w:pPr>
              <w:pStyle w:val="TableHeading"/>
            </w:pPr>
            <w:r w:rsidRPr="000710CA">
              <w:t xml:space="preserve">Approved </w:t>
            </w:r>
            <w:r w:rsidR="00D56271" w:rsidRPr="000710CA">
              <w:t>with Facilitated Transfer</w:t>
            </w:r>
          </w:p>
        </w:tc>
        <w:tc>
          <w:tcPr>
            <w:tcW w:w="1985" w:type="dxa"/>
            <w:shd w:val="clear" w:color="auto" w:fill="002D62"/>
            <w:noWrap/>
            <w:tcMar>
              <w:top w:w="85" w:type="dxa"/>
              <w:left w:w="85" w:type="dxa"/>
              <w:bottom w:w="85" w:type="dxa"/>
              <w:right w:w="85" w:type="dxa"/>
            </w:tcMar>
          </w:tcPr>
          <w:p w14:paraId="0F640E49" w14:textId="77777777" w:rsidR="00385537" w:rsidRPr="000710CA" w:rsidRDefault="00D56271" w:rsidP="000710CA">
            <w:pPr>
              <w:pStyle w:val="TableHeading"/>
            </w:pPr>
            <w:r w:rsidRPr="000710CA">
              <w:t>Approved</w:t>
            </w:r>
            <w:r w:rsidR="00FE61A6" w:rsidRPr="000710CA">
              <w:t xml:space="preserve"> with no Facilitated Transfer</w:t>
            </w:r>
          </w:p>
        </w:tc>
        <w:tc>
          <w:tcPr>
            <w:tcW w:w="2273" w:type="dxa"/>
            <w:shd w:val="clear" w:color="auto" w:fill="002D62"/>
            <w:noWrap/>
            <w:tcMar>
              <w:top w:w="85" w:type="dxa"/>
              <w:left w:w="85" w:type="dxa"/>
              <w:bottom w:w="85" w:type="dxa"/>
              <w:right w:w="85" w:type="dxa"/>
            </w:tcMar>
          </w:tcPr>
          <w:p w14:paraId="0C84C503" w14:textId="35DCC2BD" w:rsidR="00385537" w:rsidRPr="000710CA" w:rsidRDefault="00FE61A6" w:rsidP="000710CA">
            <w:pPr>
              <w:pStyle w:val="TableHeading"/>
            </w:pPr>
            <w:r w:rsidRPr="000710CA">
              <w:t>Approved</w:t>
            </w:r>
            <w:r w:rsidR="007231B5" w:rsidRPr="000710CA">
              <w:t>, p</w:t>
            </w:r>
            <w:r w:rsidRPr="000710CA">
              <w:t>articipant not referred to Emp</w:t>
            </w:r>
            <w:r w:rsidR="008F3B77" w:rsidRPr="000710CA">
              <w:t>loyment</w:t>
            </w:r>
            <w:r w:rsidRPr="000710CA">
              <w:t xml:space="preserve"> Services</w:t>
            </w:r>
          </w:p>
        </w:tc>
      </w:tr>
      <w:tr w:rsidR="005E034F" w:rsidRPr="00E036A6" w14:paraId="23463FCE" w14:textId="77777777" w:rsidTr="000710CA">
        <w:trPr>
          <w:trHeight w:val="20"/>
        </w:trPr>
        <w:tc>
          <w:tcPr>
            <w:tcW w:w="1980" w:type="dxa"/>
            <w:tcMar>
              <w:top w:w="85" w:type="dxa"/>
              <w:left w:w="85" w:type="dxa"/>
              <w:bottom w:w="85" w:type="dxa"/>
              <w:right w:w="85" w:type="dxa"/>
            </w:tcMar>
          </w:tcPr>
          <w:p w14:paraId="3A0BA704" w14:textId="77777777" w:rsidR="005E034F" w:rsidRPr="000710CA" w:rsidRDefault="005E034F" w:rsidP="007F09E7">
            <w:pPr>
              <w:pStyle w:val="TableParagraph"/>
            </w:pPr>
            <w:r w:rsidRPr="000710CA">
              <w:t>Non-Remote</w:t>
            </w:r>
          </w:p>
        </w:tc>
        <w:tc>
          <w:tcPr>
            <w:tcW w:w="1802" w:type="dxa"/>
            <w:tcMar>
              <w:top w:w="85" w:type="dxa"/>
              <w:left w:w="85" w:type="dxa"/>
              <w:bottom w:w="85" w:type="dxa"/>
              <w:right w:w="85" w:type="dxa"/>
            </w:tcMar>
          </w:tcPr>
          <w:p w14:paraId="6C132363" w14:textId="77777777" w:rsidR="005E034F" w:rsidRPr="000710CA" w:rsidRDefault="005E034F" w:rsidP="007F09E7">
            <w:pPr>
              <w:pStyle w:val="TableParagraph"/>
            </w:pPr>
            <w:r w:rsidRPr="000710CA">
              <w:t>1,640</w:t>
            </w:r>
          </w:p>
        </w:tc>
        <w:tc>
          <w:tcPr>
            <w:tcW w:w="1883" w:type="dxa"/>
            <w:tcMar>
              <w:top w:w="85" w:type="dxa"/>
              <w:left w:w="85" w:type="dxa"/>
              <w:bottom w:w="85" w:type="dxa"/>
              <w:right w:w="85" w:type="dxa"/>
            </w:tcMar>
          </w:tcPr>
          <w:p w14:paraId="35416C20" w14:textId="77777777" w:rsidR="005E034F" w:rsidRPr="000710CA" w:rsidRDefault="005E034F" w:rsidP="007F09E7">
            <w:pPr>
              <w:pStyle w:val="TableParagraph"/>
            </w:pPr>
            <w:r w:rsidRPr="000710CA">
              <w:t>503</w:t>
            </w:r>
          </w:p>
        </w:tc>
        <w:tc>
          <w:tcPr>
            <w:tcW w:w="1985" w:type="dxa"/>
            <w:tcMar>
              <w:top w:w="85" w:type="dxa"/>
              <w:left w:w="85" w:type="dxa"/>
              <w:bottom w:w="85" w:type="dxa"/>
              <w:right w:w="85" w:type="dxa"/>
            </w:tcMar>
          </w:tcPr>
          <w:p w14:paraId="29DDD57A" w14:textId="77777777" w:rsidR="005E034F" w:rsidRPr="000710CA" w:rsidRDefault="005E034F" w:rsidP="007F09E7">
            <w:pPr>
              <w:pStyle w:val="TableParagraph"/>
            </w:pPr>
            <w:r w:rsidRPr="000710CA">
              <w:t>725</w:t>
            </w:r>
          </w:p>
        </w:tc>
        <w:tc>
          <w:tcPr>
            <w:tcW w:w="2273" w:type="dxa"/>
            <w:tcMar>
              <w:top w:w="85" w:type="dxa"/>
              <w:left w:w="85" w:type="dxa"/>
              <w:bottom w:w="85" w:type="dxa"/>
              <w:right w:w="85" w:type="dxa"/>
            </w:tcMar>
          </w:tcPr>
          <w:p w14:paraId="3E537898" w14:textId="77777777" w:rsidR="005E034F" w:rsidRPr="000710CA" w:rsidRDefault="005E034F" w:rsidP="007F09E7">
            <w:pPr>
              <w:pStyle w:val="TableParagraph"/>
            </w:pPr>
            <w:r w:rsidRPr="000710CA">
              <w:t>412</w:t>
            </w:r>
          </w:p>
        </w:tc>
      </w:tr>
      <w:tr w:rsidR="005E034F" w:rsidRPr="00E036A6" w14:paraId="0D93D0E9" w14:textId="77777777" w:rsidTr="000710CA">
        <w:trPr>
          <w:trHeight w:val="20"/>
        </w:trPr>
        <w:tc>
          <w:tcPr>
            <w:tcW w:w="1980" w:type="dxa"/>
            <w:tcMar>
              <w:top w:w="85" w:type="dxa"/>
              <w:left w:w="85" w:type="dxa"/>
              <w:bottom w:w="85" w:type="dxa"/>
              <w:right w:w="85" w:type="dxa"/>
            </w:tcMar>
          </w:tcPr>
          <w:p w14:paraId="590A7A7B" w14:textId="77777777" w:rsidR="005E034F" w:rsidRPr="000710CA" w:rsidRDefault="005E034F" w:rsidP="007F09E7">
            <w:pPr>
              <w:pStyle w:val="TableParagraph"/>
            </w:pPr>
            <w:r w:rsidRPr="000710CA">
              <w:t>Remote</w:t>
            </w:r>
          </w:p>
        </w:tc>
        <w:tc>
          <w:tcPr>
            <w:tcW w:w="1802" w:type="dxa"/>
            <w:tcMar>
              <w:top w:w="85" w:type="dxa"/>
              <w:left w:w="85" w:type="dxa"/>
              <w:bottom w:w="85" w:type="dxa"/>
              <w:right w:w="85" w:type="dxa"/>
            </w:tcMar>
          </w:tcPr>
          <w:p w14:paraId="0209A6D1" w14:textId="77777777" w:rsidR="005E034F" w:rsidRPr="000710CA" w:rsidRDefault="005E034F" w:rsidP="007F09E7">
            <w:pPr>
              <w:pStyle w:val="TableParagraph"/>
            </w:pPr>
            <w:r w:rsidRPr="000710CA">
              <w:t>175</w:t>
            </w:r>
          </w:p>
        </w:tc>
        <w:tc>
          <w:tcPr>
            <w:tcW w:w="1883" w:type="dxa"/>
            <w:tcMar>
              <w:top w:w="85" w:type="dxa"/>
              <w:left w:w="85" w:type="dxa"/>
              <w:bottom w:w="85" w:type="dxa"/>
              <w:right w:w="85" w:type="dxa"/>
            </w:tcMar>
          </w:tcPr>
          <w:p w14:paraId="47514324" w14:textId="77777777" w:rsidR="005E034F" w:rsidRPr="000710CA" w:rsidRDefault="005E034F" w:rsidP="007F09E7">
            <w:pPr>
              <w:pStyle w:val="TableParagraph"/>
            </w:pPr>
            <w:r w:rsidRPr="000710CA">
              <w:t>72</w:t>
            </w:r>
          </w:p>
        </w:tc>
        <w:tc>
          <w:tcPr>
            <w:tcW w:w="1985" w:type="dxa"/>
            <w:tcMar>
              <w:top w:w="85" w:type="dxa"/>
              <w:left w:w="85" w:type="dxa"/>
              <w:bottom w:w="85" w:type="dxa"/>
              <w:right w:w="85" w:type="dxa"/>
            </w:tcMar>
          </w:tcPr>
          <w:p w14:paraId="1389A429" w14:textId="77777777" w:rsidR="005E034F" w:rsidRPr="000710CA" w:rsidRDefault="005E034F" w:rsidP="007F09E7">
            <w:pPr>
              <w:pStyle w:val="TableParagraph"/>
            </w:pPr>
            <w:r w:rsidRPr="000710CA">
              <w:t>49</w:t>
            </w:r>
          </w:p>
        </w:tc>
        <w:tc>
          <w:tcPr>
            <w:tcW w:w="2273" w:type="dxa"/>
            <w:tcMar>
              <w:top w:w="85" w:type="dxa"/>
              <w:left w:w="85" w:type="dxa"/>
              <w:bottom w:w="85" w:type="dxa"/>
              <w:right w:w="85" w:type="dxa"/>
            </w:tcMar>
          </w:tcPr>
          <w:p w14:paraId="226B687A" w14:textId="77777777" w:rsidR="005E034F" w:rsidRPr="000710CA" w:rsidRDefault="005E034F" w:rsidP="007F09E7">
            <w:pPr>
              <w:pStyle w:val="TableParagraph"/>
            </w:pPr>
            <w:r w:rsidRPr="000710CA">
              <w:t>54</w:t>
            </w:r>
          </w:p>
        </w:tc>
      </w:tr>
      <w:tr w:rsidR="009D39E7" w:rsidRPr="00E036A6" w14:paraId="7A824232" w14:textId="77777777" w:rsidTr="000710CA">
        <w:trPr>
          <w:trHeight w:val="20"/>
        </w:trPr>
        <w:tc>
          <w:tcPr>
            <w:tcW w:w="1980" w:type="dxa"/>
            <w:shd w:val="clear" w:color="auto" w:fill="002C61"/>
            <w:tcMar>
              <w:top w:w="85" w:type="dxa"/>
              <w:left w:w="85" w:type="dxa"/>
              <w:bottom w:w="85" w:type="dxa"/>
              <w:right w:w="85" w:type="dxa"/>
            </w:tcMar>
          </w:tcPr>
          <w:p w14:paraId="7AC24425" w14:textId="77777777" w:rsidR="005E034F" w:rsidRPr="000710CA" w:rsidRDefault="005E034F" w:rsidP="007F09E7">
            <w:pPr>
              <w:pStyle w:val="TableParagraph"/>
            </w:pPr>
            <w:r w:rsidRPr="000710CA">
              <w:t>Total</w:t>
            </w:r>
          </w:p>
        </w:tc>
        <w:tc>
          <w:tcPr>
            <w:tcW w:w="1802" w:type="dxa"/>
            <w:shd w:val="clear" w:color="auto" w:fill="002C61"/>
            <w:tcMar>
              <w:top w:w="85" w:type="dxa"/>
              <w:left w:w="85" w:type="dxa"/>
              <w:bottom w:w="85" w:type="dxa"/>
              <w:right w:w="85" w:type="dxa"/>
            </w:tcMar>
          </w:tcPr>
          <w:p w14:paraId="09BD46EA" w14:textId="77777777" w:rsidR="005E034F" w:rsidRPr="000710CA" w:rsidRDefault="005E034F" w:rsidP="007F09E7">
            <w:pPr>
              <w:pStyle w:val="TableParagraph"/>
            </w:pPr>
            <w:r w:rsidRPr="000710CA">
              <w:t>1,815</w:t>
            </w:r>
          </w:p>
        </w:tc>
        <w:tc>
          <w:tcPr>
            <w:tcW w:w="1883" w:type="dxa"/>
            <w:shd w:val="clear" w:color="auto" w:fill="002C61"/>
            <w:tcMar>
              <w:top w:w="85" w:type="dxa"/>
              <w:left w:w="85" w:type="dxa"/>
              <w:bottom w:w="85" w:type="dxa"/>
              <w:right w:w="85" w:type="dxa"/>
            </w:tcMar>
          </w:tcPr>
          <w:p w14:paraId="3D564212" w14:textId="77777777" w:rsidR="005E034F" w:rsidRPr="000710CA" w:rsidRDefault="005E034F" w:rsidP="007F09E7">
            <w:pPr>
              <w:pStyle w:val="TableParagraph"/>
            </w:pPr>
            <w:r w:rsidRPr="000710CA">
              <w:t>575</w:t>
            </w:r>
          </w:p>
        </w:tc>
        <w:tc>
          <w:tcPr>
            <w:tcW w:w="1985" w:type="dxa"/>
            <w:shd w:val="clear" w:color="auto" w:fill="002C61"/>
            <w:tcMar>
              <w:top w:w="85" w:type="dxa"/>
              <w:left w:w="85" w:type="dxa"/>
              <w:bottom w:w="85" w:type="dxa"/>
              <w:right w:w="85" w:type="dxa"/>
            </w:tcMar>
          </w:tcPr>
          <w:p w14:paraId="313175D2" w14:textId="77777777" w:rsidR="005E034F" w:rsidRPr="000710CA" w:rsidRDefault="005E034F" w:rsidP="007F09E7">
            <w:pPr>
              <w:pStyle w:val="TableParagraph"/>
            </w:pPr>
            <w:r w:rsidRPr="000710CA">
              <w:t>774</w:t>
            </w:r>
          </w:p>
        </w:tc>
        <w:tc>
          <w:tcPr>
            <w:tcW w:w="2273" w:type="dxa"/>
            <w:shd w:val="clear" w:color="auto" w:fill="002C61"/>
            <w:tcMar>
              <w:top w:w="85" w:type="dxa"/>
              <w:left w:w="85" w:type="dxa"/>
              <w:bottom w:w="85" w:type="dxa"/>
              <w:right w:w="85" w:type="dxa"/>
            </w:tcMar>
          </w:tcPr>
          <w:p w14:paraId="5181C57E" w14:textId="77777777" w:rsidR="005E034F" w:rsidRPr="000710CA" w:rsidRDefault="005E034F" w:rsidP="007F09E7">
            <w:pPr>
              <w:pStyle w:val="TableParagraph"/>
            </w:pPr>
            <w:r w:rsidRPr="000710CA">
              <w:t>466</w:t>
            </w:r>
          </w:p>
        </w:tc>
      </w:tr>
      <w:tr w:rsidR="009D39E7" w:rsidRPr="00E036A6" w14:paraId="2005E5AF" w14:textId="77777777" w:rsidTr="000710CA">
        <w:trPr>
          <w:trHeight w:val="20"/>
        </w:trPr>
        <w:tc>
          <w:tcPr>
            <w:tcW w:w="1980" w:type="dxa"/>
            <w:shd w:val="clear" w:color="auto" w:fill="F1F1F1"/>
            <w:tcMar>
              <w:top w:w="85" w:type="dxa"/>
              <w:left w:w="85" w:type="dxa"/>
              <w:bottom w:w="85" w:type="dxa"/>
              <w:right w:w="85" w:type="dxa"/>
            </w:tcMar>
          </w:tcPr>
          <w:p w14:paraId="723266AE" w14:textId="77777777" w:rsidR="005E034F" w:rsidRPr="000710CA" w:rsidRDefault="005E034F" w:rsidP="007F09E7">
            <w:pPr>
              <w:pStyle w:val="TableParagraph"/>
            </w:pPr>
            <w:r w:rsidRPr="000710CA">
              <w:t>% of Approved Transition Plans</w:t>
            </w:r>
          </w:p>
        </w:tc>
        <w:tc>
          <w:tcPr>
            <w:tcW w:w="1802" w:type="dxa"/>
            <w:shd w:val="clear" w:color="auto" w:fill="F1F1F1"/>
            <w:tcMar>
              <w:top w:w="85" w:type="dxa"/>
              <w:left w:w="85" w:type="dxa"/>
              <w:bottom w:w="85" w:type="dxa"/>
              <w:right w:w="85" w:type="dxa"/>
            </w:tcMar>
          </w:tcPr>
          <w:p w14:paraId="129A1E6B" w14:textId="77777777" w:rsidR="005E034F" w:rsidRPr="000710CA" w:rsidRDefault="005E034F" w:rsidP="007F09E7">
            <w:pPr>
              <w:pStyle w:val="TableParagraph"/>
            </w:pPr>
          </w:p>
        </w:tc>
        <w:tc>
          <w:tcPr>
            <w:tcW w:w="1883" w:type="dxa"/>
            <w:shd w:val="clear" w:color="auto" w:fill="F1F1F1"/>
            <w:tcMar>
              <w:top w:w="85" w:type="dxa"/>
              <w:left w:w="85" w:type="dxa"/>
              <w:bottom w:w="85" w:type="dxa"/>
              <w:right w:w="85" w:type="dxa"/>
            </w:tcMar>
          </w:tcPr>
          <w:p w14:paraId="3D8DB66E" w14:textId="77777777" w:rsidR="005E034F" w:rsidRPr="000710CA" w:rsidRDefault="005E034F" w:rsidP="007F09E7">
            <w:pPr>
              <w:pStyle w:val="TableParagraph"/>
            </w:pPr>
            <w:r w:rsidRPr="000710CA">
              <w:t>32%</w:t>
            </w:r>
          </w:p>
        </w:tc>
        <w:tc>
          <w:tcPr>
            <w:tcW w:w="1985" w:type="dxa"/>
            <w:shd w:val="clear" w:color="auto" w:fill="F1F1F1"/>
            <w:tcMar>
              <w:top w:w="85" w:type="dxa"/>
              <w:left w:w="85" w:type="dxa"/>
              <w:bottom w:w="85" w:type="dxa"/>
              <w:right w:w="85" w:type="dxa"/>
            </w:tcMar>
          </w:tcPr>
          <w:p w14:paraId="009C5F59" w14:textId="77777777" w:rsidR="005E034F" w:rsidRPr="000710CA" w:rsidRDefault="005E034F" w:rsidP="007F09E7">
            <w:pPr>
              <w:pStyle w:val="TableParagraph"/>
            </w:pPr>
            <w:r w:rsidRPr="000710CA">
              <w:t>43%</w:t>
            </w:r>
          </w:p>
        </w:tc>
        <w:tc>
          <w:tcPr>
            <w:tcW w:w="2273" w:type="dxa"/>
            <w:shd w:val="clear" w:color="auto" w:fill="F1F1F1"/>
            <w:tcMar>
              <w:top w:w="85" w:type="dxa"/>
              <w:left w:w="85" w:type="dxa"/>
              <w:bottom w:w="85" w:type="dxa"/>
              <w:right w:w="85" w:type="dxa"/>
            </w:tcMar>
          </w:tcPr>
          <w:p w14:paraId="0A029474" w14:textId="77777777" w:rsidR="005E034F" w:rsidRPr="000710CA" w:rsidRDefault="005E034F" w:rsidP="007F09E7">
            <w:pPr>
              <w:pStyle w:val="TableParagraph"/>
            </w:pPr>
            <w:r w:rsidRPr="000710CA">
              <w:t>26%</w:t>
            </w:r>
          </w:p>
        </w:tc>
      </w:tr>
    </w:tbl>
    <w:p w14:paraId="713BA274" w14:textId="6BAE29FA" w:rsidR="00012340" w:rsidRDefault="00012340" w:rsidP="00305B4B">
      <w:pPr>
        <w:pStyle w:val="Heading3"/>
        <w:ind w:right="3"/>
      </w:pPr>
      <w:bookmarkStart w:id="96" w:name="_Ref72791186"/>
      <w:r>
        <w:t xml:space="preserve">Why may </w:t>
      </w:r>
      <w:r w:rsidR="002B76D3" w:rsidRPr="002B76D3">
        <w:t>Approved Transition Plans and Facilitated Transfer Meetings</w:t>
      </w:r>
      <w:r w:rsidR="002B76D3">
        <w:t xml:space="preserve"> not be </w:t>
      </w:r>
      <w:r>
        <w:t>completed?</w:t>
      </w:r>
      <w:bookmarkEnd w:id="96"/>
    </w:p>
    <w:p w14:paraId="393961AA" w14:textId="2F9E23CD" w:rsidR="004A7973" w:rsidRDefault="004A7973" w:rsidP="00305B4B">
      <w:pPr>
        <w:pStyle w:val="BodyText"/>
        <w:ind w:right="3"/>
      </w:pPr>
      <w:r>
        <w:rPr>
          <w:noProof/>
        </w:rPr>
        <mc:AlternateContent>
          <mc:Choice Requires="wps">
            <w:drawing>
              <wp:inline distT="0" distB="0" distL="0" distR="0" wp14:anchorId="60D03BAC" wp14:editId="2CA1951C">
                <wp:extent cx="6303010" cy="2958353"/>
                <wp:effectExtent l="0" t="0" r="0" b="1270"/>
                <wp:docPr id="1623174859" name="Text Box 1623174859"/>
                <wp:cNvGraphicFramePr/>
                <a:graphic xmlns:a="http://schemas.openxmlformats.org/drawingml/2006/main">
                  <a:graphicData uri="http://schemas.microsoft.com/office/word/2010/wordprocessingShape">
                    <wps:wsp>
                      <wps:cNvSpPr txBox="1"/>
                      <wps:spPr>
                        <a:xfrm>
                          <a:off x="0" y="0"/>
                          <a:ext cx="6303010" cy="2958353"/>
                        </a:xfrm>
                        <a:prstGeom prst="rect">
                          <a:avLst/>
                        </a:prstGeom>
                        <a:solidFill>
                          <a:schemeClr val="accent4">
                            <a:lumMod val="20000"/>
                            <a:lumOff val="80000"/>
                          </a:schemeClr>
                        </a:solidFill>
                        <a:ln w="6350">
                          <a:noFill/>
                        </a:ln>
                      </wps:spPr>
                      <wps:txbx>
                        <w:txbxContent>
                          <w:p w14:paraId="212631CD" w14:textId="77777777" w:rsidR="004A7973" w:rsidRPr="001A175C" w:rsidRDefault="004A7973" w:rsidP="004A7973">
                            <w:pPr>
                              <w:pStyle w:val="BodyText"/>
                              <w:ind w:right="3"/>
                            </w:pPr>
                            <w:r w:rsidRPr="001A175C">
                              <w:rPr>
                                <w:b/>
                                <w:bCs/>
                              </w:rPr>
                              <w:t>Key Finding #5:</w:t>
                            </w:r>
                            <w:r w:rsidRPr="001A175C">
                              <w:t xml:space="preserve"> Most TWES participants are not receiving an Approved Transition Plan or a Facilitated Transfer Meeting with their referred post-release employment service provider before they leave prison. </w:t>
                            </w:r>
                          </w:p>
                          <w:p w14:paraId="51514A7B" w14:textId="77777777" w:rsidR="004A7973" w:rsidRPr="001A175C" w:rsidRDefault="004A7973" w:rsidP="004A7973">
                            <w:pPr>
                              <w:pStyle w:val="BodyText"/>
                              <w:ind w:right="3"/>
                            </w:pPr>
                            <w:r w:rsidRPr="001A175C">
                              <w:t>Options for consideration:</w:t>
                            </w:r>
                          </w:p>
                          <w:p w14:paraId="36A335B0" w14:textId="77777777" w:rsidR="004A7973" w:rsidRPr="001A175C" w:rsidRDefault="004A7973" w:rsidP="004A7973">
                            <w:pPr>
                              <w:pStyle w:val="Numberedlist"/>
                            </w:pPr>
                            <w:r w:rsidRPr="001A175C">
                              <w:t>NIAA and DESE to increase employment service providers’ knowledge of TWES, to help increase willingness and interest to attend Facilitated Transfer Meetings.</w:t>
                            </w:r>
                          </w:p>
                          <w:p w14:paraId="2E4F7515" w14:textId="77777777" w:rsidR="004A7973" w:rsidRPr="001A175C" w:rsidRDefault="004A7973" w:rsidP="004A7973">
                            <w:pPr>
                              <w:pStyle w:val="Numberedlist"/>
                            </w:pPr>
                            <w:r w:rsidRPr="001A175C">
                              <w:t>NIAA, DESE and Services Australia to explore other options for TWES providers to connect participants with post-release employment service providers. This could include changing the conditions so TWES providers keep participants on their caseload longer than the current 13 weeks to allow additional time for a referral.</w:t>
                            </w:r>
                          </w:p>
                          <w:p w14:paraId="43FCE68C" w14:textId="394B7FCB" w:rsidR="004A7973" w:rsidRPr="004A7973" w:rsidRDefault="004A7973" w:rsidP="004A7973">
                            <w:pPr>
                              <w:pStyle w:val="Numberedlist"/>
                            </w:pPr>
                            <w:r w:rsidRPr="001A175C">
                              <w:t>NIAA, DESE, Services Australia and state/territory governments to explore options to provide better, more coordinated support</w:t>
                            </w:r>
                            <w:r>
                              <w:t xml:space="preserve"> services to prisoners who do not have, or do not provide, a known address before they leave prison.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D03BAC" id="Text Box 1623174859" o:spid="_x0000_s1034" type="#_x0000_t202" style="width:496.3pt;height:23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" fillcolor="#f1ede4 [663]" stroked="f" strokeweight=".5pt">
                <v:textbox>
                  <w:txbxContent>
                    <w:p w14:paraId="212631CD" w14:textId="77777777" w:rsidR="004A7973" w:rsidRPr="001A175C" w:rsidRDefault="004A7973" w:rsidP="004A7973">
                      <w:pPr>
                        <w:pStyle w:val="BodyText"/>
                        <w:ind w:right="3"/>
                      </w:pPr>
                      <w:r w:rsidRPr="001A175C">
                        <w:rPr>
                          <w:b/>
                          <w:bCs/>
                        </w:rPr>
                        <w:t>Key Finding #5:</w:t>
                      </w:r>
                      <w:r w:rsidRPr="001A175C">
                        <w:t xml:space="preserve"> Most TWES participants are not receiving an Approved Transition Plan or a Facilitated Transfer Meeting with their referred post-release employment service provider before they leave prison. </w:t>
                      </w:r>
                    </w:p>
                    <w:p w14:paraId="51514A7B" w14:textId="77777777" w:rsidR="004A7973" w:rsidRPr="001A175C" w:rsidRDefault="004A7973" w:rsidP="004A7973">
                      <w:pPr>
                        <w:pStyle w:val="BodyText"/>
                        <w:ind w:right="3"/>
                      </w:pPr>
                      <w:r w:rsidRPr="001A175C">
                        <w:t>Options for consideration:</w:t>
                      </w:r>
                    </w:p>
                    <w:p w14:paraId="36A335B0" w14:textId="77777777" w:rsidR="004A7973" w:rsidRPr="001A175C" w:rsidRDefault="004A7973" w:rsidP="004A7973">
                      <w:pPr>
                        <w:pStyle w:val="Numberedlist"/>
                      </w:pPr>
                      <w:r w:rsidRPr="001A175C">
                        <w:t>NIAA and DESE to increase employment service providers’ knowledge of TWES, to help increase willingness and interest to attend Facilitated Transfer Meetings.</w:t>
                      </w:r>
                    </w:p>
                    <w:p w14:paraId="2E4F7515" w14:textId="77777777" w:rsidR="004A7973" w:rsidRPr="001A175C" w:rsidRDefault="004A7973" w:rsidP="004A7973">
                      <w:pPr>
                        <w:pStyle w:val="Numberedlist"/>
                      </w:pPr>
                      <w:r w:rsidRPr="001A175C">
                        <w:t xml:space="preserve">NIAA, DESE and Services Australia to explore other options for TWES providers to connect participants with post-release employment service providers. This could include changing the </w:t>
                      </w:r>
                      <w:proofErr w:type="gramStart"/>
                      <w:r w:rsidRPr="001A175C">
                        <w:t>conditions</w:t>
                      </w:r>
                      <w:proofErr w:type="gramEnd"/>
                      <w:r w:rsidRPr="001A175C">
                        <w:t xml:space="preserve"> so TWES providers keep participants on their caseload longer than the current 13 weeks to allow additional time for a referral.</w:t>
                      </w:r>
                    </w:p>
                    <w:p w14:paraId="43FCE68C" w14:textId="394B7FCB" w:rsidR="004A7973" w:rsidRPr="004A7973" w:rsidRDefault="004A7973" w:rsidP="004A7973">
                      <w:pPr>
                        <w:pStyle w:val="Numberedlist"/>
                      </w:pPr>
                      <w:r w:rsidRPr="001A175C">
                        <w:t>NIAA, DESE, Services Australia and state/territory governments to explore options to provide better, more coordinated support</w:t>
                      </w:r>
                      <w:r>
                        <w:t xml:space="preserve"> services to prisoners who do not have, or do not provide, a known address before they leave prison.</w:t>
                      </w:r>
                    </w:p>
                  </w:txbxContent>
                </v:textbox>
                <w10:anchorlock/>
              </v:shape>
            </w:pict>
          </mc:Fallback>
        </mc:AlternateContent>
      </w:r>
    </w:p>
    <w:p w14:paraId="1F580BE8" w14:textId="5B4E4FF2" w:rsidR="0052136B" w:rsidRPr="001A175C" w:rsidRDefault="0052136B" w:rsidP="00305B4B">
      <w:pPr>
        <w:pStyle w:val="BodyText"/>
        <w:ind w:right="3"/>
      </w:pPr>
      <w:r w:rsidRPr="001A175C">
        <w:lastRenderedPageBreak/>
        <w:t>The TWES program logic identifies the completion of Transition Plans and Facilitated Transfer Meetings as priority outcomes of TWES. The program logic states that these steps are critical for improving participants’ understanding of how to engage employment services after they leave prison, strengthening participants’ connections with employment services, and improving employment service providers’ understanding of participants</w:t>
      </w:r>
      <w:r w:rsidR="00B2337B" w:rsidRPr="001A175C">
        <w:t>’</w:t>
      </w:r>
      <w:r w:rsidRPr="001A175C">
        <w:t xml:space="preserve"> background and needs (see</w:t>
      </w:r>
      <w:r w:rsidR="00AB6EA7" w:rsidRPr="001A175C">
        <w:t xml:space="preserve"> </w:t>
      </w:r>
      <w:r w:rsidR="00AB6EA7" w:rsidRPr="001A175C">
        <w:rPr>
          <w:b/>
          <w:bCs/>
        </w:rPr>
        <w:t xml:space="preserve">Section </w:t>
      </w:r>
      <w:r w:rsidR="00AB6EA7" w:rsidRPr="001A175C">
        <w:rPr>
          <w:b/>
          <w:bCs/>
        </w:rPr>
        <w:fldChar w:fldCharType="begin"/>
      </w:r>
      <w:r w:rsidR="00AB6EA7" w:rsidRPr="001A175C">
        <w:rPr>
          <w:b/>
          <w:bCs/>
        </w:rPr>
        <w:instrText xml:space="preserve"> REF _Ref75010590 \r \h  \* MERGEFORMAT </w:instrText>
      </w:r>
      <w:r w:rsidR="00AB6EA7" w:rsidRPr="001A175C">
        <w:rPr>
          <w:b/>
          <w:bCs/>
        </w:rPr>
      </w:r>
      <w:r w:rsidR="00AB6EA7" w:rsidRPr="001A175C">
        <w:rPr>
          <w:b/>
          <w:bCs/>
        </w:rPr>
        <w:fldChar w:fldCharType="separate"/>
      </w:r>
      <w:r w:rsidR="00E93A98" w:rsidRPr="001A175C">
        <w:rPr>
          <w:b/>
          <w:bCs/>
        </w:rPr>
        <w:t>3</w:t>
      </w:r>
      <w:r w:rsidR="00AB6EA7" w:rsidRPr="001A175C">
        <w:rPr>
          <w:b/>
          <w:bCs/>
        </w:rPr>
        <w:fldChar w:fldCharType="end"/>
      </w:r>
      <w:r w:rsidRPr="001A175C">
        <w:t>).</w:t>
      </w:r>
      <w:r w:rsidR="00D91A2A" w:rsidRPr="001A175C">
        <w:t xml:space="preserve"> If these steps are not being achieved, this is likely to reduce the positive impact on engagement with post-release employment service providers, and improved employment outcomes in the long-term. </w:t>
      </w:r>
    </w:p>
    <w:p w14:paraId="0EDE3E23" w14:textId="74EA4117" w:rsidR="00D46068" w:rsidRPr="001A175C" w:rsidRDefault="0052136B" w:rsidP="00305B4B">
      <w:pPr>
        <w:pStyle w:val="BodyText"/>
        <w:ind w:right="3"/>
      </w:pPr>
      <w:r w:rsidRPr="001A175C">
        <w:t>To arrange a Facilitated Transfer Meeting,</w:t>
      </w:r>
      <w:r w:rsidR="001E34DD" w:rsidRPr="001A175C">
        <w:t xml:space="preserve"> </w:t>
      </w:r>
      <w:r w:rsidR="00D46068" w:rsidRPr="001A175C">
        <w:t xml:space="preserve">TWES </w:t>
      </w:r>
      <w:r w:rsidR="00467A51" w:rsidRPr="001A175C">
        <w:t>provider</w:t>
      </w:r>
      <w:r w:rsidR="00D46068" w:rsidRPr="001A175C">
        <w:t>s are notified by</w:t>
      </w:r>
      <w:r w:rsidR="00D62E9C" w:rsidRPr="001A175C">
        <w:t xml:space="preserve"> </w:t>
      </w:r>
      <w:r w:rsidR="00F706B5" w:rsidRPr="001A175C">
        <w:t>ESS</w:t>
      </w:r>
      <w:r w:rsidR="00D46068" w:rsidRPr="001A175C">
        <w:t xml:space="preserve"> (via a system message</w:t>
      </w:r>
      <w:r w:rsidR="00E7612C" w:rsidRPr="001A175C">
        <w:t>)</w:t>
      </w:r>
      <w:r w:rsidR="00ED0540" w:rsidRPr="001A175C">
        <w:t xml:space="preserve"> </w:t>
      </w:r>
      <w:r w:rsidR="00E7612C" w:rsidRPr="001A175C">
        <w:t xml:space="preserve">when </w:t>
      </w:r>
      <w:r w:rsidR="00506804" w:rsidRPr="001A175C">
        <w:t>Services Australia refers the participant to an employment services provider</w:t>
      </w:r>
      <w:r w:rsidR="004D1D43" w:rsidRPr="001A175C">
        <w:t xml:space="preserve">, and the name of the provider (TWES </w:t>
      </w:r>
      <w:r w:rsidR="00D61836" w:rsidRPr="001A175C">
        <w:t xml:space="preserve">providers </w:t>
      </w:r>
      <w:r w:rsidR="004D1D43" w:rsidRPr="001A175C">
        <w:t xml:space="preserve">do not select the employment services provider). TWES </w:t>
      </w:r>
      <w:r w:rsidR="00467A51" w:rsidRPr="001A175C">
        <w:t>provider</w:t>
      </w:r>
      <w:r w:rsidR="004D1D43" w:rsidRPr="001A175C">
        <w:t xml:space="preserve">s then </w:t>
      </w:r>
      <w:r w:rsidR="00044409" w:rsidRPr="001A175C">
        <w:t xml:space="preserve">schedule a Facilitated Transfer </w:t>
      </w:r>
      <w:r w:rsidR="00523C34" w:rsidRPr="001A175C">
        <w:t>M</w:t>
      </w:r>
      <w:r w:rsidR="00044409" w:rsidRPr="001A175C">
        <w:t>eeting between the participant and employment services provide</w:t>
      </w:r>
      <w:r w:rsidR="00506804" w:rsidRPr="001A175C">
        <w:t>r with the TWES provider also present</w:t>
      </w:r>
      <w:r w:rsidR="00044409" w:rsidRPr="001A175C">
        <w:t>.</w:t>
      </w:r>
    </w:p>
    <w:p w14:paraId="773E5A8C" w14:textId="602B34F7" w:rsidR="00B14805" w:rsidRPr="001A175C" w:rsidRDefault="001E34DD" w:rsidP="00305B4B">
      <w:pPr>
        <w:pStyle w:val="BodyText"/>
        <w:ind w:right="3"/>
      </w:pPr>
      <w:r w:rsidRPr="001A175C">
        <w:t xml:space="preserve">It is </w:t>
      </w:r>
      <w:r w:rsidR="00F37E77" w:rsidRPr="001A175C">
        <w:t>a</w:t>
      </w:r>
      <w:r w:rsidRPr="001A175C">
        <w:t xml:space="preserve"> primary opportunity for TWES </w:t>
      </w:r>
      <w:r w:rsidR="00D61836" w:rsidRPr="001A175C">
        <w:t xml:space="preserve">providers </w:t>
      </w:r>
      <w:r w:rsidRPr="001A175C">
        <w:t>to connect participants with a nominated provider, and handover the relationship and information gathered through the Transition Plan.</w:t>
      </w:r>
      <w:r w:rsidR="00323812" w:rsidRPr="001A175C">
        <w:t xml:space="preserve"> </w:t>
      </w:r>
      <w:r w:rsidR="00DA7786" w:rsidRPr="001A175C">
        <w:t>The aim of the</w:t>
      </w:r>
      <w:r w:rsidRPr="001A175C">
        <w:t xml:space="preserve"> </w:t>
      </w:r>
      <w:r w:rsidR="00644AB2" w:rsidRPr="001A175C">
        <w:t>F</w:t>
      </w:r>
      <w:r w:rsidR="00323812" w:rsidRPr="001A175C">
        <w:t xml:space="preserve">acilitated </w:t>
      </w:r>
      <w:r w:rsidR="00644AB2" w:rsidRPr="001A175C">
        <w:t>T</w:t>
      </w:r>
      <w:r w:rsidR="00323812" w:rsidRPr="001A175C">
        <w:t xml:space="preserve">ransfer </w:t>
      </w:r>
      <w:r w:rsidR="00644AB2" w:rsidRPr="001A175C">
        <w:t xml:space="preserve">Meeting </w:t>
      </w:r>
      <w:r w:rsidR="00323812" w:rsidRPr="001A175C">
        <w:t xml:space="preserve">is to </w:t>
      </w:r>
      <w:r w:rsidR="00926103" w:rsidRPr="001A175C">
        <w:t xml:space="preserve">provide participants with an opportunity to </w:t>
      </w:r>
      <w:r w:rsidR="00615DBB" w:rsidRPr="001A175C">
        <w:t>meet and relationship build with their provider</w:t>
      </w:r>
      <w:r w:rsidR="00A6507F" w:rsidRPr="001A175C">
        <w:t xml:space="preserve"> (see </w:t>
      </w:r>
      <w:r w:rsidR="00AB6EA7" w:rsidRPr="001A175C">
        <w:rPr>
          <w:b/>
          <w:bCs/>
        </w:rPr>
        <w:t xml:space="preserve">Section </w:t>
      </w:r>
      <w:r w:rsidR="00AB6EA7" w:rsidRPr="001A175C">
        <w:rPr>
          <w:b/>
          <w:bCs/>
        </w:rPr>
        <w:fldChar w:fldCharType="begin"/>
      </w:r>
      <w:r w:rsidR="00AB6EA7" w:rsidRPr="001A175C">
        <w:rPr>
          <w:b/>
          <w:bCs/>
        </w:rPr>
        <w:instrText xml:space="preserve"> REF _Ref75010590 \r \h  \* MERGEFORMAT </w:instrText>
      </w:r>
      <w:r w:rsidR="00AB6EA7" w:rsidRPr="001A175C">
        <w:rPr>
          <w:b/>
          <w:bCs/>
        </w:rPr>
      </w:r>
      <w:r w:rsidR="00AB6EA7" w:rsidRPr="001A175C">
        <w:rPr>
          <w:b/>
          <w:bCs/>
        </w:rPr>
        <w:fldChar w:fldCharType="separate"/>
      </w:r>
      <w:r w:rsidR="00E93A98" w:rsidRPr="001A175C">
        <w:rPr>
          <w:b/>
          <w:bCs/>
        </w:rPr>
        <w:t>3</w:t>
      </w:r>
      <w:r w:rsidR="00AB6EA7" w:rsidRPr="001A175C">
        <w:rPr>
          <w:b/>
          <w:bCs/>
        </w:rPr>
        <w:fldChar w:fldCharType="end"/>
      </w:r>
      <w:r w:rsidR="00A6507F" w:rsidRPr="001A175C">
        <w:t>)</w:t>
      </w:r>
      <w:r w:rsidR="00615DBB" w:rsidRPr="001A175C">
        <w:t xml:space="preserve">. </w:t>
      </w:r>
    </w:p>
    <w:p w14:paraId="509A0572" w14:textId="5442F8FA" w:rsidR="00B14805" w:rsidRPr="001A175C" w:rsidRDefault="00B14805" w:rsidP="00305B4B">
      <w:pPr>
        <w:pStyle w:val="BodyText"/>
        <w:ind w:right="3"/>
      </w:pPr>
      <w:r w:rsidRPr="001A175C">
        <w:t xml:space="preserve">The evaluation found that </w:t>
      </w:r>
      <w:r w:rsidR="00A93A0D" w:rsidRPr="001A175C">
        <w:t>Facilitated Transfer Meeting</w:t>
      </w:r>
      <w:r w:rsidRPr="001A175C">
        <w:t xml:space="preserve">s are largely not occurring due to reasons outside of the </w:t>
      </w:r>
      <w:r w:rsidR="00B372BD" w:rsidRPr="001A175C">
        <w:t xml:space="preserve">TWES </w:t>
      </w:r>
      <w:r w:rsidR="00D61836" w:rsidRPr="001A175C">
        <w:t xml:space="preserve">providers’ </w:t>
      </w:r>
      <w:r w:rsidRPr="001A175C">
        <w:t xml:space="preserve">control. For example, participants cannot be referred to an employment services provider if they have no known address. In some cases, TWES </w:t>
      </w:r>
      <w:r w:rsidR="00D61836" w:rsidRPr="001A175C">
        <w:t xml:space="preserve">providers </w:t>
      </w:r>
      <w:r w:rsidR="00D91A2A" w:rsidRPr="001A175C">
        <w:t xml:space="preserve">reported that they have not been </w:t>
      </w:r>
      <w:r w:rsidRPr="001A175C">
        <w:t xml:space="preserve">given sufficient notice by Services Australia about a participant’s referred employment service provider to organise a </w:t>
      </w:r>
      <w:r w:rsidR="00A93A0D" w:rsidRPr="001A175C">
        <w:t>Facilitated Transfer Meeting</w:t>
      </w:r>
      <w:r w:rsidRPr="001A175C">
        <w:t xml:space="preserve"> before the participant leaves prison. In other cases, TWES </w:t>
      </w:r>
      <w:r w:rsidR="00D61836" w:rsidRPr="001A175C">
        <w:t xml:space="preserve">providers </w:t>
      </w:r>
      <w:r w:rsidRPr="001A175C">
        <w:t xml:space="preserve">encountered challenges in scheduling facilitated transfers due to lack of meeting rooms, or employment service providers being unwilling to attend a </w:t>
      </w:r>
      <w:r w:rsidR="00A93A0D" w:rsidRPr="001A175C">
        <w:t>Facilitated Transfer Meeting</w:t>
      </w:r>
      <w:r w:rsidRPr="001A175C">
        <w:t xml:space="preserve"> with a potential client. </w:t>
      </w:r>
    </w:p>
    <w:p w14:paraId="50B161C4" w14:textId="45790907" w:rsidR="00AE0B26" w:rsidRPr="001A175C" w:rsidRDefault="004F39DA" w:rsidP="00305B4B">
      <w:pPr>
        <w:pStyle w:val="BodyText"/>
        <w:ind w:right="3"/>
      </w:pPr>
      <w:r w:rsidRPr="001A175C">
        <w:t>Most of the stakeholders inter</w:t>
      </w:r>
      <w:r w:rsidR="00E82338" w:rsidRPr="001A175C">
        <w:t xml:space="preserve">viewed reported challenges with conducting Facilitated Transfers successfully (17 out of 27 interviews). </w:t>
      </w:r>
      <w:r w:rsidR="00AE0B26" w:rsidRPr="001A175C">
        <w:t>Issues raised were:</w:t>
      </w:r>
    </w:p>
    <w:p w14:paraId="5E02E720" w14:textId="15A08C90" w:rsidR="007C53D3" w:rsidRPr="00FF3D15" w:rsidRDefault="007C53D3" w:rsidP="00305B4B">
      <w:pPr>
        <w:pStyle w:val="Bulletedlist"/>
        <w:ind w:right="3"/>
      </w:pPr>
      <w:r w:rsidRPr="00FF3D15">
        <w:t>TWES</w:t>
      </w:r>
      <w:r w:rsidRPr="00FF3D15">
        <w:rPr>
          <w:spacing w:val="-8"/>
        </w:rPr>
        <w:t xml:space="preserve"> </w:t>
      </w:r>
      <w:r w:rsidR="00A5307D" w:rsidRPr="00FF3D15">
        <w:t>p</w:t>
      </w:r>
      <w:r w:rsidRPr="00FF3D15">
        <w:t>articipants</w:t>
      </w:r>
      <w:r w:rsidRPr="00FF3D15">
        <w:rPr>
          <w:spacing w:val="-7"/>
        </w:rPr>
        <w:t xml:space="preserve"> </w:t>
      </w:r>
      <w:r w:rsidRPr="00FF3D15">
        <w:t>cannot</w:t>
      </w:r>
      <w:r w:rsidRPr="00FF3D15">
        <w:rPr>
          <w:spacing w:val="-4"/>
        </w:rPr>
        <w:t xml:space="preserve"> </w:t>
      </w:r>
      <w:r w:rsidRPr="00FF3D15">
        <w:t>be</w:t>
      </w:r>
      <w:r w:rsidRPr="00FF3D15">
        <w:rPr>
          <w:spacing w:val="-8"/>
        </w:rPr>
        <w:t xml:space="preserve"> </w:t>
      </w:r>
      <w:r w:rsidR="00F706B5">
        <w:t>referred to</w:t>
      </w:r>
      <w:r w:rsidR="00F706B5" w:rsidRPr="00FF3D15">
        <w:rPr>
          <w:spacing w:val="-6"/>
        </w:rPr>
        <w:t xml:space="preserve"> </w:t>
      </w:r>
      <w:r w:rsidRPr="00FF3D15">
        <w:t>a</w:t>
      </w:r>
      <w:r w:rsidRPr="00FF3D15">
        <w:rPr>
          <w:spacing w:val="-8"/>
        </w:rPr>
        <w:t xml:space="preserve"> </w:t>
      </w:r>
      <w:r w:rsidRPr="00FF3D15">
        <w:t>post-release</w:t>
      </w:r>
      <w:r w:rsidRPr="00FF3D15">
        <w:rPr>
          <w:spacing w:val="-6"/>
        </w:rPr>
        <w:t xml:space="preserve"> </w:t>
      </w:r>
      <w:r w:rsidRPr="00FF3D15">
        <w:t>employment</w:t>
      </w:r>
      <w:r w:rsidRPr="00FF3D15">
        <w:rPr>
          <w:spacing w:val="-8"/>
        </w:rPr>
        <w:t xml:space="preserve"> </w:t>
      </w:r>
      <w:r w:rsidRPr="00FF3D15">
        <w:t>service</w:t>
      </w:r>
      <w:r w:rsidRPr="00FF3D15">
        <w:rPr>
          <w:spacing w:val="-6"/>
        </w:rPr>
        <w:t xml:space="preserve"> </w:t>
      </w:r>
      <w:r w:rsidRPr="00FF3D15">
        <w:t>provider</w:t>
      </w:r>
      <w:r w:rsidR="00C9262D" w:rsidRPr="00FF3D15">
        <w:rPr>
          <w:spacing w:val="-5"/>
        </w:rPr>
        <w:t xml:space="preserve"> </w:t>
      </w:r>
      <w:r w:rsidR="00C9262D" w:rsidRPr="00FF3D15">
        <w:t>by</w:t>
      </w:r>
      <w:r w:rsidR="00C9262D" w:rsidRPr="00FF3D15">
        <w:rPr>
          <w:spacing w:val="-7"/>
        </w:rPr>
        <w:t xml:space="preserve"> </w:t>
      </w:r>
      <w:r w:rsidR="00506804">
        <w:t>Services Australia</w:t>
      </w:r>
      <w:r w:rsidRPr="00FF3D15">
        <w:rPr>
          <w:spacing w:val="28"/>
          <w:w w:val="99"/>
        </w:rPr>
        <w:t xml:space="preserve"> </w:t>
      </w:r>
      <w:r w:rsidRPr="00FF3D15">
        <w:rPr>
          <w:spacing w:val="-1"/>
        </w:rPr>
        <w:t>if</w:t>
      </w:r>
      <w:r w:rsidRPr="00FF3D15">
        <w:rPr>
          <w:spacing w:val="-5"/>
        </w:rPr>
        <w:t xml:space="preserve"> </w:t>
      </w:r>
      <w:r w:rsidRPr="00FF3D15">
        <w:t>they</w:t>
      </w:r>
      <w:r w:rsidRPr="00FF3D15">
        <w:rPr>
          <w:spacing w:val="-4"/>
        </w:rPr>
        <w:t xml:space="preserve"> </w:t>
      </w:r>
      <w:r w:rsidRPr="00FF3D15">
        <w:t>have</w:t>
      </w:r>
      <w:r w:rsidRPr="00FF3D15">
        <w:rPr>
          <w:spacing w:val="-4"/>
        </w:rPr>
        <w:t xml:space="preserve"> </w:t>
      </w:r>
      <w:r w:rsidRPr="00FF3D15">
        <w:t>no</w:t>
      </w:r>
      <w:r w:rsidRPr="00FF3D15">
        <w:rPr>
          <w:spacing w:val="-5"/>
        </w:rPr>
        <w:t xml:space="preserve"> </w:t>
      </w:r>
      <w:r w:rsidRPr="00FF3D15">
        <w:t>known</w:t>
      </w:r>
      <w:r w:rsidRPr="00FF3D15">
        <w:rPr>
          <w:spacing w:val="-3"/>
        </w:rPr>
        <w:t xml:space="preserve"> </w:t>
      </w:r>
      <w:r w:rsidRPr="00FF3D15">
        <w:t>address</w:t>
      </w:r>
      <w:r w:rsidR="00DD416C" w:rsidRPr="00FF3D15">
        <w:rPr>
          <w:spacing w:val="-1"/>
        </w:rPr>
        <w:t xml:space="preserve"> (if</w:t>
      </w:r>
      <w:r w:rsidR="00DD416C" w:rsidRPr="00FF3D15">
        <w:rPr>
          <w:spacing w:val="-5"/>
        </w:rPr>
        <w:t xml:space="preserve"> </w:t>
      </w:r>
      <w:r w:rsidR="00DD416C" w:rsidRPr="00FF3D15">
        <w:rPr>
          <w:spacing w:val="-1"/>
        </w:rPr>
        <w:t>they</w:t>
      </w:r>
      <w:r w:rsidR="00F706B5">
        <w:rPr>
          <w:spacing w:val="-1"/>
        </w:rPr>
        <w:t xml:space="preserve"> do not know where they will live,</w:t>
      </w:r>
      <w:r w:rsidR="00DD416C" w:rsidRPr="00FF3D15">
        <w:rPr>
          <w:spacing w:val="-4"/>
        </w:rPr>
        <w:t xml:space="preserve"> </w:t>
      </w:r>
      <w:r w:rsidR="00DD416C" w:rsidRPr="00FF3D15">
        <w:rPr>
          <w:spacing w:val="1"/>
        </w:rPr>
        <w:t>are</w:t>
      </w:r>
      <w:r w:rsidR="00DD416C" w:rsidRPr="00FF3D15">
        <w:rPr>
          <w:spacing w:val="-5"/>
        </w:rPr>
        <w:t xml:space="preserve"> </w:t>
      </w:r>
      <w:r w:rsidR="00DD416C" w:rsidRPr="00FF3D15">
        <w:t>homeless</w:t>
      </w:r>
      <w:r w:rsidR="00DD416C" w:rsidRPr="00FF3D15">
        <w:rPr>
          <w:spacing w:val="-4"/>
        </w:rPr>
        <w:t xml:space="preserve"> </w:t>
      </w:r>
      <w:r w:rsidR="00DD416C" w:rsidRPr="00FF3D15">
        <w:t>or</w:t>
      </w:r>
      <w:r w:rsidR="00DD416C" w:rsidRPr="00FF3D15">
        <w:rPr>
          <w:spacing w:val="-3"/>
        </w:rPr>
        <w:t xml:space="preserve"> </w:t>
      </w:r>
      <w:r w:rsidR="00C05359" w:rsidRPr="00FF3D15">
        <w:t>will</w:t>
      </w:r>
      <w:r w:rsidR="00C05359" w:rsidRPr="00FF3D15">
        <w:rPr>
          <w:spacing w:val="-6"/>
        </w:rPr>
        <w:t xml:space="preserve"> </w:t>
      </w:r>
      <w:r w:rsidR="00C05359" w:rsidRPr="00FF3D15">
        <w:t>not</w:t>
      </w:r>
      <w:r w:rsidR="00C05359" w:rsidRPr="00FF3D15">
        <w:rPr>
          <w:spacing w:val="-5"/>
        </w:rPr>
        <w:t xml:space="preserve"> </w:t>
      </w:r>
      <w:r w:rsidR="00C05359" w:rsidRPr="00FF3D15">
        <w:t>have</w:t>
      </w:r>
      <w:r w:rsidR="00C05359" w:rsidRPr="00FF3D15">
        <w:rPr>
          <w:spacing w:val="-5"/>
        </w:rPr>
        <w:t xml:space="preserve"> </w:t>
      </w:r>
      <w:r w:rsidR="00C05359" w:rsidRPr="00FF3D15">
        <w:t>a</w:t>
      </w:r>
      <w:r w:rsidR="00C05359" w:rsidRPr="00FF3D15">
        <w:rPr>
          <w:spacing w:val="-5"/>
        </w:rPr>
        <w:t xml:space="preserve"> </w:t>
      </w:r>
      <w:r w:rsidR="00C05359" w:rsidRPr="00FF3D15">
        <w:t>fixed</w:t>
      </w:r>
      <w:r w:rsidR="00C05359" w:rsidRPr="00FF3D15">
        <w:rPr>
          <w:spacing w:val="-4"/>
        </w:rPr>
        <w:t xml:space="preserve"> </w:t>
      </w:r>
      <w:r w:rsidR="00C05359" w:rsidRPr="00FF3D15">
        <w:t>address</w:t>
      </w:r>
      <w:r w:rsidR="00F706B5">
        <w:t xml:space="preserve"> on release</w:t>
      </w:r>
      <w:r w:rsidR="00C05359" w:rsidRPr="00FF3D15">
        <w:t>)</w:t>
      </w:r>
      <w:r w:rsidR="00DD416C" w:rsidRPr="00FF3D15">
        <w:t>,</w:t>
      </w:r>
      <w:r w:rsidR="00DD416C" w:rsidRPr="00FF3D15">
        <w:rPr>
          <w:spacing w:val="-5"/>
        </w:rPr>
        <w:t xml:space="preserve"> </w:t>
      </w:r>
      <w:r w:rsidR="00DD416C" w:rsidRPr="00FF3D15">
        <w:rPr>
          <w:spacing w:val="-1"/>
        </w:rPr>
        <w:t>or</w:t>
      </w:r>
      <w:r w:rsidR="00DD416C">
        <w:rPr>
          <w:spacing w:val="-1"/>
        </w:rPr>
        <w:t xml:space="preserve"> choose</w:t>
      </w:r>
      <w:r w:rsidR="00DD416C" w:rsidRPr="00FF3D15">
        <w:rPr>
          <w:spacing w:val="-6"/>
        </w:rPr>
        <w:t xml:space="preserve"> </w:t>
      </w:r>
      <w:r w:rsidR="00DD416C" w:rsidRPr="00FF3D15">
        <w:t>not</w:t>
      </w:r>
      <w:r w:rsidR="00DD416C" w:rsidRPr="00FF3D15">
        <w:rPr>
          <w:spacing w:val="-6"/>
        </w:rPr>
        <w:t xml:space="preserve"> </w:t>
      </w:r>
      <w:r w:rsidR="00DD416C" w:rsidRPr="00FF3D15">
        <w:t>to</w:t>
      </w:r>
      <w:r w:rsidR="00DD416C" w:rsidRPr="00FF3D15">
        <w:rPr>
          <w:spacing w:val="-4"/>
        </w:rPr>
        <w:t xml:space="preserve"> </w:t>
      </w:r>
      <w:r w:rsidR="00DD416C" w:rsidRPr="00FF3D15">
        <w:t>provide</w:t>
      </w:r>
      <w:r w:rsidR="00DD416C" w:rsidRPr="00FF3D15">
        <w:rPr>
          <w:spacing w:val="-6"/>
        </w:rPr>
        <w:t xml:space="preserve"> </w:t>
      </w:r>
      <w:r w:rsidR="00DD416C" w:rsidRPr="00FF3D15">
        <w:rPr>
          <w:spacing w:val="-1"/>
        </w:rPr>
        <w:t>their</w:t>
      </w:r>
      <w:r w:rsidR="00DD416C" w:rsidRPr="00FF3D15">
        <w:rPr>
          <w:spacing w:val="-3"/>
        </w:rPr>
        <w:t xml:space="preserve"> </w:t>
      </w:r>
      <w:r w:rsidR="00DD416C" w:rsidRPr="00FF3D15">
        <w:t>address.</w:t>
      </w:r>
      <w:r w:rsidR="00DD416C" w:rsidRPr="00FF3D15">
        <w:rPr>
          <w:spacing w:val="-3"/>
        </w:rPr>
        <w:t xml:space="preserve"> </w:t>
      </w:r>
      <w:r w:rsidR="00C05359" w:rsidRPr="00FF3D15">
        <w:t>In</w:t>
      </w:r>
      <w:r w:rsidR="00C05359" w:rsidRPr="00FF3D15">
        <w:rPr>
          <w:spacing w:val="-4"/>
        </w:rPr>
        <w:t xml:space="preserve"> </w:t>
      </w:r>
      <w:r w:rsidR="00C05359" w:rsidRPr="00FF3D15">
        <w:t>these</w:t>
      </w:r>
      <w:r w:rsidR="00C05359" w:rsidRPr="00FF3D15">
        <w:rPr>
          <w:spacing w:val="-6"/>
        </w:rPr>
        <w:t xml:space="preserve"> </w:t>
      </w:r>
      <w:r w:rsidR="00C20055" w:rsidRPr="00FF3D15">
        <w:t>cases,</w:t>
      </w:r>
      <w:r w:rsidR="00C05359" w:rsidRPr="00FF3D15">
        <w:rPr>
          <w:spacing w:val="-5"/>
        </w:rPr>
        <w:t xml:space="preserve"> </w:t>
      </w:r>
      <w:r w:rsidR="00C05359" w:rsidRPr="00FF3D15">
        <w:t>a</w:t>
      </w:r>
      <w:r w:rsidR="00C05359" w:rsidRPr="00FF3D15">
        <w:rPr>
          <w:spacing w:val="-6"/>
        </w:rPr>
        <w:t xml:space="preserve"> </w:t>
      </w:r>
      <w:r w:rsidR="00A93A0D">
        <w:t>Facilitated Transfer Meeting</w:t>
      </w:r>
      <w:r w:rsidR="00C05359" w:rsidRPr="00FF3D15">
        <w:rPr>
          <w:spacing w:val="-3"/>
        </w:rPr>
        <w:t xml:space="preserve"> </w:t>
      </w:r>
      <w:r w:rsidR="00C05359" w:rsidRPr="00FF3D15">
        <w:t>is</w:t>
      </w:r>
      <w:r w:rsidR="00C05359" w:rsidRPr="00FF3D15">
        <w:rPr>
          <w:spacing w:val="-5"/>
        </w:rPr>
        <w:t xml:space="preserve"> </w:t>
      </w:r>
      <w:r w:rsidR="00C05359" w:rsidRPr="00FF3D15">
        <w:rPr>
          <w:spacing w:val="-1"/>
        </w:rPr>
        <w:t>not</w:t>
      </w:r>
      <w:r w:rsidR="00C05359">
        <w:rPr>
          <w:spacing w:val="-1"/>
        </w:rPr>
        <w:t xml:space="preserve"> possible</w:t>
      </w:r>
      <w:r w:rsidR="00C05359" w:rsidRPr="00FF3D15">
        <w:t>.</w:t>
      </w:r>
      <w:r w:rsidR="00C05359" w:rsidRPr="00FF3D15">
        <w:rPr>
          <w:spacing w:val="-8"/>
        </w:rPr>
        <w:t xml:space="preserve"> </w:t>
      </w:r>
      <w:r w:rsidR="0086574F" w:rsidRPr="00FF3D15">
        <w:t>(</w:t>
      </w:r>
      <w:r w:rsidR="0077348F">
        <w:t xml:space="preserve">This was </w:t>
      </w:r>
      <w:r w:rsidR="00ED0540">
        <w:t>n</w:t>
      </w:r>
      <w:r w:rsidR="00326473" w:rsidRPr="00FF3D15">
        <w:t>oted</w:t>
      </w:r>
      <w:r w:rsidR="00326473" w:rsidRPr="00FF3D15">
        <w:rPr>
          <w:spacing w:val="-7"/>
        </w:rPr>
        <w:t xml:space="preserve"> </w:t>
      </w:r>
      <w:r w:rsidR="00326473" w:rsidRPr="00FF3D15">
        <w:t>by</w:t>
      </w:r>
      <w:r w:rsidR="00326473" w:rsidRPr="00FF3D15">
        <w:rPr>
          <w:spacing w:val="-7"/>
        </w:rPr>
        <w:t xml:space="preserve"> </w:t>
      </w:r>
      <w:r w:rsidR="00326473" w:rsidRPr="00FF3D15">
        <w:t>f</w:t>
      </w:r>
      <w:r w:rsidR="00471290" w:rsidRPr="00FF3D15">
        <w:t>ive</w:t>
      </w:r>
      <w:r w:rsidR="00471290" w:rsidRPr="00FF3D15">
        <w:rPr>
          <w:spacing w:val="-8"/>
        </w:rPr>
        <w:t xml:space="preserve"> </w:t>
      </w:r>
      <w:r w:rsidR="00471290" w:rsidRPr="00FF3D15">
        <w:t>TWES</w:t>
      </w:r>
      <w:r w:rsidR="00471290" w:rsidRPr="00FF3D15">
        <w:rPr>
          <w:spacing w:val="-6"/>
        </w:rPr>
        <w:t xml:space="preserve"> </w:t>
      </w:r>
      <w:r w:rsidR="00D61836">
        <w:t>p</w:t>
      </w:r>
      <w:r w:rsidR="00D61836" w:rsidRPr="00FF3D15">
        <w:t>roviders</w:t>
      </w:r>
      <w:r w:rsidR="00471290" w:rsidRPr="00FF3D15">
        <w:t>,</w:t>
      </w:r>
      <w:r w:rsidR="00471290" w:rsidRPr="00FF3D15">
        <w:rPr>
          <w:spacing w:val="-7"/>
        </w:rPr>
        <w:t xml:space="preserve"> </w:t>
      </w:r>
      <w:r w:rsidR="00471290" w:rsidRPr="00FF3D15">
        <w:t>one</w:t>
      </w:r>
      <w:r w:rsidR="00471290" w:rsidRPr="00FF3D15">
        <w:rPr>
          <w:spacing w:val="-8"/>
        </w:rPr>
        <w:t xml:space="preserve"> </w:t>
      </w:r>
      <w:r w:rsidR="00471290" w:rsidRPr="00FF3D15">
        <w:t>Commonwealth</w:t>
      </w:r>
      <w:r w:rsidR="00471290" w:rsidRPr="00FF3D15">
        <w:rPr>
          <w:spacing w:val="-8"/>
        </w:rPr>
        <w:t xml:space="preserve"> </w:t>
      </w:r>
      <w:r w:rsidR="00471290" w:rsidRPr="00FF3D15">
        <w:t>stakeholder</w:t>
      </w:r>
      <w:r w:rsidR="00471290" w:rsidRPr="00FF3D15">
        <w:rPr>
          <w:spacing w:val="-8"/>
        </w:rPr>
        <w:t xml:space="preserve"> </w:t>
      </w:r>
      <w:r w:rsidR="00471290" w:rsidRPr="00FF3D15">
        <w:t>and</w:t>
      </w:r>
      <w:r w:rsidR="00471290" w:rsidRPr="00FF3D15">
        <w:rPr>
          <w:spacing w:val="-6"/>
        </w:rPr>
        <w:t xml:space="preserve"> </w:t>
      </w:r>
      <w:r w:rsidR="00471290" w:rsidRPr="00FF3D15">
        <w:t>one</w:t>
      </w:r>
      <w:r w:rsidR="00471290" w:rsidRPr="00FF3D15">
        <w:rPr>
          <w:spacing w:val="22"/>
          <w:w w:val="99"/>
        </w:rPr>
        <w:t xml:space="preserve"> </w:t>
      </w:r>
      <w:r w:rsidR="00471290" w:rsidRPr="00FF3D15">
        <w:rPr>
          <w:spacing w:val="-1"/>
        </w:rPr>
        <w:t>corrections</w:t>
      </w:r>
      <w:r w:rsidR="00DF1D27" w:rsidRPr="00FF3D15">
        <w:rPr>
          <w:spacing w:val="-20"/>
        </w:rPr>
        <w:t xml:space="preserve"> </w:t>
      </w:r>
      <w:r w:rsidR="00DF1D27" w:rsidRPr="00FF3D15">
        <w:t>stakeholder</w:t>
      </w:r>
      <w:r w:rsidR="00ED0540">
        <w:t>.</w:t>
      </w:r>
      <w:r w:rsidR="00471290" w:rsidRPr="00FF3D15">
        <w:t>)</w:t>
      </w:r>
    </w:p>
    <w:p w14:paraId="5BA257B3" w14:textId="29DFF5CB" w:rsidR="006D6DBD" w:rsidRDefault="001A175C" w:rsidP="00305B4B">
      <w:pPr>
        <w:pStyle w:val="BodyText"/>
        <w:ind w:right="3"/>
      </w:pPr>
      <w:r>
        <w:rPr>
          <w:noProof/>
        </w:rPr>
        <mc:AlternateContent>
          <mc:Choice Requires="wps">
            <w:drawing>
              <wp:inline distT="0" distB="0" distL="0" distR="0" wp14:anchorId="2416BE84" wp14:editId="03526594">
                <wp:extent cx="6294470" cy="1828800"/>
                <wp:effectExtent l="0" t="0" r="5080" b="0"/>
                <wp:docPr id="49" name="Rectangle: Rounded Corners 49"/>
                <wp:cNvGraphicFramePr/>
                <a:graphic xmlns:a="http://schemas.openxmlformats.org/drawingml/2006/main">
                  <a:graphicData uri="http://schemas.microsoft.com/office/word/2010/wordprocessingShape">
                    <wps:wsp>
                      <wps:cNvSpPr/>
                      <wps:spPr>
                        <a:xfrm>
                          <a:off x="0" y="0"/>
                          <a:ext cx="6294470" cy="1828800"/>
                        </a:xfrm>
                        <a:prstGeom prst="round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2899A" w14:textId="53B45453" w:rsidR="000B1DD2" w:rsidRPr="00E81134" w:rsidRDefault="000B1DD2" w:rsidP="00E06C4B">
                            <w:pPr>
                              <w:pStyle w:val="QuoteNoafterspace"/>
                            </w:pPr>
                            <w:r w:rsidRPr="00E81134">
                              <w:t>If participants don't go where they say they were planning to go it can be difficult to find that person – we have to figure out where the participants have gone because if they don't make contact with the external jobs services provider they are left as 'pending' on the system, which means their ESAt result and Transition Plan is locked in the system</w:t>
                            </w:r>
                            <w:r>
                              <w:t xml:space="preserve"> </w:t>
                            </w:r>
                            <w:r w:rsidRPr="00E81134">
                              <w:t>and can't be transferred to the right person. This means they have lost all the benefits of TWES. People who stay in the local area are easier because they have a contact with Throughcare services and we can coordinate with this person</w:t>
                            </w:r>
                            <w:r>
                              <w:t>.</w:t>
                            </w:r>
                          </w:p>
                          <w:p w14:paraId="38948E22" w14:textId="67253F4B" w:rsidR="00FB1DF7" w:rsidRPr="00E06C4B" w:rsidRDefault="000B1DD2" w:rsidP="00E06C4B">
                            <w:pPr>
                              <w:pStyle w:val="QuoteNoafterspace"/>
                              <w:jc w:val="right"/>
                              <w:rPr>
                                <w:rFonts w:cstheme="minorHAnsi"/>
                                <w:b/>
                                <w:bCs/>
                                <w:color w:val="000000" w:themeColor="text1"/>
                                <w:szCs w:val="20"/>
                              </w:rPr>
                            </w:pPr>
                            <w:r w:rsidRPr="006D6DBD">
                              <w:rPr>
                                <w:rFonts w:cstheme="minorHAnsi"/>
                                <w:b/>
                                <w:bCs/>
                                <w:color w:val="000000" w:themeColor="text1"/>
                                <w:szCs w:val="20"/>
                              </w:rPr>
                              <w:t xml:space="preserve">- TWES </w:t>
                            </w:r>
                            <w:r>
                              <w:rPr>
                                <w:rFonts w:cstheme="minorHAnsi"/>
                                <w:b/>
                                <w:bCs/>
                                <w:color w:val="000000" w:themeColor="text1"/>
                                <w:szCs w:val="20"/>
                              </w:rPr>
                              <w:t>provider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416BE84" id="Rectangle: Rounded Corners 49" o:spid="_x0000_s1035" style="width:495.65pt;height:2in;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" fillcolor="#ddf0fa [662]" stroked="f" strokeweight="2pt">
                <v:textbox inset="0,0,0,0">
                  <w:txbxContent>
                    <w:p w14:paraId="5A52899A" w14:textId="53B45453" w:rsidR="000B1DD2" w:rsidRPr="00E81134" w:rsidRDefault="000B1DD2" w:rsidP="00E06C4B">
                      <w:pPr>
                        <w:pStyle w:val="QuoteNoafterspace"/>
                      </w:pPr>
                      <w:r w:rsidRPr="00E81134">
                        <w:t xml:space="preserve">If participants don't go where they say they were planning to go it can be difficult to find that person – we have to figure out where the participants have gone because if they don't make contact with the external jobs services provider they are left as 'pending' on the system, which means their </w:t>
                      </w:r>
                      <w:proofErr w:type="spellStart"/>
                      <w:r w:rsidRPr="00E81134">
                        <w:t>ESAt</w:t>
                      </w:r>
                      <w:proofErr w:type="spellEnd"/>
                      <w:r w:rsidRPr="00E81134">
                        <w:t xml:space="preserve"> result and Transition Plan is locked in the system</w:t>
                      </w:r>
                      <w:r>
                        <w:t xml:space="preserve"> </w:t>
                      </w:r>
                      <w:r w:rsidRPr="00E81134">
                        <w:t xml:space="preserve">and can't be transferred to the right person. This means they have lost all the benefits of TWES. People who stay in the local area are easier because they have a contact with Throughcare </w:t>
                      </w:r>
                      <w:proofErr w:type="gramStart"/>
                      <w:r w:rsidRPr="00E81134">
                        <w:t>services</w:t>
                      </w:r>
                      <w:proofErr w:type="gramEnd"/>
                      <w:r w:rsidRPr="00E81134">
                        <w:t xml:space="preserve"> and we can coordinate with this person</w:t>
                      </w:r>
                      <w:r>
                        <w:t>.</w:t>
                      </w:r>
                    </w:p>
                    <w:p w14:paraId="38948E22" w14:textId="67253F4B" w:rsidR="00FB1DF7" w:rsidRPr="00E06C4B" w:rsidRDefault="000B1DD2" w:rsidP="00E06C4B">
                      <w:pPr>
                        <w:pStyle w:val="QuoteNoafterspace"/>
                        <w:jc w:val="right"/>
                        <w:rPr>
                          <w:rFonts w:cstheme="minorHAnsi"/>
                          <w:b/>
                          <w:bCs/>
                          <w:color w:val="000000" w:themeColor="text1"/>
                          <w:szCs w:val="20"/>
                        </w:rPr>
                      </w:pPr>
                      <w:r w:rsidRPr="006D6DBD">
                        <w:rPr>
                          <w:rFonts w:cstheme="minorHAnsi"/>
                          <w:b/>
                          <w:bCs/>
                          <w:color w:val="000000" w:themeColor="text1"/>
                          <w:szCs w:val="20"/>
                        </w:rPr>
                        <w:t xml:space="preserve">- TWES </w:t>
                      </w:r>
                      <w:r>
                        <w:rPr>
                          <w:rFonts w:cstheme="minorHAnsi"/>
                          <w:b/>
                          <w:bCs/>
                          <w:color w:val="000000" w:themeColor="text1"/>
                          <w:szCs w:val="20"/>
                        </w:rPr>
                        <w:t>provider</w:t>
                      </w:r>
                    </w:p>
                  </w:txbxContent>
                </v:textbox>
                <w10:anchorlock/>
              </v:roundrect>
            </w:pict>
          </mc:Fallback>
        </mc:AlternateContent>
      </w:r>
    </w:p>
    <w:p w14:paraId="7361DCC2" w14:textId="2A92800D" w:rsidR="00F02262" w:rsidRDefault="001A175C" w:rsidP="00305B4B">
      <w:pPr>
        <w:pStyle w:val="BodyText"/>
        <w:ind w:right="3"/>
      </w:pPr>
      <w:r>
        <w:rPr>
          <w:noProof/>
        </w:rPr>
        <mc:AlternateContent>
          <mc:Choice Requires="wps">
            <w:drawing>
              <wp:inline distT="0" distB="0" distL="0" distR="0" wp14:anchorId="6BBDE279" wp14:editId="035F31E5">
                <wp:extent cx="6247816" cy="950259"/>
                <wp:effectExtent l="0" t="0" r="635" b="2540"/>
                <wp:docPr id="51" name="Rectangle: Rounded Corners 51"/>
                <wp:cNvGraphicFramePr/>
                <a:graphic xmlns:a="http://schemas.openxmlformats.org/drawingml/2006/main">
                  <a:graphicData uri="http://schemas.microsoft.com/office/word/2010/wordprocessingShape">
                    <wps:wsp>
                      <wps:cNvSpPr/>
                      <wps:spPr>
                        <a:xfrm>
                          <a:off x="0" y="0"/>
                          <a:ext cx="6247816" cy="950259"/>
                        </a:xfrm>
                        <a:prstGeom prst="roundRect">
                          <a:avLst/>
                        </a:prstGeom>
                        <a:solidFill>
                          <a:srgbClr val="58B6E7">
                            <a:lumMod val="20000"/>
                            <a:lumOff val="80000"/>
                          </a:srgbClr>
                        </a:solidFill>
                        <a:ln w="25400" cap="flat" cmpd="sng" algn="ctr">
                          <a:noFill/>
                          <a:prstDash val="solid"/>
                        </a:ln>
                        <a:effectLst/>
                      </wps:spPr>
                      <wps:txbx>
                        <w:txbxContent>
                          <w:p w14:paraId="1CD768DE" w14:textId="4813D2DD" w:rsidR="000B1DD2" w:rsidRPr="00A448B3" w:rsidRDefault="000B1DD2" w:rsidP="00E06C4B">
                            <w:pPr>
                              <w:pStyle w:val="QuoteNoafterspace"/>
                            </w:pPr>
                            <w:r w:rsidRPr="00A448B3">
                              <w:t>A major issue is that half the time there isn't much certainty around where the participants are going and therefore, they get linked to the wrong provider or they get lost from the system.</w:t>
                            </w:r>
                          </w:p>
                          <w:p w14:paraId="7EC988BE" w14:textId="22F088E9" w:rsidR="000B1DD2" w:rsidRPr="00A448B3" w:rsidRDefault="000B1DD2" w:rsidP="00E06C4B">
                            <w:pPr>
                              <w:pStyle w:val="QuoteNoafterspace"/>
                              <w:jc w:val="right"/>
                              <w:rPr>
                                <w:b/>
                                <w:bCs/>
                              </w:rPr>
                            </w:pPr>
                            <w:r w:rsidRPr="00A448B3">
                              <w:rPr>
                                <w:b/>
                                <w:bCs/>
                              </w:rPr>
                              <w:t>- Corrections stakeholder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BDE279" id="Rectangle: Rounded Corners 51" o:spid="_x0000_s1036" style="width:491.95pt;height:7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" fillcolor="#def0fa" stroked="f" strokeweight="2pt">
                <v:textbox inset="0,0,0,0">
                  <w:txbxContent>
                    <w:p w14:paraId="1CD768DE" w14:textId="4813D2DD" w:rsidR="000B1DD2" w:rsidRPr="00A448B3" w:rsidRDefault="000B1DD2" w:rsidP="00E06C4B">
                      <w:pPr>
                        <w:pStyle w:val="QuoteNoafterspace"/>
                      </w:pPr>
                      <w:r w:rsidRPr="00A448B3">
                        <w:t>A major issue is that half the time there isn't much certainty around where the participants are going and therefore, they get linked to the wrong provider or they get lost from the system.</w:t>
                      </w:r>
                    </w:p>
                    <w:p w14:paraId="7EC988BE" w14:textId="22F088E9" w:rsidR="000B1DD2" w:rsidRPr="00A448B3" w:rsidRDefault="000B1DD2" w:rsidP="00E06C4B">
                      <w:pPr>
                        <w:pStyle w:val="QuoteNoafterspace"/>
                        <w:jc w:val="right"/>
                        <w:rPr>
                          <w:b/>
                          <w:bCs/>
                        </w:rPr>
                      </w:pPr>
                      <w:r w:rsidRPr="00A448B3">
                        <w:rPr>
                          <w:b/>
                          <w:bCs/>
                        </w:rPr>
                        <w:t>- Corrections stakeholder</w:t>
                      </w:r>
                    </w:p>
                  </w:txbxContent>
                </v:textbox>
                <w10:anchorlock/>
              </v:roundrect>
            </w:pict>
          </mc:Fallback>
        </mc:AlternateContent>
      </w:r>
    </w:p>
    <w:p w14:paraId="04EFFBBA" w14:textId="77777777" w:rsidR="009C6374" w:rsidRDefault="00397B58" w:rsidP="00305B4B">
      <w:pPr>
        <w:pStyle w:val="Bulletedlist"/>
        <w:ind w:right="3"/>
      </w:pPr>
      <w:r w:rsidRPr="00FF3D15">
        <w:lastRenderedPageBreak/>
        <w:t>In</w:t>
      </w:r>
      <w:r w:rsidRPr="009C6374">
        <w:rPr>
          <w:spacing w:val="-7"/>
        </w:rPr>
        <w:t xml:space="preserve"> </w:t>
      </w:r>
      <w:r w:rsidRPr="00FF3D15">
        <w:t>some</w:t>
      </w:r>
      <w:r w:rsidRPr="009C6374">
        <w:rPr>
          <w:spacing w:val="-4"/>
        </w:rPr>
        <w:t xml:space="preserve"> </w:t>
      </w:r>
      <w:r w:rsidRPr="00FF3D15">
        <w:t>cases</w:t>
      </w:r>
      <w:r w:rsidR="00AF7F72" w:rsidRPr="00FF3D15">
        <w:t>,</w:t>
      </w:r>
      <w:r w:rsidRPr="009C6374">
        <w:rPr>
          <w:spacing w:val="-6"/>
        </w:rPr>
        <w:t xml:space="preserve"> </w:t>
      </w:r>
      <w:r w:rsidRPr="00FF3D15">
        <w:t>TWES</w:t>
      </w:r>
      <w:r w:rsidRPr="009C6374">
        <w:rPr>
          <w:spacing w:val="-4"/>
        </w:rPr>
        <w:t xml:space="preserve"> </w:t>
      </w:r>
      <w:r w:rsidR="00D61836">
        <w:t>p</w:t>
      </w:r>
      <w:r w:rsidR="00D61836" w:rsidRPr="00FF3D15">
        <w:t>roviders</w:t>
      </w:r>
      <w:r w:rsidR="00D61836" w:rsidRPr="009C6374">
        <w:rPr>
          <w:spacing w:val="-4"/>
        </w:rPr>
        <w:t xml:space="preserve"> </w:t>
      </w:r>
      <w:r w:rsidR="00AF7F72" w:rsidRPr="00FF3D15">
        <w:t>may</w:t>
      </w:r>
      <w:r w:rsidRPr="009C6374">
        <w:rPr>
          <w:spacing w:val="-5"/>
        </w:rPr>
        <w:t xml:space="preserve"> </w:t>
      </w:r>
      <w:r w:rsidRPr="009C6374">
        <w:rPr>
          <w:spacing w:val="-1"/>
        </w:rPr>
        <w:t>not</w:t>
      </w:r>
      <w:r w:rsidRPr="009C6374">
        <w:rPr>
          <w:spacing w:val="-4"/>
        </w:rPr>
        <w:t xml:space="preserve"> </w:t>
      </w:r>
      <w:r w:rsidR="00AF7F72" w:rsidRPr="009C6374">
        <w:rPr>
          <w:spacing w:val="-1"/>
        </w:rPr>
        <w:t>be</w:t>
      </w:r>
      <w:r w:rsidR="00AF7F72" w:rsidRPr="009C6374">
        <w:rPr>
          <w:spacing w:val="-5"/>
        </w:rPr>
        <w:t xml:space="preserve"> </w:t>
      </w:r>
      <w:r w:rsidR="00EF0444" w:rsidRPr="009C6374">
        <w:rPr>
          <w:spacing w:val="-1"/>
        </w:rPr>
        <w:t>given</w:t>
      </w:r>
      <w:r w:rsidR="00EF0444" w:rsidRPr="009C6374">
        <w:rPr>
          <w:spacing w:val="-4"/>
        </w:rPr>
        <w:t xml:space="preserve"> </w:t>
      </w:r>
      <w:r w:rsidR="00AF7F72" w:rsidRPr="00FF3D15">
        <w:t>sufficient</w:t>
      </w:r>
      <w:r w:rsidR="00AF7F72" w:rsidRPr="009C6374">
        <w:rPr>
          <w:spacing w:val="-3"/>
        </w:rPr>
        <w:t xml:space="preserve"> </w:t>
      </w:r>
      <w:r w:rsidR="00EF0444" w:rsidRPr="00FF3D15">
        <w:t>notice</w:t>
      </w:r>
      <w:r w:rsidR="00262AF8" w:rsidRPr="009C6374">
        <w:rPr>
          <w:spacing w:val="-6"/>
        </w:rPr>
        <w:t xml:space="preserve"> </w:t>
      </w:r>
      <w:r w:rsidR="00262AF8" w:rsidRPr="00FF3D15">
        <w:t>about</w:t>
      </w:r>
      <w:r w:rsidR="00262AF8" w:rsidRPr="009C6374">
        <w:rPr>
          <w:spacing w:val="-4"/>
        </w:rPr>
        <w:t xml:space="preserve"> </w:t>
      </w:r>
      <w:r w:rsidR="00AF7F72" w:rsidRPr="00FF3D15">
        <w:t>who</w:t>
      </w:r>
      <w:r w:rsidR="00AF7F72" w:rsidRPr="009C6374">
        <w:rPr>
          <w:spacing w:val="-4"/>
        </w:rPr>
        <w:t xml:space="preserve"> </w:t>
      </w:r>
      <w:r w:rsidR="00AF7F72" w:rsidRPr="00FF3D15">
        <w:t>a</w:t>
      </w:r>
      <w:r w:rsidR="00AF7F72" w:rsidRPr="009C6374">
        <w:rPr>
          <w:spacing w:val="-5"/>
        </w:rPr>
        <w:t xml:space="preserve"> </w:t>
      </w:r>
      <w:r w:rsidR="002933EB" w:rsidRPr="009C6374">
        <w:rPr>
          <w:spacing w:val="-1"/>
        </w:rPr>
        <w:t>participant’s</w:t>
      </w:r>
      <w:r w:rsidR="002933EB" w:rsidRPr="009C6374">
        <w:rPr>
          <w:spacing w:val="44"/>
          <w:w w:val="99"/>
        </w:rPr>
        <w:t xml:space="preserve"> </w:t>
      </w:r>
      <w:r w:rsidR="002933EB" w:rsidRPr="00FF3D15">
        <w:t>nominated</w:t>
      </w:r>
      <w:r w:rsidR="002933EB" w:rsidRPr="009C6374">
        <w:rPr>
          <w:spacing w:val="-6"/>
        </w:rPr>
        <w:t xml:space="preserve"> </w:t>
      </w:r>
      <w:r w:rsidR="002933EB" w:rsidRPr="009C6374">
        <w:rPr>
          <w:spacing w:val="-1"/>
        </w:rPr>
        <w:t>employment</w:t>
      </w:r>
      <w:r w:rsidR="002933EB" w:rsidRPr="009C6374">
        <w:rPr>
          <w:spacing w:val="-6"/>
        </w:rPr>
        <w:t xml:space="preserve"> </w:t>
      </w:r>
      <w:r w:rsidR="002933EB" w:rsidRPr="00FF3D15">
        <w:t>services</w:t>
      </w:r>
      <w:r w:rsidR="002933EB" w:rsidRPr="009C6374">
        <w:rPr>
          <w:spacing w:val="-6"/>
        </w:rPr>
        <w:t xml:space="preserve"> </w:t>
      </w:r>
      <w:r w:rsidR="002933EB" w:rsidRPr="009C6374">
        <w:rPr>
          <w:spacing w:val="-1"/>
        </w:rPr>
        <w:t>provider</w:t>
      </w:r>
      <w:r w:rsidR="002933EB" w:rsidRPr="009C6374">
        <w:rPr>
          <w:spacing w:val="-3"/>
        </w:rPr>
        <w:t xml:space="preserve"> </w:t>
      </w:r>
      <w:r w:rsidR="002933EB" w:rsidRPr="009C6374">
        <w:rPr>
          <w:spacing w:val="1"/>
        </w:rPr>
        <w:t>is</w:t>
      </w:r>
      <w:r w:rsidR="00C9262D" w:rsidRPr="009C6374">
        <w:rPr>
          <w:spacing w:val="1"/>
        </w:rPr>
        <w:t>,</w:t>
      </w:r>
      <w:r w:rsidR="00C9262D" w:rsidRPr="009C6374">
        <w:rPr>
          <w:spacing w:val="-6"/>
        </w:rPr>
        <w:t xml:space="preserve"> </w:t>
      </w:r>
      <w:r w:rsidR="00C9262D" w:rsidRPr="00FF3D15">
        <w:t>in</w:t>
      </w:r>
      <w:r w:rsidR="00C9262D" w:rsidRPr="009C6374">
        <w:rPr>
          <w:spacing w:val="-7"/>
        </w:rPr>
        <w:t xml:space="preserve"> </w:t>
      </w:r>
      <w:r w:rsidR="00C9262D" w:rsidRPr="00FF3D15">
        <w:t>order</w:t>
      </w:r>
      <w:r w:rsidR="006C1A8C" w:rsidRPr="009C6374">
        <w:rPr>
          <w:spacing w:val="-5"/>
        </w:rPr>
        <w:t xml:space="preserve"> </w:t>
      </w:r>
      <w:r w:rsidR="006C1A8C" w:rsidRPr="00FF3D15">
        <w:t>to</w:t>
      </w:r>
      <w:r w:rsidR="006C1A8C" w:rsidRPr="009C6374">
        <w:rPr>
          <w:spacing w:val="-4"/>
        </w:rPr>
        <w:t xml:space="preserve"> </w:t>
      </w:r>
      <w:r w:rsidR="006C1A8C" w:rsidRPr="00FF3D15">
        <w:t>organise</w:t>
      </w:r>
      <w:r w:rsidR="006C1A8C" w:rsidRPr="009C6374">
        <w:rPr>
          <w:spacing w:val="-7"/>
        </w:rPr>
        <w:t xml:space="preserve"> </w:t>
      </w:r>
      <w:r w:rsidR="006C1A8C" w:rsidRPr="00FF3D15">
        <w:t>a</w:t>
      </w:r>
      <w:r w:rsidR="006C1A8C" w:rsidRPr="009C6374">
        <w:rPr>
          <w:spacing w:val="-4"/>
        </w:rPr>
        <w:t xml:space="preserve"> </w:t>
      </w:r>
      <w:r w:rsidR="00326473" w:rsidRPr="00FF3D15">
        <w:t>face</w:t>
      </w:r>
      <w:r w:rsidR="00326473" w:rsidRPr="009C6374">
        <w:rPr>
          <w:spacing w:val="-7"/>
        </w:rPr>
        <w:t xml:space="preserve"> </w:t>
      </w:r>
      <w:r w:rsidR="00326473" w:rsidRPr="00FF3D15">
        <w:t>to</w:t>
      </w:r>
      <w:r w:rsidR="00326473" w:rsidRPr="009C6374">
        <w:rPr>
          <w:spacing w:val="-6"/>
        </w:rPr>
        <w:t xml:space="preserve"> </w:t>
      </w:r>
      <w:r w:rsidR="00326473" w:rsidRPr="009C6374">
        <w:rPr>
          <w:spacing w:val="-1"/>
        </w:rPr>
        <w:t>face</w:t>
      </w:r>
      <w:r w:rsidR="007A45CC" w:rsidRPr="009C6374">
        <w:rPr>
          <w:spacing w:val="-4"/>
        </w:rPr>
        <w:t xml:space="preserve"> or phone </w:t>
      </w:r>
      <w:r w:rsidR="00326473" w:rsidRPr="00FF3D15">
        <w:t>meeting</w:t>
      </w:r>
      <w:r w:rsidR="00326473" w:rsidRPr="009C6374">
        <w:rPr>
          <w:spacing w:val="50"/>
          <w:w w:val="99"/>
        </w:rPr>
        <w:t xml:space="preserve"> </w:t>
      </w:r>
      <w:r w:rsidR="00326473" w:rsidRPr="00FF3D15">
        <w:t>between</w:t>
      </w:r>
      <w:r w:rsidR="00326473" w:rsidRPr="009C6374">
        <w:rPr>
          <w:spacing w:val="-6"/>
        </w:rPr>
        <w:t xml:space="preserve"> </w:t>
      </w:r>
      <w:r w:rsidR="00326473" w:rsidRPr="00FF3D15">
        <w:t>participants</w:t>
      </w:r>
      <w:r w:rsidR="00326473" w:rsidRPr="009C6374">
        <w:rPr>
          <w:spacing w:val="-6"/>
        </w:rPr>
        <w:t xml:space="preserve"> </w:t>
      </w:r>
      <w:r w:rsidR="00326473" w:rsidRPr="00FF3D15">
        <w:t>and</w:t>
      </w:r>
      <w:r w:rsidR="00326473" w:rsidRPr="009C6374">
        <w:rPr>
          <w:spacing w:val="-6"/>
        </w:rPr>
        <w:t xml:space="preserve"> </w:t>
      </w:r>
      <w:r w:rsidR="00326473" w:rsidRPr="00FF3D15">
        <w:t>the</w:t>
      </w:r>
      <w:r w:rsidR="00326473" w:rsidRPr="009C6374">
        <w:rPr>
          <w:spacing w:val="-7"/>
        </w:rPr>
        <w:t xml:space="preserve"> </w:t>
      </w:r>
      <w:r w:rsidR="00326473" w:rsidRPr="009C6374">
        <w:rPr>
          <w:spacing w:val="-1"/>
        </w:rPr>
        <w:t>provider.</w:t>
      </w:r>
      <w:r w:rsidR="00326473" w:rsidRPr="009C6374">
        <w:rPr>
          <w:spacing w:val="-3"/>
        </w:rPr>
        <w:t xml:space="preserve"> </w:t>
      </w:r>
      <w:r w:rsidR="00275E5E" w:rsidRPr="009C6374">
        <w:t>This</w:t>
      </w:r>
      <w:r w:rsidR="00275E5E" w:rsidRPr="009C6374">
        <w:rPr>
          <w:spacing w:val="-6"/>
        </w:rPr>
        <w:t xml:space="preserve"> </w:t>
      </w:r>
      <w:r w:rsidR="00275E5E" w:rsidRPr="00FF3D15">
        <w:t>was</w:t>
      </w:r>
      <w:r w:rsidR="00275E5E" w:rsidRPr="009C6374">
        <w:rPr>
          <w:spacing w:val="-5"/>
        </w:rPr>
        <w:t xml:space="preserve"> </w:t>
      </w:r>
      <w:r w:rsidR="00275E5E" w:rsidRPr="009C6374">
        <w:rPr>
          <w:spacing w:val="-1"/>
        </w:rPr>
        <w:t>n</w:t>
      </w:r>
      <w:r w:rsidR="00C9262D" w:rsidRPr="009C6374">
        <w:rPr>
          <w:spacing w:val="-1"/>
        </w:rPr>
        <w:t>oted</w:t>
      </w:r>
      <w:r w:rsidR="00C9262D" w:rsidRPr="009C6374">
        <w:rPr>
          <w:spacing w:val="-2"/>
        </w:rPr>
        <w:t xml:space="preserve"> </w:t>
      </w:r>
      <w:r w:rsidR="00C9262D" w:rsidRPr="00FF3D15">
        <w:t>by</w:t>
      </w:r>
      <w:r w:rsidR="00C9262D" w:rsidRPr="009C6374">
        <w:rPr>
          <w:spacing w:val="-6"/>
        </w:rPr>
        <w:t xml:space="preserve"> </w:t>
      </w:r>
      <w:r w:rsidR="00C9262D" w:rsidRPr="009C6374">
        <w:rPr>
          <w:spacing w:val="-1"/>
        </w:rPr>
        <w:t>f</w:t>
      </w:r>
      <w:r w:rsidR="00291B7F" w:rsidRPr="009C6374">
        <w:rPr>
          <w:spacing w:val="-1"/>
        </w:rPr>
        <w:t>ive</w:t>
      </w:r>
      <w:r w:rsidR="00DF1D27" w:rsidRPr="009C6374">
        <w:rPr>
          <w:spacing w:val="-6"/>
        </w:rPr>
        <w:t xml:space="preserve"> </w:t>
      </w:r>
      <w:r w:rsidR="00DF1D27" w:rsidRPr="00FF3D15">
        <w:t>TWES</w:t>
      </w:r>
      <w:r w:rsidR="00275E5E" w:rsidRPr="009C6374">
        <w:rPr>
          <w:spacing w:val="-5"/>
        </w:rPr>
        <w:t xml:space="preserve"> </w:t>
      </w:r>
      <w:r w:rsidR="00D61836" w:rsidRPr="009C6374">
        <w:rPr>
          <w:spacing w:val="-1"/>
        </w:rPr>
        <w:t>providers</w:t>
      </w:r>
      <w:r w:rsidR="00291B7F" w:rsidRPr="009C6374">
        <w:rPr>
          <w:spacing w:val="-1"/>
        </w:rPr>
        <w:t>,</w:t>
      </w:r>
      <w:r w:rsidR="00291B7F" w:rsidRPr="009C6374">
        <w:rPr>
          <w:spacing w:val="-5"/>
        </w:rPr>
        <w:t xml:space="preserve"> </w:t>
      </w:r>
      <w:r w:rsidR="00291B7F" w:rsidRPr="00FF3D15">
        <w:t>one</w:t>
      </w:r>
      <w:r w:rsidR="00291B7F">
        <w:t xml:space="preserve"> </w:t>
      </w:r>
      <w:r w:rsidR="00291B7F" w:rsidRPr="00FF3D15">
        <w:t>Commonwealth</w:t>
      </w:r>
      <w:r w:rsidR="00291B7F" w:rsidRPr="009C6374">
        <w:rPr>
          <w:spacing w:val="-12"/>
        </w:rPr>
        <w:t xml:space="preserve"> </w:t>
      </w:r>
      <w:r w:rsidR="00291B7F" w:rsidRPr="00FF3D15">
        <w:t>stakeholder</w:t>
      </w:r>
      <w:r w:rsidR="00291B7F" w:rsidRPr="009C6374">
        <w:rPr>
          <w:spacing w:val="-11"/>
        </w:rPr>
        <w:t xml:space="preserve"> </w:t>
      </w:r>
      <w:r w:rsidR="00291B7F" w:rsidRPr="009C6374">
        <w:rPr>
          <w:spacing w:val="-1"/>
        </w:rPr>
        <w:t>and</w:t>
      </w:r>
      <w:r w:rsidR="00291B7F" w:rsidRPr="009C6374">
        <w:rPr>
          <w:spacing w:val="-11"/>
        </w:rPr>
        <w:t xml:space="preserve"> </w:t>
      </w:r>
      <w:r w:rsidR="00DF1D27" w:rsidRPr="00FF3D15">
        <w:t>three</w:t>
      </w:r>
      <w:r w:rsidR="00DF1D27" w:rsidRPr="009C6374">
        <w:rPr>
          <w:spacing w:val="-12"/>
        </w:rPr>
        <w:t xml:space="preserve"> </w:t>
      </w:r>
      <w:r w:rsidR="00DF1D27" w:rsidRPr="00FF3D15">
        <w:t>corrections</w:t>
      </w:r>
      <w:r w:rsidR="00DF1D27" w:rsidRPr="009C6374">
        <w:rPr>
          <w:spacing w:val="-11"/>
        </w:rPr>
        <w:t xml:space="preserve"> </w:t>
      </w:r>
      <w:r w:rsidR="00DF1D27" w:rsidRPr="00FF3D15">
        <w:t>stakeholders</w:t>
      </w:r>
      <w:r w:rsidR="000A070C">
        <w:t>.</w:t>
      </w:r>
    </w:p>
    <w:p w14:paraId="5E091602" w14:textId="755CD1F8" w:rsidR="003E01EB" w:rsidRDefault="00F02262" w:rsidP="00305B4B">
      <w:pPr>
        <w:pStyle w:val="BodyText"/>
        <w:ind w:right="3"/>
      </w:pPr>
      <w:r>
        <w:rPr>
          <w:noProof/>
        </w:rPr>
        <mc:AlternateContent>
          <mc:Choice Requires="wps">
            <w:drawing>
              <wp:inline distT="0" distB="0" distL="0" distR="0" wp14:anchorId="5BB1D759" wp14:editId="018BAFF9">
                <wp:extent cx="6294470" cy="923365"/>
                <wp:effectExtent l="0" t="0" r="5080" b="3810"/>
                <wp:docPr id="52" name="Rectangle: Rounded Corners 52"/>
                <wp:cNvGraphicFramePr/>
                <a:graphic xmlns:a="http://schemas.openxmlformats.org/drawingml/2006/main">
                  <a:graphicData uri="http://schemas.microsoft.com/office/word/2010/wordprocessingShape">
                    <wps:wsp>
                      <wps:cNvSpPr/>
                      <wps:spPr>
                        <a:xfrm>
                          <a:off x="0" y="0"/>
                          <a:ext cx="6294470" cy="923365"/>
                        </a:xfrm>
                        <a:prstGeom prst="roundRect">
                          <a:avLst/>
                        </a:prstGeom>
                        <a:solidFill>
                          <a:srgbClr val="58B6E7">
                            <a:lumMod val="20000"/>
                            <a:lumOff val="80000"/>
                          </a:srgbClr>
                        </a:solidFill>
                        <a:ln w="25400" cap="flat" cmpd="sng" algn="ctr">
                          <a:noFill/>
                          <a:prstDash val="solid"/>
                        </a:ln>
                        <a:effectLst/>
                      </wps:spPr>
                      <wps:txbx>
                        <w:txbxContent>
                          <w:p w14:paraId="67BF2BA5" w14:textId="2CC818B3" w:rsidR="000B1DD2" w:rsidRPr="00224E0C" w:rsidRDefault="000B1DD2" w:rsidP="00E06C4B">
                            <w:pPr>
                              <w:pStyle w:val="QuoteNoafterspace"/>
                            </w:pPr>
                            <w:r w:rsidRPr="00224E0C">
                              <w:t>A major issue is that half the time there isn't much certainty around where the participants are going and therefore, they get linked to the wrong provider or they get lost from the system.</w:t>
                            </w:r>
                          </w:p>
                          <w:p w14:paraId="2BFA40DE" w14:textId="77777777" w:rsidR="000B1DD2" w:rsidRPr="00224E0C" w:rsidRDefault="000B1DD2" w:rsidP="00E06C4B">
                            <w:pPr>
                              <w:pStyle w:val="QuoteNoafterspace"/>
                              <w:jc w:val="right"/>
                              <w:rPr>
                                <w:b/>
                                <w:bCs/>
                              </w:rPr>
                            </w:pPr>
                            <w:r w:rsidRPr="00224E0C">
                              <w:rPr>
                                <w:b/>
                                <w:bCs/>
                              </w:rPr>
                              <w:t>- Corrections stakeholder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B1D759" id="Rectangle: Rounded Corners 52" o:spid="_x0000_s1037" style="width:495.65pt;height:7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" fillcolor="#def0fa" stroked="f" strokeweight="2pt">
                <v:textbox inset="0,0,0,0">
                  <w:txbxContent>
                    <w:p w14:paraId="67BF2BA5" w14:textId="2CC818B3" w:rsidR="000B1DD2" w:rsidRPr="00224E0C" w:rsidRDefault="000B1DD2" w:rsidP="00E06C4B">
                      <w:pPr>
                        <w:pStyle w:val="QuoteNoafterspace"/>
                      </w:pPr>
                      <w:r w:rsidRPr="00224E0C">
                        <w:t>A major issue is that half the time there isn't much certainty around where the participants are going and therefore, they get linked to the wrong provider or they get lost from the system.</w:t>
                      </w:r>
                    </w:p>
                    <w:p w14:paraId="2BFA40DE" w14:textId="77777777" w:rsidR="000B1DD2" w:rsidRPr="00224E0C" w:rsidRDefault="000B1DD2" w:rsidP="00E06C4B">
                      <w:pPr>
                        <w:pStyle w:val="QuoteNoafterspace"/>
                        <w:jc w:val="right"/>
                        <w:rPr>
                          <w:b/>
                          <w:bCs/>
                        </w:rPr>
                      </w:pPr>
                      <w:r w:rsidRPr="00224E0C">
                        <w:rPr>
                          <w:b/>
                          <w:bCs/>
                        </w:rPr>
                        <w:t>- Corrections stakeholder</w:t>
                      </w:r>
                    </w:p>
                  </w:txbxContent>
                </v:textbox>
                <w10:anchorlock/>
              </v:roundrect>
            </w:pict>
          </mc:Fallback>
        </mc:AlternateContent>
      </w:r>
    </w:p>
    <w:p w14:paraId="2CD1BE4F" w14:textId="3170565D" w:rsidR="00D445C1" w:rsidRDefault="00224E0C" w:rsidP="00305B4B">
      <w:pPr>
        <w:pStyle w:val="BodyText"/>
        <w:ind w:right="3"/>
      </w:pPr>
      <w:r>
        <w:rPr>
          <w:noProof/>
        </w:rPr>
        <mc:AlternateContent>
          <mc:Choice Requires="wps">
            <w:drawing>
              <wp:inline distT="0" distB="0" distL="0" distR="0" wp14:anchorId="3DADF917" wp14:editId="20E02C39">
                <wp:extent cx="6247816" cy="1048870"/>
                <wp:effectExtent l="0" t="0" r="635" b="5715"/>
                <wp:docPr id="54" name="Rectangle: Rounded Corners 54"/>
                <wp:cNvGraphicFramePr/>
                <a:graphic xmlns:a="http://schemas.openxmlformats.org/drawingml/2006/main">
                  <a:graphicData uri="http://schemas.microsoft.com/office/word/2010/wordprocessingShape">
                    <wps:wsp>
                      <wps:cNvSpPr/>
                      <wps:spPr>
                        <a:xfrm>
                          <a:off x="0" y="0"/>
                          <a:ext cx="6247816" cy="1048870"/>
                        </a:xfrm>
                        <a:prstGeom prst="roundRect">
                          <a:avLst/>
                        </a:prstGeom>
                        <a:solidFill>
                          <a:srgbClr val="58B6E7">
                            <a:lumMod val="20000"/>
                            <a:lumOff val="80000"/>
                          </a:srgbClr>
                        </a:solidFill>
                        <a:ln w="25400" cap="flat" cmpd="sng" algn="ctr">
                          <a:noFill/>
                          <a:prstDash val="solid"/>
                        </a:ln>
                        <a:effectLst/>
                      </wps:spPr>
                      <wps:txbx>
                        <w:txbxContent>
                          <w:p w14:paraId="54E8EB11" w14:textId="77777777" w:rsidR="00224E0C" w:rsidRPr="00224E0C" w:rsidRDefault="00224E0C" w:rsidP="00E06C4B">
                            <w:pPr>
                              <w:pStyle w:val="QuoteNoafterspace"/>
                            </w:pPr>
                            <w:r w:rsidRPr="00224E0C">
                              <w:t>We have never been able to hold the facilitated handover prior to release. It is usually hard enough to get the other contact appointments scheduled, and we also normally don't get notified who the employment services provider is, which makes the logistics difficult.</w:t>
                            </w:r>
                          </w:p>
                          <w:p w14:paraId="068EDAE6" w14:textId="77777777" w:rsidR="00224E0C" w:rsidRPr="00224E0C" w:rsidRDefault="00224E0C" w:rsidP="00E06C4B">
                            <w:pPr>
                              <w:pStyle w:val="QuoteNoafterspace"/>
                              <w:jc w:val="right"/>
                              <w:rPr>
                                <w:b/>
                                <w:bCs/>
                              </w:rPr>
                            </w:pPr>
                            <w:r w:rsidRPr="00224E0C">
                              <w:rPr>
                                <w:b/>
                                <w:bCs/>
                              </w:rPr>
                              <w:t>- TWES provider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ADF917" id="Rectangle: Rounded Corners 54" o:spid="_x0000_s1038" style="width:491.95pt;height:8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" fillcolor="#def0fa" stroked="f" strokeweight="2pt">
                <v:textbox inset="0,0,0,0">
                  <w:txbxContent>
                    <w:p w14:paraId="54E8EB11" w14:textId="77777777" w:rsidR="00224E0C" w:rsidRPr="00224E0C" w:rsidRDefault="00224E0C" w:rsidP="00E06C4B">
                      <w:pPr>
                        <w:pStyle w:val="QuoteNoafterspace"/>
                      </w:pPr>
                      <w:r w:rsidRPr="00224E0C">
                        <w:t>We have never been able to hold the facilitated handover prior to release. It is usually hard enough to get the other contact appointments scheduled, and we also normally don't get notified who the employment services provider is, which makes the logistics difficult.</w:t>
                      </w:r>
                    </w:p>
                    <w:p w14:paraId="068EDAE6" w14:textId="77777777" w:rsidR="00224E0C" w:rsidRPr="00224E0C" w:rsidRDefault="00224E0C" w:rsidP="00E06C4B">
                      <w:pPr>
                        <w:pStyle w:val="QuoteNoafterspace"/>
                        <w:jc w:val="right"/>
                        <w:rPr>
                          <w:b/>
                          <w:bCs/>
                        </w:rPr>
                      </w:pPr>
                      <w:r w:rsidRPr="00224E0C">
                        <w:rPr>
                          <w:b/>
                          <w:bCs/>
                        </w:rPr>
                        <w:t>- TWES provider</w:t>
                      </w:r>
                    </w:p>
                  </w:txbxContent>
                </v:textbox>
                <w10:anchorlock/>
              </v:roundrect>
            </w:pict>
          </mc:Fallback>
        </mc:AlternateContent>
      </w:r>
    </w:p>
    <w:p w14:paraId="02820305" w14:textId="711E9DC3" w:rsidR="001023FE" w:rsidRDefault="006368CD" w:rsidP="00305B4B">
      <w:pPr>
        <w:pStyle w:val="Bulletedlist"/>
        <w:ind w:right="3"/>
      </w:pPr>
      <w:r w:rsidRPr="00FF3D15">
        <w:t>Some</w:t>
      </w:r>
      <w:r w:rsidRPr="00FF3D15">
        <w:rPr>
          <w:spacing w:val="-9"/>
        </w:rPr>
        <w:t xml:space="preserve"> </w:t>
      </w:r>
      <w:r w:rsidRPr="00FF3D15">
        <w:t>stakeh</w:t>
      </w:r>
      <w:r w:rsidR="0034762B" w:rsidRPr="00FF3D15">
        <w:t>olders</w:t>
      </w:r>
      <w:r w:rsidR="0034762B" w:rsidRPr="00FF3D15">
        <w:rPr>
          <w:spacing w:val="-8"/>
        </w:rPr>
        <w:t xml:space="preserve"> </w:t>
      </w:r>
      <w:r w:rsidR="0034762B" w:rsidRPr="00FF3D15">
        <w:rPr>
          <w:spacing w:val="-1"/>
        </w:rPr>
        <w:t>report</w:t>
      </w:r>
      <w:r w:rsidR="0034762B" w:rsidRPr="00FF3D15">
        <w:rPr>
          <w:spacing w:val="-6"/>
        </w:rPr>
        <w:t xml:space="preserve"> </w:t>
      </w:r>
      <w:r w:rsidR="0034762B" w:rsidRPr="00FF3D15">
        <w:t>that</w:t>
      </w:r>
      <w:r w:rsidR="0034762B" w:rsidRPr="00FF3D15">
        <w:rPr>
          <w:spacing w:val="-8"/>
        </w:rPr>
        <w:t xml:space="preserve"> </w:t>
      </w:r>
      <w:r w:rsidR="00D17CE7" w:rsidRPr="00FF3D15">
        <w:t>scheduling</w:t>
      </w:r>
      <w:r w:rsidR="00D17CE7" w:rsidRPr="00FF3D15">
        <w:rPr>
          <w:spacing w:val="-5"/>
        </w:rPr>
        <w:t xml:space="preserve"> </w:t>
      </w:r>
      <w:r w:rsidR="009D22A0" w:rsidRPr="00FF3D15">
        <w:rPr>
          <w:spacing w:val="-1"/>
        </w:rPr>
        <w:t>Facilitated</w:t>
      </w:r>
      <w:r w:rsidR="009D22A0" w:rsidRPr="00FF3D15">
        <w:rPr>
          <w:spacing w:val="-9"/>
        </w:rPr>
        <w:t xml:space="preserve"> </w:t>
      </w:r>
      <w:r w:rsidR="009D22A0" w:rsidRPr="00FF3D15">
        <w:t>Transfer</w:t>
      </w:r>
      <w:r w:rsidR="009D22A0" w:rsidRPr="00FF3D15">
        <w:rPr>
          <w:spacing w:val="-7"/>
        </w:rPr>
        <w:t xml:space="preserve"> </w:t>
      </w:r>
      <w:r w:rsidR="00D17CE7" w:rsidRPr="00FF3D15">
        <w:t>meetings</w:t>
      </w:r>
      <w:r w:rsidR="00D17CE7" w:rsidRPr="00FF3D15">
        <w:rPr>
          <w:spacing w:val="-8"/>
        </w:rPr>
        <w:t xml:space="preserve"> </w:t>
      </w:r>
      <w:r w:rsidR="00D17CE7" w:rsidRPr="00FF3D15">
        <w:rPr>
          <w:spacing w:val="-1"/>
        </w:rPr>
        <w:t>wi</w:t>
      </w:r>
      <w:r w:rsidR="00BE1474">
        <w:rPr>
          <w:spacing w:val="-1"/>
        </w:rPr>
        <w:t xml:space="preserve">th post-release </w:t>
      </w:r>
      <w:r w:rsidR="00D17CE7" w:rsidRPr="00FF3D15">
        <w:t>employment</w:t>
      </w:r>
      <w:r w:rsidR="00D17CE7" w:rsidRPr="00FF3D15">
        <w:rPr>
          <w:spacing w:val="-7"/>
        </w:rPr>
        <w:t xml:space="preserve"> </w:t>
      </w:r>
      <w:r w:rsidR="00D17CE7" w:rsidRPr="00FF3D15">
        <w:t>service</w:t>
      </w:r>
      <w:r w:rsidR="00D17CE7" w:rsidRPr="00FF3D15">
        <w:rPr>
          <w:spacing w:val="-2"/>
        </w:rPr>
        <w:t xml:space="preserve"> </w:t>
      </w:r>
      <w:r w:rsidR="00D17CE7" w:rsidRPr="00FF3D15">
        <w:t>providers</w:t>
      </w:r>
      <w:r w:rsidR="00D17CE7" w:rsidRPr="00FF3D15">
        <w:rPr>
          <w:spacing w:val="-4"/>
        </w:rPr>
        <w:t xml:space="preserve"> </w:t>
      </w:r>
      <w:r w:rsidR="009417D4" w:rsidRPr="00FF3D15">
        <w:rPr>
          <w:spacing w:val="-1"/>
        </w:rPr>
        <w:t>in</w:t>
      </w:r>
      <w:r w:rsidR="009417D4" w:rsidRPr="00FF3D15">
        <w:rPr>
          <w:spacing w:val="-7"/>
        </w:rPr>
        <w:t xml:space="preserve"> </w:t>
      </w:r>
      <w:r w:rsidR="009417D4" w:rsidRPr="00FF3D15">
        <w:t>prisons</w:t>
      </w:r>
      <w:r w:rsidR="009417D4" w:rsidRPr="00FF3D15">
        <w:rPr>
          <w:spacing w:val="-4"/>
        </w:rPr>
        <w:t xml:space="preserve"> </w:t>
      </w:r>
      <w:r w:rsidR="009E5988" w:rsidRPr="00FF3D15">
        <w:rPr>
          <w:spacing w:val="-1"/>
        </w:rPr>
        <w:t>has</w:t>
      </w:r>
      <w:r w:rsidR="009E5988" w:rsidRPr="00FF3D15">
        <w:rPr>
          <w:spacing w:val="-3"/>
        </w:rPr>
        <w:t xml:space="preserve"> </w:t>
      </w:r>
      <w:r w:rsidR="009E5988" w:rsidRPr="00FF3D15">
        <w:t>been</w:t>
      </w:r>
      <w:r w:rsidR="009E5988" w:rsidRPr="00FF3D15">
        <w:rPr>
          <w:spacing w:val="-5"/>
        </w:rPr>
        <w:t xml:space="preserve"> </w:t>
      </w:r>
      <w:r w:rsidR="009D22A0" w:rsidRPr="00FF3D15">
        <w:t>difficult</w:t>
      </w:r>
      <w:r w:rsidR="009D22A0" w:rsidRPr="00FF3D15">
        <w:rPr>
          <w:spacing w:val="-7"/>
        </w:rPr>
        <w:t xml:space="preserve"> </w:t>
      </w:r>
      <w:r w:rsidR="009D22A0" w:rsidRPr="00FF3D15">
        <w:t>due</w:t>
      </w:r>
      <w:r w:rsidR="009D22A0" w:rsidRPr="00FF3D15">
        <w:rPr>
          <w:spacing w:val="-6"/>
        </w:rPr>
        <w:t xml:space="preserve"> </w:t>
      </w:r>
      <w:r w:rsidR="009D22A0" w:rsidRPr="00FF3D15">
        <w:t>to</w:t>
      </w:r>
      <w:r w:rsidR="009D22A0" w:rsidRPr="00FF3D15">
        <w:rPr>
          <w:spacing w:val="-6"/>
        </w:rPr>
        <w:t xml:space="preserve"> </w:t>
      </w:r>
      <w:r w:rsidR="009D22A0" w:rsidRPr="00FF3D15">
        <w:t>lack</w:t>
      </w:r>
      <w:r w:rsidR="009D22A0" w:rsidRPr="00FF3D15">
        <w:rPr>
          <w:spacing w:val="-5"/>
        </w:rPr>
        <w:t xml:space="preserve"> </w:t>
      </w:r>
      <w:r w:rsidR="009D22A0" w:rsidRPr="00FF3D15">
        <w:t>of</w:t>
      </w:r>
      <w:r w:rsidR="009D22A0" w:rsidRPr="00FF3D15">
        <w:rPr>
          <w:spacing w:val="-6"/>
        </w:rPr>
        <w:t xml:space="preserve"> </w:t>
      </w:r>
      <w:r w:rsidR="009D22A0" w:rsidRPr="00FF3D15">
        <w:rPr>
          <w:spacing w:val="-1"/>
        </w:rPr>
        <w:t>facilities</w:t>
      </w:r>
      <w:r w:rsidR="009D22A0" w:rsidRPr="00FF3D15">
        <w:rPr>
          <w:spacing w:val="-4"/>
        </w:rPr>
        <w:t xml:space="preserve"> </w:t>
      </w:r>
      <w:r w:rsidR="009D22A0" w:rsidRPr="00FF3D15">
        <w:rPr>
          <w:spacing w:val="-1"/>
        </w:rPr>
        <w:t>and</w:t>
      </w:r>
      <w:r w:rsidR="009D22A0">
        <w:rPr>
          <w:spacing w:val="-1"/>
        </w:rPr>
        <w:t xml:space="preserve"> </w:t>
      </w:r>
      <w:r w:rsidR="00F81745">
        <w:rPr>
          <w:spacing w:val="-1"/>
        </w:rPr>
        <w:t>meeting</w:t>
      </w:r>
      <w:r w:rsidR="009D22A0" w:rsidRPr="00FF3D15">
        <w:rPr>
          <w:spacing w:val="-7"/>
        </w:rPr>
        <w:t xml:space="preserve"> </w:t>
      </w:r>
      <w:r w:rsidR="009D22A0" w:rsidRPr="00FF3D15">
        <w:t>rooms</w:t>
      </w:r>
      <w:r w:rsidR="009417D4" w:rsidRPr="00FF3D15">
        <w:t>,</w:t>
      </w:r>
      <w:r w:rsidR="009417D4" w:rsidRPr="00FF3D15">
        <w:rPr>
          <w:spacing w:val="-7"/>
        </w:rPr>
        <w:t xml:space="preserve"> </w:t>
      </w:r>
      <w:r w:rsidR="00C94781" w:rsidRPr="00FF3D15">
        <w:t>security</w:t>
      </w:r>
      <w:r w:rsidR="00C94781" w:rsidRPr="00FF3D15">
        <w:rPr>
          <w:spacing w:val="-6"/>
        </w:rPr>
        <w:t xml:space="preserve"> </w:t>
      </w:r>
      <w:r w:rsidR="00C94781" w:rsidRPr="00FF3D15">
        <w:t>or</w:t>
      </w:r>
      <w:r w:rsidR="00C94781" w:rsidRPr="00FF3D15">
        <w:rPr>
          <w:spacing w:val="-6"/>
        </w:rPr>
        <w:t xml:space="preserve"> </w:t>
      </w:r>
      <w:r w:rsidR="00C94781" w:rsidRPr="00FF3D15">
        <w:t>access</w:t>
      </w:r>
      <w:r w:rsidR="00C94781" w:rsidRPr="00FF3D15">
        <w:rPr>
          <w:spacing w:val="-6"/>
        </w:rPr>
        <w:t xml:space="preserve"> </w:t>
      </w:r>
      <w:r w:rsidR="00C94781" w:rsidRPr="00FF3D15">
        <w:t>issues,</w:t>
      </w:r>
      <w:r w:rsidR="00C94781" w:rsidRPr="00FF3D15">
        <w:rPr>
          <w:spacing w:val="-7"/>
        </w:rPr>
        <w:t xml:space="preserve"> </w:t>
      </w:r>
      <w:r w:rsidR="00C94781" w:rsidRPr="00FF3D15">
        <w:rPr>
          <w:spacing w:val="-1"/>
        </w:rPr>
        <w:t>and</w:t>
      </w:r>
      <w:r w:rsidR="00C94781" w:rsidRPr="00FF3D15">
        <w:rPr>
          <w:spacing w:val="-2"/>
        </w:rPr>
        <w:t xml:space="preserve"> </w:t>
      </w:r>
      <w:r w:rsidR="006A23B8" w:rsidRPr="00FF3D15">
        <w:t>provider</w:t>
      </w:r>
      <w:r w:rsidR="006A23B8" w:rsidRPr="00FF3D15">
        <w:rPr>
          <w:spacing w:val="-7"/>
        </w:rPr>
        <w:t xml:space="preserve"> </w:t>
      </w:r>
      <w:r w:rsidR="006A23B8" w:rsidRPr="00FF3D15">
        <w:t>unwillingness</w:t>
      </w:r>
      <w:r w:rsidR="006A23B8" w:rsidRPr="00FF3D15">
        <w:rPr>
          <w:spacing w:val="-6"/>
        </w:rPr>
        <w:t xml:space="preserve"> </w:t>
      </w:r>
      <w:r w:rsidR="006A23B8" w:rsidRPr="00FF3D15">
        <w:t>to</w:t>
      </w:r>
      <w:r w:rsidR="006A23B8" w:rsidRPr="00FF3D15">
        <w:rPr>
          <w:spacing w:val="-7"/>
        </w:rPr>
        <w:t xml:space="preserve"> </w:t>
      </w:r>
      <w:r w:rsidR="006A23B8" w:rsidRPr="00FF3D15">
        <w:t>attend</w:t>
      </w:r>
      <w:r w:rsidR="006A23B8" w:rsidRPr="00FF3D15">
        <w:rPr>
          <w:spacing w:val="-4"/>
        </w:rPr>
        <w:t xml:space="preserve"> </w:t>
      </w:r>
      <w:r w:rsidR="006A23B8" w:rsidRPr="00FF3D15">
        <w:t>m</w:t>
      </w:r>
      <w:r w:rsidR="000A3359" w:rsidRPr="00FF3D15">
        <w:t>ee</w:t>
      </w:r>
      <w:r w:rsidR="006A23B8" w:rsidRPr="00FF3D15">
        <w:t>tings</w:t>
      </w:r>
      <w:r w:rsidR="006A23B8" w:rsidRPr="00FF3D15">
        <w:rPr>
          <w:spacing w:val="-4"/>
        </w:rPr>
        <w:t xml:space="preserve"> </w:t>
      </w:r>
      <w:r w:rsidR="006A23B8" w:rsidRPr="00FF3D15">
        <w:rPr>
          <w:spacing w:val="-1"/>
        </w:rPr>
        <w:t>in</w:t>
      </w:r>
      <w:r w:rsidR="006A23B8" w:rsidRPr="00FF3D15">
        <w:rPr>
          <w:spacing w:val="34"/>
          <w:w w:val="99"/>
        </w:rPr>
        <w:t xml:space="preserve"> </w:t>
      </w:r>
      <w:r w:rsidR="006A23B8" w:rsidRPr="00FF3D15">
        <w:rPr>
          <w:spacing w:val="-1"/>
        </w:rPr>
        <w:t>prisons</w:t>
      </w:r>
      <w:r w:rsidR="007A45CC">
        <w:rPr>
          <w:spacing w:val="-1"/>
        </w:rPr>
        <w:t xml:space="preserve"> or to connect over the phone</w:t>
      </w:r>
      <w:r w:rsidR="00F10C69" w:rsidRPr="00FF3D15">
        <w:rPr>
          <w:spacing w:val="-5"/>
        </w:rPr>
        <w:t xml:space="preserve"> </w:t>
      </w:r>
      <w:r w:rsidR="00F10C69" w:rsidRPr="00FF3D15">
        <w:rPr>
          <w:spacing w:val="-1"/>
        </w:rPr>
        <w:t>(in</w:t>
      </w:r>
      <w:r w:rsidR="00F10C69" w:rsidRPr="00FF3D15">
        <w:rPr>
          <w:spacing w:val="-4"/>
        </w:rPr>
        <w:t xml:space="preserve"> </w:t>
      </w:r>
      <w:r w:rsidR="00F10C69" w:rsidRPr="00FF3D15">
        <w:rPr>
          <w:spacing w:val="-1"/>
        </w:rPr>
        <w:t>part</w:t>
      </w:r>
      <w:r w:rsidR="00F10C69" w:rsidRPr="00FF3D15">
        <w:rPr>
          <w:spacing w:val="-4"/>
        </w:rPr>
        <w:t xml:space="preserve"> </w:t>
      </w:r>
      <w:r w:rsidR="00F10C69" w:rsidRPr="00FF3D15">
        <w:rPr>
          <w:spacing w:val="-1"/>
        </w:rPr>
        <w:t>due</w:t>
      </w:r>
      <w:r w:rsidR="00F10C69" w:rsidRPr="00FF3D15">
        <w:rPr>
          <w:spacing w:val="-5"/>
        </w:rPr>
        <w:t xml:space="preserve"> </w:t>
      </w:r>
      <w:r w:rsidR="00F10C69" w:rsidRPr="00FF3D15">
        <w:t>to</w:t>
      </w:r>
      <w:r w:rsidR="00F10C69" w:rsidRPr="00FF3D15">
        <w:rPr>
          <w:spacing w:val="-5"/>
        </w:rPr>
        <w:t xml:space="preserve"> </w:t>
      </w:r>
      <w:r w:rsidR="00F10C69" w:rsidRPr="00FF3D15">
        <w:t>a</w:t>
      </w:r>
      <w:r w:rsidR="00F10C69" w:rsidRPr="00FF3D15">
        <w:rPr>
          <w:spacing w:val="-6"/>
        </w:rPr>
        <w:t xml:space="preserve"> </w:t>
      </w:r>
      <w:r w:rsidR="00F10C69" w:rsidRPr="00FF3D15">
        <w:t>lack</w:t>
      </w:r>
      <w:r w:rsidR="00F10C69" w:rsidRPr="00FF3D15">
        <w:rPr>
          <w:spacing w:val="-5"/>
        </w:rPr>
        <w:t xml:space="preserve"> </w:t>
      </w:r>
      <w:r w:rsidR="00F10C69" w:rsidRPr="00FF3D15">
        <w:t>of</w:t>
      </w:r>
      <w:r w:rsidR="00F10C69" w:rsidRPr="00FF3D15">
        <w:rPr>
          <w:spacing w:val="-6"/>
        </w:rPr>
        <w:t xml:space="preserve"> </w:t>
      </w:r>
      <w:r w:rsidR="00F10C69" w:rsidRPr="00FF3D15">
        <w:t>awareness</w:t>
      </w:r>
      <w:r w:rsidR="00F10C69" w:rsidRPr="00FF3D15">
        <w:rPr>
          <w:spacing w:val="-6"/>
        </w:rPr>
        <w:t xml:space="preserve"> </w:t>
      </w:r>
      <w:r w:rsidR="00F10C69" w:rsidRPr="00FF3D15">
        <w:t>among</w:t>
      </w:r>
      <w:r w:rsidR="00F10C69" w:rsidRPr="00FF3D15">
        <w:rPr>
          <w:spacing w:val="-4"/>
        </w:rPr>
        <w:t xml:space="preserve"> </w:t>
      </w:r>
      <w:r w:rsidR="00F10C69" w:rsidRPr="00FF3D15">
        <w:rPr>
          <w:spacing w:val="-1"/>
        </w:rPr>
        <w:t>employment</w:t>
      </w:r>
      <w:r w:rsidR="00F10C69" w:rsidRPr="00FF3D15">
        <w:rPr>
          <w:spacing w:val="-6"/>
        </w:rPr>
        <w:t xml:space="preserve"> </w:t>
      </w:r>
      <w:r w:rsidR="00F10C69" w:rsidRPr="00FF3D15">
        <w:t>service</w:t>
      </w:r>
      <w:r w:rsidR="00F10C69" w:rsidRPr="00FF3D15">
        <w:rPr>
          <w:spacing w:val="-4"/>
        </w:rPr>
        <w:t xml:space="preserve"> </w:t>
      </w:r>
      <w:r w:rsidR="00F10C69" w:rsidRPr="00FF3D15">
        <w:t>providers</w:t>
      </w:r>
      <w:r w:rsidR="00F10C69" w:rsidRPr="00FF3D15">
        <w:rPr>
          <w:spacing w:val="-5"/>
        </w:rPr>
        <w:t xml:space="preserve"> </w:t>
      </w:r>
      <w:r w:rsidR="00F10C69" w:rsidRPr="00FF3D15">
        <w:t>of</w:t>
      </w:r>
      <w:r w:rsidR="00F10C69" w:rsidRPr="00FF3D15">
        <w:rPr>
          <w:spacing w:val="-6"/>
        </w:rPr>
        <w:t xml:space="preserve"> </w:t>
      </w:r>
      <w:r w:rsidR="00F10C69" w:rsidRPr="00FF3D15">
        <w:rPr>
          <w:spacing w:val="-1"/>
        </w:rPr>
        <w:t>TWES).</w:t>
      </w:r>
      <w:r w:rsidR="006A23B8" w:rsidRPr="00FF3D15">
        <w:rPr>
          <w:spacing w:val="-1"/>
        </w:rPr>
        <w:t>(</w:t>
      </w:r>
      <w:r w:rsidR="00B11C29">
        <w:rPr>
          <w:spacing w:val="-1"/>
        </w:rPr>
        <w:t>This was n</w:t>
      </w:r>
      <w:r w:rsidR="006A23B8" w:rsidRPr="00FF3D15">
        <w:rPr>
          <w:spacing w:val="-1"/>
        </w:rPr>
        <w:t>oted</w:t>
      </w:r>
      <w:r w:rsidR="006A23B8" w:rsidRPr="00FF3D15">
        <w:rPr>
          <w:spacing w:val="-7"/>
        </w:rPr>
        <w:t xml:space="preserve"> </w:t>
      </w:r>
      <w:r w:rsidR="006A23B8" w:rsidRPr="00FF3D15">
        <w:t>by</w:t>
      </w:r>
      <w:r w:rsidR="006A23B8" w:rsidRPr="00FF3D15">
        <w:rPr>
          <w:spacing w:val="-7"/>
        </w:rPr>
        <w:t xml:space="preserve"> </w:t>
      </w:r>
      <w:r w:rsidR="006A23B8" w:rsidRPr="00FF3D15">
        <w:rPr>
          <w:spacing w:val="-1"/>
        </w:rPr>
        <w:t>four</w:t>
      </w:r>
      <w:r w:rsidR="006A23B8" w:rsidRPr="00FF3D15">
        <w:rPr>
          <w:spacing w:val="-8"/>
        </w:rPr>
        <w:t xml:space="preserve"> </w:t>
      </w:r>
      <w:r w:rsidR="006A23B8" w:rsidRPr="00FF3D15">
        <w:t>TWES</w:t>
      </w:r>
      <w:r w:rsidR="006A23B8" w:rsidRPr="00FF3D15">
        <w:rPr>
          <w:spacing w:val="-7"/>
        </w:rPr>
        <w:t xml:space="preserve"> </w:t>
      </w:r>
      <w:r w:rsidR="00D61836">
        <w:t>p</w:t>
      </w:r>
      <w:r w:rsidR="00D61836" w:rsidRPr="00FF3D15">
        <w:t>rovide</w:t>
      </w:r>
      <w:r w:rsidR="00D61836">
        <w:t>r</w:t>
      </w:r>
      <w:r w:rsidR="00D61836" w:rsidRPr="00FF3D15">
        <w:t>s</w:t>
      </w:r>
      <w:r w:rsidR="006A23B8" w:rsidRPr="00FF3D15">
        <w:t>,</w:t>
      </w:r>
      <w:r w:rsidR="006A23B8" w:rsidRPr="00FF3D15">
        <w:rPr>
          <w:spacing w:val="-8"/>
        </w:rPr>
        <w:t xml:space="preserve"> </w:t>
      </w:r>
      <w:r w:rsidR="006A23B8" w:rsidRPr="00FF3D15">
        <w:t>one</w:t>
      </w:r>
      <w:r w:rsidR="006A23B8" w:rsidRPr="00FF3D15">
        <w:rPr>
          <w:spacing w:val="-8"/>
        </w:rPr>
        <w:t xml:space="preserve"> </w:t>
      </w:r>
      <w:r w:rsidR="006A23B8" w:rsidRPr="00FF3D15">
        <w:t>Commonwealth</w:t>
      </w:r>
      <w:r w:rsidR="006A23B8" w:rsidRPr="00FF3D15">
        <w:rPr>
          <w:spacing w:val="-8"/>
        </w:rPr>
        <w:t xml:space="preserve"> </w:t>
      </w:r>
      <w:r w:rsidR="006A23B8" w:rsidRPr="00FF3D15">
        <w:t>stakeholder</w:t>
      </w:r>
      <w:r w:rsidR="006A23B8" w:rsidRPr="00FF3D15">
        <w:rPr>
          <w:spacing w:val="-5"/>
        </w:rPr>
        <w:t xml:space="preserve"> </w:t>
      </w:r>
      <w:r w:rsidR="006A23B8" w:rsidRPr="00FF3D15">
        <w:rPr>
          <w:spacing w:val="-1"/>
        </w:rPr>
        <w:t>and</w:t>
      </w:r>
      <w:r w:rsidR="006A23B8" w:rsidRPr="00FF3D15">
        <w:rPr>
          <w:spacing w:val="-4"/>
        </w:rPr>
        <w:t xml:space="preserve"> </w:t>
      </w:r>
      <w:r w:rsidR="000A3359" w:rsidRPr="00FF3D15">
        <w:rPr>
          <w:spacing w:val="-1"/>
        </w:rPr>
        <w:t>one</w:t>
      </w:r>
      <w:r w:rsidR="000A3359" w:rsidRPr="00FF3D15">
        <w:rPr>
          <w:spacing w:val="-6"/>
        </w:rPr>
        <w:t xml:space="preserve"> </w:t>
      </w:r>
      <w:r w:rsidR="000A3359" w:rsidRPr="00FF3D15">
        <w:t>corrections</w:t>
      </w:r>
      <w:r w:rsidR="000A3359" w:rsidRPr="00FF3D15">
        <w:rPr>
          <w:spacing w:val="48"/>
          <w:w w:val="99"/>
        </w:rPr>
        <w:t xml:space="preserve"> </w:t>
      </w:r>
      <w:r w:rsidR="000A3359" w:rsidRPr="00FF3D15">
        <w:rPr>
          <w:spacing w:val="-1"/>
        </w:rPr>
        <w:t>stakeholder)</w:t>
      </w:r>
      <w:r w:rsidR="00B11C29">
        <w:rPr>
          <w:spacing w:val="-1"/>
        </w:rPr>
        <w:t>.</w:t>
      </w:r>
    </w:p>
    <w:p w14:paraId="21D09479" w14:textId="400BA827" w:rsidR="001023FE" w:rsidRDefault="00224E0C" w:rsidP="00305B4B">
      <w:pPr>
        <w:pStyle w:val="BodyText"/>
        <w:ind w:right="3"/>
      </w:pPr>
      <w:r>
        <w:rPr>
          <w:noProof/>
        </w:rPr>
        <mc:AlternateContent>
          <mc:Choice Requires="wps">
            <w:drawing>
              <wp:inline distT="0" distB="0" distL="0" distR="0" wp14:anchorId="2D208F2D" wp14:editId="0AAAA167">
                <wp:extent cx="6229155" cy="1418253"/>
                <wp:effectExtent l="0" t="0" r="0" b="4445"/>
                <wp:docPr id="55" name="Rectangle: Rounded Corners 55"/>
                <wp:cNvGraphicFramePr/>
                <a:graphic xmlns:a="http://schemas.openxmlformats.org/drawingml/2006/main">
                  <a:graphicData uri="http://schemas.microsoft.com/office/word/2010/wordprocessingShape">
                    <wps:wsp>
                      <wps:cNvSpPr/>
                      <wps:spPr>
                        <a:xfrm>
                          <a:off x="0" y="0"/>
                          <a:ext cx="6229155" cy="1418253"/>
                        </a:xfrm>
                        <a:prstGeom prst="roundRect">
                          <a:avLst/>
                        </a:prstGeom>
                        <a:solidFill>
                          <a:srgbClr val="58B6E7">
                            <a:lumMod val="20000"/>
                            <a:lumOff val="80000"/>
                          </a:srgbClr>
                        </a:solidFill>
                        <a:ln w="25400" cap="flat" cmpd="sng" algn="ctr">
                          <a:noFill/>
                          <a:prstDash val="solid"/>
                        </a:ln>
                        <a:effectLst/>
                      </wps:spPr>
                      <wps:txbx>
                        <w:txbxContent>
                          <w:p w14:paraId="58244ACA" w14:textId="77777777" w:rsidR="000B1DD2" w:rsidRPr="00224E0C" w:rsidRDefault="000B1DD2" w:rsidP="00E06C4B">
                            <w:pPr>
                              <w:pStyle w:val="QuoteNoafterspace"/>
                            </w:pPr>
                            <w:r w:rsidRPr="00224E0C">
                              <w:t>Half the time there is no Facilitated Transfer prior to release, for a range of reasons. Many external providers aren’t aware of TWES and are therefore not cooperative – some won't visit prisons to do the Facilitated Transfer or refuse to see people prior to them being on their books. During COVID- 19 jobactive providers haven’t being seeing people in person at all.</w:t>
                            </w:r>
                          </w:p>
                          <w:p w14:paraId="5A332C6B" w14:textId="10E26408" w:rsidR="000B1DD2" w:rsidRPr="00224E0C" w:rsidRDefault="000B1DD2" w:rsidP="00E06C4B">
                            <w:pPr>
                              <w:pStyle w:val="QuoteNoafterspace"/>
                              <w:jc w:val="right"/>
                              <w:rPr>
                                <w:b/>
                                <w:bCs/>
                              </w:rPr>
                            </w:pPr>
                            <w:r w:rsidRPr="00224E0C">
                              <w:rPr>
                                <w:b/>
                                <w:bCs/>
                              </w:rPr>
                              <w:t>- Corrections stakeholder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208F2D" id="Rectangle: Rounded Corners 55" o:spid="_x0000_s1039" style="width:490.5pt;height:11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" fillcolor="#def0fa" stroked="f" strokeweight="2pt">
                <v:textbox inset="0,0,0,0">
                  <w:txbxContent>
                    <w:p w14:paraId="58244ACA" w14:textId="77777777" w:rsidR="000B1DD2" w:rsidRPr="00224E0C" w:rsidRDefault="000B1DD2" w:rsidP="00E06C4B">
                      <w:pPr>
                        <w:pStyle w:val="QuoteNoafterspace"/>
                      </w:pPr>
                      <w:r w:rsidRPr="00224E0C">
                        <w:t xml:space="preserve">Half the time there is no Facilitated Transfer prior to release, for a range of reasons. Many external providers aren’t aware of TWES and are therefore not cooperative – some won't visit prisons to do the Facilitated Transfer or refuse to see people prior to them being on their books. During COVID- 19 </w:t>
                      </w:r>
                      <w:proofErr w:type="spellStart"/>
                      <w:r w:rsidRPr="00224E0C">
                        <w:t>jobactive</w:t>
                      </w:r>
                      <w:proofErr w:type="spellEnd"/>
                      <w:r w:rsidRPr="00224E0C">
                        <w:t xml:space="preserve"> providers haven’t </w:t>
                      </w:r>
                      <w:proofErr w:type="gramStart"/>
                      <w:r w:rsidRPr="00224E0C">
                        <w:t>being</w:t>
                      </w:r>
                      <w:proofErr w:type="gramEnd"/>
                      <w:r w:rsidRPr="00224E0C">
                        <w:t xml:space="preserve"> seeing people in person at all.</w:t>
                      </w:r>
                    </w:p>
                    <w:p w14:paraId="5A332C6B" w14:textId="10E26408" w:rsidR="000B1DD2" w:rsidRPr="00224E0C" w:rsidRDefault="000B1DD2" w:rsidP="00E06C4B">
                      <w:pPr>
                        <w:pStyle w:val="QuoteNoafterspace"/>
                        <w:jc w:val="right"/>
                        <w:rPr>
                          <w:b/>
                          <w:bCs/>
                        </w:rPr>
                      </w:pPr>
                      <w:r w:rsidRPr="00224E0C">
                        <w:rPr>
                          <w:b/>
                          <w:bCs/>
                        </w:rPr>
                        <w:t>- Corrections stakeholder</w:t>
                      </w:r>
                    </w:p>
                  </w:txbxContent>
                </v:textbox>
                <w10:anchorlock/>
              </v:roundrect>
            </w:pict>
          </mc:Fallback>
        </mc:AlternateContent>
      </w:r>
    </w:p>
    <w:p w14:paraId="7EB4EBF8" w14:textId="365E9CE1" w:rsidR="001023FE" w:rsidRDefault="00224E0C" w:rsidP="00305B4B">
      <w:pPr>
        <w:pStyle w:val="BodyText"/>
        <w:ind w:right="3"/>
      </w:pPr>
      <w:r>
        <w:rPr>
          <w:noProof/>
        </w:rPr>
        <mc:AlternateContent>
          <mc:Choice Requires="wps">
            <w:drawing>
              <wp:inline distT="0" distB="0" distL="0" distR="0" wp14:anchorId="178070BF" wp14:editId="0C7562CB">
                <wp:extent cx="6228715" cy="1219200"/>
                <wp:effectExtent l="0" t="0" r="0" b="0"/>
                <wp:docPr id="56" name="Rectangle: Rounded Corners 56"/>
                <wp:cNvGraphicFramePr/>
                <a:graphic xmlns:a="http://schemas.openxmlformats.org/drawingml/2006/main">
                  <a:graphicData uri="http://schemas.microsoft.com/office/word/2010/wordprocessingShape">
                    <wps:wsp>
                      <wps:cNvSpPr/>
                      <wps:spPr>
                        <a:xfrm>
                          <a:off x="0" y="0"/>
                          <a:ext cx="6228715" cy="1219200"/>
                        </a:xfrm>
                        <a:prstGeom prst="roundRect">
                          <a:avLst/>
                        </a:prstGeom>
                        <a:solidFill>
                          <a:srgbClr val="58B6E7">
                            <a:lumMod val="20000"/>
                            <a:lumOff val="80000"/>
                          </a:srgbClr>
                        </a:solidFill>
                        <a:ln w="25400" cap="flat" cmpd="sng" algn="ctr">
                          <a:noFill/>
                          <a:prstDash val="solid"/>
                        </a:ln>
                        <a:effectLst/>
                      </wps:spPr>
                      <wps:txbx>
                        <w:txbxContent>
                          <w:p w14:paraId="08AB49DF" w14:textId="618ED39D" w:rsidR="000B1DD2" w:rsidRPr="00224E0C" w:rsidRDefault="000B1DD2" w:rsidP="00E06C4B">
                            <w:pPr>
                              <w:pStyle w:val="QuoteNoafterspace"/>
                            </w:pPr>
                            <w:r w:rsidRPr="00224E0C">
                              <w:t>Employment service providers have not been very responsive when we reached out to them… Participants sometimes aren’t being informed of who their employment services providers are until 2 days before release, this makes it extremely difficult to arrange a Facilitated Transfer Meeting.</w:t>
                            </w:r>
                          </w:p>
                          <w:p w14:paraId="2E3D933B" w14:textId="243FE43A" w:rsidR="000B1DD2" w:rsidRPr="00224E0C" w:rsidRDefault="000B1DD2" w:rsidP="00E06C4B">
                            <w:pPr>
                              <w:pStyle w:val="QuoteNoafterspace"/>
                              <w:jc w:val="right"/>
                              <w:rPr>
                                <w:b/>
                                <w:bCs/>
                              </w:rPr>
                            </w:pPr>
                            <w:r w:rsidRPr="00224E0C">
                              <w:rPr>
                                <w:b/>
                                <w:bCs/>
                              </w:rPr>
                              <w:t>- TWES provider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8070BF" id="Rectangle: Rounded Corners 56" o:spid="_x0000_s1040" style="width:490.45pt;height:9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" fillcolor="#def0fa" stroked="f" strokeweight="2pt">
                <v:textbox inset="0,0,0,0">
                  <w:txbxContent>
                    <w:p w14:paraId="08AB49DF" w14:textId="618ED39D" w:rsidR="000B1DD2" w:rsidRPr="00224E0C" w:rsidRDefault="000B1DD2" w:rsidP="00E06C4B">
                      <w:pPr>
                        <w:pStyle w:val="QuoteNoafterspace"/>
                      </w:pPr>
                      <w:r w:rsidRPr="00224E0C">
                        <w:t>Employment service providers have not been very responsive when we reached out to them… Participants sometimes aren’t being informed of who their employment services providers are until 2 days before release, this makes it extremely difficult to arrange a Facilitated Transfer Meeting.</w:t>
                      </w:r>
                    </w:p>
                    <w:p w14:paraId="2E3D933B" w14:textId="243FE43A" w:rsidR="000B1DD2" w:rsidRPr="00224E0C" w:rsidRDefault="000B1DD2" w:rsidP="00E06C4B">
                      <w:pPr>
                        <w:pStyle w:val="QuoteNoafterspace"/>
                        <w:jc w:val="right"/>
                        <w:rPr>
                          <w:b/>
                          <w:bCs/>
                        </w:rPr>
                      </w:pPr>
                      <w:r w:rsidRPr="00224E0C">
                        <w:rPr>
                          <w:b/>
                          <w:bCs/>
                        </w:rPr>
                        <w:t>- TWES provider</w:t>
                      </w:r>
                    </w:p>
                  </w:txbxContent>
                </v:textbox>
                <w10:anchorlock/>
              </v:roundrect>
            </w:pict>
          </mc:Fallback>
        </mc:AlternateContent>
      </w:r>
    </w:p>
    <w:p w14:paraId="2DA7AD30" w14:textId="6F34C377" w:rsidR="005A5506" w:rsidRDefault="00224E0C" w:rsidP="00305B4B">
      <w:pPr>
        <w:pStyle w:val="BodyText"/>
        <w:ind w:right="3"/>
      </w:pPr>
      <w:r>
        <w:rPr>
          <w:noProof/>
        </w:rPr>
        <mc:AlternateContent>
          <mc:Choice Requires="wps">
            <w:drawing>
              <wp:inline distT="0" distB="0" distL="0" distR="0" wp14:anchorId="46AB9F7A" wp14:editId="3EA170AD">
                <wp:extent cx="6228715" cy="851647"/>
                <wp:effectExtent l="0" t="0" r="0" b="0"/>
                <wp:docPr id="57" name="Rectangle: Rounded Corners 57"/>
                <wp:cNvGraphicFramePr/>
                <a:graphic xmlns:a="http://schemas.openxmlformats.org/drawingml/2006/main">
                  <a:graphicData uri="http://schemas.microsoft.com/office/word/2010/wordprocessingShape">
                    <wps:wsp>
                      <wps:cNvSpPr/>
                      <wps:spPr>
                        <a:xfrm>
                          <a:off x="0" y="0"/>
                          <a:ext cx="6228715" cy="851647"/>
                        </a:xfrm>
                        <a:prstGeom prst="roundRect">
                          <a:avLst/>
                        </a:prstGeom>
                        <a:solidFill>
                          <a:srgbClr val="58B6E7">
                            <a:lumMod val="20000"/>
                            <a:lumOff val="80000"/>
                          </a:srgbClr>
                        </a:solidFill>
                        <a:ln w="25400" cap="flat" cmpd="sng" algn="ctr">
                          <a:noFill/>
                          <a:prstDash val="solid"/>
                        </a:ln>
                        <a:effectLst/>
                      </wps:spPr>
                      <wps:txbx>
                        <w:txbxContent>
                          <w:p w14:paraId="72557B2A" w14:textId="6579DC16" w:rsidR="000B1DD2" w:rsidRPr="00224E0C" w:rsidRDefault="000B1DD2" w:rsidP="00E06C4B">
                            <w:pPr>
                              <w:pStyle w:val="QuoteNoafterspace"/>
                            </w:pPr>
                            <w:r w:rsidRPr="00224E0C">
                              <w:t>The handover interview sometimes isn't done or done properly due to various reasons both caused by the prison and their restrictions but also logistic issues.</w:t>
                            </w:r>
                          </w:p>
                          <w:p w14:paraId="5462FD3B" w14:textId="5E9309A1" w:rsidR="000B1DD2" w:rsidRPr="00224E0C" w:rsidRDefault="000B1DD2" w:rsidP="00E06C4B">
                            <w:pPr>
                              <w:pStyle w:val="QuoteNoafterspace"/>
                              <w:jc w:val="right"/>
                              <w:rPr>
                                <w:b/>
                                <w:bCs/>
                              </w:rPr>
                            </w:pPr>
                            <w:r w:rsidRPr="00224E0C">
                              <w:rPr>
                                <w:b/>
                                <w:bCs/>
                              </w:rPr>
                              <w:t>- TWES provider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AB9F7A" id="Rectangle: Rounded Corners 57" o:spid="_x0000_s1041" style="width:490.45pt;height:6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" fillcolor="#def0fa" stroked="f" strokeweight="2pt">
                <v:textbox inset="0,0,0,0">
                  <w:txbxContent>
                    <w:p w14:paraId="72557B2A" w14:textId="6579DC16" w:rsidR="000B1DD2" w:rsidRPr="00224E0C" w:rsidRDefault="000B1DD2" w:rsidP="00E06C4B">
                      <w:pPr>
                        <w:pStyle w:val="QuoteNoafterspace"/>
                      </w:pPr>
                      <w:r w:rsidRPr="00224E0C">
                        <w:t>The handover interview sometimes isn't done or done properly due to various reasons both caused by the prison and their restrictions but also logistic issues.</w:t>
                      </w:r>
                    </w:p>
                    <w:p w14:paraId="5462FD3B" w14:textId="5E9309A1" w:rsidR="000B1DD2" w:rsidRPr="00224E0C" w:rsidRDefault="000B1DD2" w:rsidP="00E06C4B">
                      <w:pPr>
                        <w:pStyle w:val="QuoteNoafterspace"/>
                        <w:jc w:val="right"/>
                        <w:rPr>
                          <w:b/>
                          <w:bCs/>
                        </w:rPr>
                      </w:pPr>
                      <w:r w:rsidRPr="00224E0C">
                        <w:rPr>
                          <w:b/>
                          <w:bCs/>
                        </w:rPr>
                        <w:t>- TWES provider</w:t>
                      </w:r>
                    </w:p>
                  </w:txbxContent>
                </v:textbox>
                <w10:anchorlock/>
              </v:roundrect>
            </w:pict>
          </mc:Fallback>
        </mc:AlternateContent>
      </w:r>
    </w:p>
    <w:p w14:paraId="5647BE17" w14:textId="7DD9258E" w:rsidR="00CC4970" w:rsidRPr="00224E0C" w:rsidRDefault="00E112BD" w:rsidP="00305B4B">
      <w:pPr>
        <w:pStyle w:val="BodyText"/>
        <w:ind w:right="3"/>
      </w:pPr>
      <w:r w:rsidRPr="00224E0C">
        <w:t>The analysis and interview data presented above suggests two key findings.</w:t>
      </w:r>
      <w:r w:rsidR="00E07F47" w:rsidRPr="00224E0C">
        <w:t xml:space="preserve"> The first is</w:t>
      </w:r>
      <w:r w:rsidR="0051257F" w:rsidRPr="00224E0C">
        <w:t xml:space="preserve"> that </w:t>
      </w:r>
      <w:r w:rsidR="0009478C" w:rsidRPr="00224E0C">
        <w:t xml:space="preserve">many TWES </w:t>
      </w:r>
      <w:r w:rsidR="00D61836" w:rsidRPr="00224E0C">
        <w:t xml:space="preserve">providers </w:t>
      </w:r>
      <w:r w:rsidR="0009478C" w:rsidRPr="00224E0C">
        <w:t>have inconsistent or incorrect understanding</w:t>
      </w:r>
      <w:r w:rsidR="009E0FB2" w:rsidRPr="00224E0C">
        <w:t xml:space="preserve">s of how some aspects of TWES work, </w:t>
      </w:r>
      <w:r w:rsidR="0051257F" w:rsidRPr="00224E0C">
        <w:t xml:space="preserve">despite </w:t>
      </w:r>
      <w:r w:rsidR="00E07F47" w:rsidRPr="00224E0C">
        <w:t xml:space="preserve">these </w:t>
      </w:r>
      <w:r w:rsidR="0051257F" w:rsidRPr="00224E0C">
        <w:t xml:space="preserve">processes </w:t>
      </w:r>
      <w:r w:rsidR="00E07F47" w:rsidRPr="00224E0C">
        <w:t>being documented and shared in service guidelines and other communication</w:t>
      </w:r>
      <w:r w:rsidR="00163FDF" w:rsidRPr="00224E0C">
        <w:t>s</w:t>
      </w:r>
      <w:r w:rsidR="00E07F47" w:rsidRPr="00224E0C">
        <w:t xml:space="preserve">. The second is that </w:t>
      </w:r>
      <w:r w:rsidR="00992F3E" w:rsidRPr="00224E0C">
        <w:t xml:space="preserve">TWES </w:t>
      </w:r>
      <w:r w:rsidR="00D61836" w:rsidRPr="00224E0C">
        <w:t xml:space="preserve">providers </w:t>
      </w:r>
      <w:r w:rsidR="00992F3E" w:rsidRPr="00224E0C">
        <w:t xml:space="preserve">would benefit </w:t>
      </w:r>
      <w:r w:rsidR="000D18E9" w:rsidRPr="00224E0C">
        <w:t>from having more time with participants before they are released, to build a relationship with them and deliver all of the core service activities.</w:t>
      </w:r>
      <w:r w:rsidRPr="00224E0C">
        <w:t xml:space="preserve"> </w:t>
      </w:r>
    </w:p>
    <w:p w14:paraId="55B188A7" w14:textId="1A57A81D" w:rsidR="00892471" w:rsidRPr="00224E0C" w:rsidRDefault="00892471" w:rsidP="00305B4B">
      <w:pPr>
        <w:pStyle w:val="Heading3"/>
        <w:ind w:right="3"/>
      </w:pPr>
      <w:bookmarkStart w:id="97" w:name="bookmark22"/>
      <w:bookmarkStart w:id="98" w:name="_Ref56179338"/>
      <w:bookmarkEnd w:id="97"/>
      <w:r w:rsidRPr="00224E0C">
        <w:lastRenderedPageBreak/>
        <w:t>How did TWES relate to existing services or programs and what were the implications of this?</w:t>
      </w:r>
      <w:bookmarkEnd w:id="98"/>
    </w:p>
    <w:p w14:paraId="02651246" w14:textId="56988058" w:rsidR="004A7973" w:rsidRDefault="004A7973" w:rsidP="00305B4B">
      <w:pPr>
        <w:pStyle w:val="BodyText"/>
        <w:ind w:right="3"/>
      </w:pPr>
      <w:r>
        <w:rPr>
          <w:noProof/>
        </w:rPr>
        <mc:AlternateContent>
          <mc:Choice Requires="wps">
            <w:drawing>
              <wp:inline distT="0" distB="0" distL="0" distR="0" wp14:anchorId="3380A6BB" wp14:editId="3142B906">
                <wp:extent cx="6303010" cy="2752165"/>
                <wp:effectExtent l="0" t="0" r="0" b="3810"/>
                <wp:docPr id="1623174860" name="Text Box 1623174860"/>
                <wp:cNvGraphicFramePr/>
                <a:graphic xmlns:a="http://schemas.openxmlformats.org/drawingml/2006/main">
                  <a:graphicData uri="http://schemas.microsoft.com/office/word/2010/wordprocessingShape">
                    <wps:wsp>
                      <wps:cNvSpPr txBox="1"/>
                      <wps:spPr>
                        <a:xfrm>
                          <a:off x="0" y="0"/>
                          <a:ext cx="6303010" cy="2752165"/>
                        </a:xfrm>
                        <a:prstGeom prst="rect">
                          <a:avLst/>
                        </a:prstGeom>
                        <a:solidFill>
                          <a:schemeClr val="accent4">
                            <a:lumMod val="20000"/>
                            <a:lumOff val="80000"/>
                          </a:schemeClr>
                        </a:solidFill>
                        <a:ln w="6350">
                          <a:noFill/>
                        </a:ln>
                      </wps:spPr>
                      <wps:txbx>
                        <w:txbxContent>
                          <w:p w14:paraId="4B6869B5" w14:textId="77777777" w:rsidR="004A7973" w:rsidRPr="00224E0C" w:rsidRDefault="004A7973" w:rsidP="004A7973">
                            <w:pPr>
                              <w:pStyle w:val="BodyText"/>
                              <w:ind w:right="3"/>
                            </w:pPr>
                            <w:r w:rsidRPr="00224E0C">
                              <w:rPr>
                                <w:b/>
                                <w:bCs/>
                              </w:rPr>
                              <w:t>Key Finding #6:</w:t>
                            </w:r>
                            <w:r w:rsidRPr="00224E0C">
                              <w:t xml:space="preserve"> TWES has evolved to complement state-based prison programs, and has been shown in some jurisdictions to target highly disadvantaged prisoners who cannot access other training and employment opportunities.</w:t>
                            </w:r>
                          </w:p>
                          <w:p w14:paraId="7FAC24CF" w14:textId="77777777" w:rsidR="004A7973" w:rsidRPr="00224E0C" w:rsidRDefault="004A7973" w:rsidP="004A7973">
                            <w:pPr>
                              <w:pStyle w:val="BodyText"/>
                              <w:ind w:right="3"/>
                            </w:pPr>
                            <w:r w:rsidRPr="00224E0C">
                              <w:t>Options for consideration:</w:t>
                            </w:r>
                          </w:p>
                          <w:p w14:paraId="0A0D1429" w14:textId="77777777" w:rsidR="004A7973" w:rsidRPr="00224E0C" w:rsidRDefault="004A7973" w:rsidP="004A7973">
                            <w:pPr>
                              <w:pStyle w:val="Numberedlist"/>
                            </w:pPr>
                            <w:r w:rsidRPr="00224E0C">
                              <w:t xml:space="preserve">NIAA, DESE and state/territory governments to undertake jurisdictional level (and potentially prison level) planning to ensure that TWES and future similar programs complement and integrate with other in-prison services. </w:t>
                            </w:r>
                          </w:p>
                          <w:p w14:paraId="0DA2A697" w14:textId="32CB1F38" w:rsidR="004A7973" w:rsidRPr="004A7973" w:rsidRDefault="004A7973" w:rsidP="004A7973">
                            <w:pPr>
                              <w:pStyle w:val="Numberedlist"/>
                            </w:pPr>
                            <w:r w:rsidRPr="00224E0C">
                              <w:t>NIAA and DESE to create opportunities for TWES providers, such as virtual workshops, to share good practices and success stories with each other about building relationships with prisons to deliver and promote TWES successfully, coordinating with other in-prison services, and building relationships with prisoners to encourage participation and deliver an effective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80A6BB" id="Text Box 1623174860" o:spid="_x0000_s1042" type="#_x0000_t202" style="width:496.3pt;height:21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" fillcolor="#f1ede4 [663]" stroked="f" strokeweight=".5pt">
                <v:textbox>
                  <w:txbxContent>
                    <w:p w14:paraId="4B6869B5" w14:textId="77777777" w:rsidR="004A7973" w:rsidRPr="00224E0C" w:rsidRDefault="004A7973" w:rsidP="004A7973">
                      <w:pPr>
                        <w:pStyle w:val="BodyText"/>
                        <w:ind w:right="3"/>
                      </w:pPr>
                      <w:r w:rsidRPr="00224E0C">
                        <w:rPr>
                          <w:b/>
                          <w:bCs/>
                        </w:rPr>
                        <w:t>Key Finding #6:</w:t>
                      </w:r>
                      <w:r w:rsidRPr="00224E0C">
                        <w:t xml:space="preserve"> TWES has evolved to complement state-based prison </w:t>
                      </w:r>
                      <w:proofErr w:type="gramStart"/>
                      <w:r w:rsidRPr="00224E0C">
                        <w:t>programs, and</w:t>
                      </w:r>
                      <w:proofErr w:type="gramEnd"/>
                      <w:r w:rsidRPr="00224E0C">
                        <w:t xml:space="preserve"> has been shown in some jurisdictions to target highly disadvantaged prisoners who cannot access other training and employment opportunities.</w:t>
                      </w:r>
                    </w:p>
                    <w:p w14:paraId="7FAC24CF" w14:textId="77777777" w:rsidR="004A7973" w:rsidRPr="00224E0C" w:rsidRDefault="004A7973" w:rsidP="004A7973">
                      <w:pPr>
                        <w:pStyle w:val="BodyText"/>
                        <w:ind w:right="3"/>
                      </w:pPr>
                      <w:r w:rsidRPr="00224E0C">
                        <w:t>Options for consideration:</w:t>
                      </w:r>
                    </w:p>
                    <w:p w14:paraId="0A0D1429" w14:textId="77777777" w:rsidR="004A7973" w:rsidRPr="00224E0C" w:rsidRDefault="004A7973" w:rsidP="004A7973">
                      <w:pPr>
                        <w:pStyle w:val="Numberedlist"/>
                      </w:pPr>
                      <w:r w:rsidRPr="00224E0C">
                        <w:t xml:space="preserve">NIAA, DESE and state/territory governments to undertake jurisdictional level (and potentially prison level) planning to ensure that TWES and future similar programs complement and integrate with other in-prison services. </w:t>
                      </w:r>
                    </w:p>
                    <w:p w14:paraId="0DA2A697" w14:textId="32CB1F38" w:rsidR="004A7973" w:rsidRPr="004A7973" w:rsidRDefault="004A7973" w:rsidP="004A7973">
                      <w:pPr>
                        <w:pStyle w:val="Numberedlist"/>
                      </w:pPr>
                      <w:r w:rsidRPr="00224E0C">
                        <w:t>NIAA and DESE to create opportunities for TWES providers, such as virtual workshops, to share good practices and success stories with each other about building relationships with prisons to deliver and promote TWES successfully, coordinating with other in-prison services, and building relationships with prisoners to encourage participation and deliver an effective service.</w:t>
                      </w:r>
                    </w:p>
                  </w:txbxContent>
                </v:textbox>
                <w10:anchorlock/>
              </v:shape>
            </w:pict>
          </mc:Fallback>
        </mc:AlternateContent>
      </w:r>
    </w:p>
    <w:p w14:paraId="1F34D2F6" w14:textId="63552DCA" w:rsidR="00E93A47" w:rsidRPr="00224E0C" w:rsidRDefault="009C0B79" w:rsidP="00305B4B">
      <w:pPr>
        <w:pStyle w:val="BodyText"/>
        <w:ind w:right="3"/>
      </w:pPr>
      <w:r w:rsidRPr="00224E0C">
        <w:t>The TWES Guidelines</w:t>
      </w:r>
      <w:r w:rsidR="008D2A04" w:rsidRPr="00224E0C">
        <w:t xml:space="preserve"> </w:t>
      </w:r>
      <w:r w:rsidRPr="00224E0C">
        <w:t xml:space="preserve">recommend that </w:t>
      </w:r>
      <w:r w:rsidR="00DD4F5E" w:rsidRPr="00224E0C">
        <w:t xml:space="preserve">TWES </w:t>
      </w:r>
      <w:r w:rsidR="00D61836" w:rsidRPr="00224E0C">
        <w:t xml:space="preserve">providers </w:t>
      </w:r>
      <w:r w:rsidR="00DD4F5E" w:rsidRPr="00224E0C">
        <w:t xml:space="preserve">should </w:t>
      </w:r>
      <w:r w:rsidR="000A0436" w:rsidRPr="00224E0C">
        <w:t>coordinate with existing</w:t>
      </w:r>
      <w:r w:rsidR="00E96A8A" w:rsidRPr="00224E0C">
        <w:t xml:space="preserve"> complementary</w:t>
      </w:r>
      <w:r w:rsidR="000A0436" w:rsidRPr="00224E0C">
        <w:t xml:space="preserve"> services and programs delivered in prisons to promote TWES</w:t>
      </w:r>
      <w:r w:rsidR="00005C6C" w:rsidRPr="00224E0C">
        <w:t>. Furthermore,</w:t>
      </w:r>
    </w:p>
    <w:p w14:paraId="55B51E13" w14:textId="0AEDB352" w:rsidR="00E96A8A" w:rsidRPr="00D519D6" w:rsidRDefault="00F44884" w:rsidP="00D519D6">
      <w:pPr>
        <w:pStyle w:val="Quote"/>
      </w:pPr>
      <w:r w:rsidRPr="00D519D6">
        <w:t>“</w:t>
      </w:r>
      <w:r w:rsidR="00005C6C" w:rsidRPr="00D519D6">
        <w:t>t</w:t>
      </w:r>
      <w:r w:rsidRPr="00D519D6">
        <w:t xml:space="preserve">he </w:t>
      </w:r>
      <w:r w:rsidR="00467A51" w:rsidRPr="00D519D6">
        <w:t>provider</w:t>
      </w:r>
      <w:r w:rsidRPr="00D519D6">
        <w:t xml:space="preserve"> must work with the other in-prison service providers to prepare the </w:t>
      </w:r>
      <w:r w:rsidR="00DB7649" w:rsidRPr="00D519D6">
        <w:t>participant</w:t>
      </w:r>
      <w:r w:rsidRPr="00D519D6">
        <w:t xml:space="preserve"> for their release from Prison. The </w:t>
      </w:r>
      <w:r w:rsidR="00467A51" w:rsidRPr="00D519D6">
        <w:t>provider</w:t>
      </w:r>
      <w:r w:rsidRPr="00D519D6">
        <w:t xml:space="preserve"> should seek to build relationships with the organisations and Prison staff who offer these services to complement the service and manage any overlap.”</w:t>
      </w:r>
      <w:r w:rsidR="00E441D1" w:rsidRPr="00D519D6">
        <w:rPr>
          <w:vertAlign w:val="superscript"/>
        </w:rPr>
        <w:footnoteReference w:id="25"/>
      </w:r>
    </w:p>
    <w:p w14:paraId="013C4851" w14:textId="34FB0246" w:rsidR="00817ACE" w:rsidRPr="00224E0C" w:rsidRDefault="008D30C6" w:rsidP="00305B4B">
      <w:pPr>
        <w:pStyle w:val="BodyText"/>
        <w:ind w:right="3"/>
      </w:pPr>
      <w:r w:rsidRPr="00224E0C">
        <w:t xml:space="preserve">The </w:t>
      </w:r>
      <w:r w:rsidR="00B531FB" w:rsidRPr="00224E0C">
        <w:t>type</w:t>
      </w:r>
      <w:r w:rsidR="009C57A1" w:rsidRPr="00224E0C">
        <w:t>s</w:t>
      </w:r>
      <w:r w:rsidR="00B531FB" w:rsidRPr="00224E0C">
        <w:t xml:space="preserve"> of employment, welfare and other throughcare </w:t>
      </w:r>
      <w:r w:rsidR="009905BD" w:rsidRPr="00224E0C">
        <w:t>services delivered in</w:t>
      </w:r>
      <w:r w:rsidR="00B531FB" w:rsidRPr="00224E0C">
        <w:t xml:space="preserve"> prisons varies widely across jurisdictions</w:t>
      </w:r>
      <w:r w:rsidR="0092627E" w:rsidRPr="00224E0C">
        <w:t xml:space="preserve">. </w:t>
      </w:r>
      <w:r w:rsidR="001B56F3" w:rsidRPr="00224E0C">
        <w:t xml:space="preserve">In many </w:t>
      </w:r>
      <w:r w:rsidR="00BF39E8" w:rsidRPr="00224E0C">
        <w:t>prisons</w:t>
      </w:r>
      <w:r w:rsidR="001B56F3" w:rsidRPr="00224E0C">
        <w:t xml:space="preserve">, TWES operates alongside other in-prison services with a focus on employment and skills, most of which are funded by </w:t>
      </w:r>
      <w:r w:rsidR="00467A51" w:rsidRPr="00224E0C">
        <w:t>state</w:t>
      </w:r>
      <w:r w:rsidR="001B56F3" w:rsidRPr="00224E0C">
        <w:t xml:space="preserve"> and </w:t>
      </w:r>
      <w:r w:rsidR="00467A51" w:rsidRPr="00224E0C">
        <w:t>territory</w:t>
      </w:r>
      <w:r w:rsidR="001B56F3" w:rsidRPr="00224E0C">
        <w:t xml:space="preserve"> governments. Compared to TWES, the other employment services identified in the evaluation appear to offer longer periods of support, and focus on improving prisoners’ skills and job readiness. They do this by providing opportunities for training, work experience or paid work, rather than improving prisoners’ engagement with Commonwealth-funded employment services after leaving prison (the focus of TWES). </w:t>
      </w:r>
      <w:r w:rsidR="00817ACE" w:rsidRPr="00224E0C">
        <w:t>S</w:t>
      </w:r>
      <w:r w:rsidR="001B56F3" w:rsidRPr="00224E0C">
        <w:t xml:space="preserve">ome </w:t>
      </w:r>
      <w:r w:rsidR="00467A51" w:rsidRPr="00224E0C">
        <w:t>state</w:t>
      </w:r>
      <w:r w:rsidR="001B56F3" w:rsidRPr="00224E0C">
        <w:t>/</w:t>
      </w:r>
      <w:r w:rsidR="00467A51" w:rsidRPr="00224E0C">
        <w:t>territory</w:t>
      </w:r>
      <w:r w:rsidR="001B56F3" w:rsidRPr="00224E0C">
        <w:t xml:space="preserve"> corrections stakeholders noted that these differences can make other services more attractive to some prisoners than TWES. </w:t>
      </w:r>
    </w:p>
    <w:p w14:paraId="1C9B4850" w14:textId="77777777" w:rsidR="002E44CD" w:rsidRPr="00224E0C" w:rsidRDefault="00817ACE" w:rsidP="00305B4B">
      <w:pPr>
        <w:pStyle w:val="BodyText"/>
        <w:ind w:right="3"/>
      </w:pPr>
      <w:r w:rsidRPr="00224E0C">
        <w:t>However, i</w:t>
      </w:r>
      <w:r w:rsidR="001B56F3" w:rsidRPr="00224E0C">
        <w:t>t was also noted</w:t>
      </w:r>
      <w:r w:rsidR="00E13930" w:rsidRPr="00224E0C">
        <w:t xml:space="preserve"> by stakeholders</w:t>
      </w:r>
      <w:r w:rsidR="001B56F3" w:rsidRPr="00224E0C">
        <w:t xml:space="preserve"> that TWES complements and adds value to other employment services by providing a pathway for prisoners who may </w:t>
      </w:r>
      <w:r w:rsidR="00F9047B" w:rsidRPr="00224E0C">
        <w:t xml:space="preserve">face barriers to participating </w:t>
      </w:r>
      <w:r w:rsidR="001B56F3" w:rsidRPr="00224E0C">
        <w:t xml:space="preserve">in other programs due to literacy, numeracy or other challenges, and who would need increased support from employment services after release from prison. </w:t>
      </w:r>
    </w:p>
    <w:p w14:paraId="2E912E65" w14:textId="61D1A8C5" w:rsidR="007009E5" w:rsidRPr="00224E0C" w:rsidRDefault="00E13930" w:rsidP="00305B4B">
      <w:pPr>
        <w:pStyle w:val="BodyText"/>
        <w:ind w:right="3"/>
      </w:pPr>
      <w:r w:rsidRPr="00224E0C">
        <w:t>Brin</w:t>
      </w:r>
      <w:r w:rsidR="00FC407A" w:rsidRPr="00224E0C">
        <w:t>g</w:t>
      </w:r>
      <w:r w:rsidRPr="00224E0C">
        <w:t xml:space="preserve">ing the JSCI and ESAt assessments into prisons means that </w:t>
      </w:r>
      <w:r w:rsidR="00FC407A" w:rsidRPr="00224E0C">
        <w:t xml:space="preserve">these </w:t>
      </w:r>
      <w:r w:rsidRPr="00224E0C">
        <w:t xml:space="preserve">participants will </w:t>
      </w:r>
      <w:r w:rsidR="007009E5" w:rsidRPr="00224E0C">
        <w:t>automatically receive the ‘right level’ of support from employment services after their release (</w:t>
      </w:r>
      <w:r w:rsidR="00FC407A" w:rsidRPr="00224E0C">
        <w:t xml:space="preserve">for example, </w:t>
      </w:r>
      <w:r w:rsidR="00520678" w:rsidRPr="00224E0C">
        <w:t xml:space="preserve">Stream B or C, or </w:t>
      </w:r>
      <w:r w:rsidR="007009E5" w:rsidRPr="00224E0C">
        <w:t>DES),</w:t>
      </w:r>
      <w:r w:rsidR="00BD7A4D" w:rsidRPr="00224E0C">
        <w:t xml:space="preserve"> a</w:t>
      </w:r>
      <w:r w:rsidR="007009E5" w:rsidRPr="00224E0C">
        <w:t>nd do not have to undertake these assessments outside prison when they will be adjusting to lif</w:t>
      </w:r>
      <w:r w:rsidR="00BD7A4D" w:rsidRPr="00224E0C">
        <w:t xml:space="preserve">e </w:t>
      </w:r>
      <w:r w:rsidR="007009E5" w:rsidRPr="00224E0C">
        <w:t>straight after their release (</w:t>
      </w:r>
      <w:r w:rsidR="00F66AE8" w:rsidRPr="00224E0C">
        <w:t>n</w:t>
      </w:r>
      <w:r w:rsidR="007009E5" w:rsidRPr="00224E0C">
        <w:t xml:space="preserve">oted by three corrections stakeholders, three Commonwealth Government stakeholders, and six TWES </w:t>
      </w:r>
      <w:r w:rsidR="00D61836" w:rsidRPr="00224E0C">
        <w:t>providers</w:t>
      </w:r>
      <w:r w:rsidR="007009E5" w:rsidRPr="00224E0C">
        <w:t>).</w:t>
      </w:r>
    </w:p>
    <w:p w14:paraId="547CDB0F" w14:textId="2AD0AC3D" w:rsidR="00930D1B" w:rsidRPr="00A032BE" w:rsidRDefault="00283D59" w:rsidP="00305B4B">
      <w:pPr>
        <w:pStyle w:val="BodyText"/>
        <w:ind w:right="3"/>
      </w:pPr>
      <w:r>
        <w:rPr>
          <w:noProof/>
        </w:rPr>
        <w:lastRenderedPageBreak/>
        <mc:AlternateContent>
          <mc:Choice Requires="wps">
            <w:drawing>
              <wp:inline distT="0" distB="0" distL="0" distR="0" wp14:anchorId="011C6B01" wp14:editId="49A52E3B">
                <wp:extent cx="6267450" cy="905435"/>
                <wp:effectExtent l="0" t="0" r="6350" b="0"/>
                <wp:docPr id="58" name="Rectangle: Rounded Corners 58"/>
                <wp:cNvGraphicFramePr/>
                <a:graphic xmlns:a="http://schemas.openxmlformats.org/drawingml/2006/main">
                  <a:graphicData uri="http://schemas.microsoft.com/office/word/2010/wordprocessingShape">
                    <wps:wsp>
                      <wps:cNvSpPr/>
                      <wps:spPr>
                        <a:xfrm>
                          <a:off x="0" y="0"/>
                          <a:ext cx="6267450" cy="905435"/>
                        </a:xfrm>
                        <a:prstGeom prst="roundRect">
                          <a:avLst/>
                        </a:prstGeom>
                        <a:solidFill>
                          <a:srgbClr val="58B6E7">
                            <a:lumMod val="20000"/>
                            <a:lumOff val="80000"/>
                          </a:srgbClr>
                        </a:solidFill>
                        <a:ln w="25400" cap="flat" cmpd="sng" algn="ctr">
                          <a:noFill/>
                          <a:prstDash val="solid"/>
                        </a:ln>
                        <a:effectLst/>
                      </wps:spPr>
                      <wps:txbx>
                        <w:txbxContent>
                          <w:p w14:paraId="54ECC223" w14:textId="000BE2A3" w:rsidR="000B1DD2" w:rsidRDefault="000B1DD2" w:rsidP="00E06C4B">
                            <w:pPr>
                              <w:pStyle w:val="QuoteNoafterspace"/>
                            </w:pPr>
                            <w:r w:rsidRPr="00930D1B">
                              <w:t>The good thing about TWES is getting the participants category assessed as that takes a huge burden from them having to do it on the outside.</w:t>
                            </w:r>
                          </w:p>
                          <w:p w14:paraId="19E0A3F1" w14:textId="75AAA350" w:rsidR="000B1DD2" w:rsidRPr="006D6DBD" w:rsidRDefault="000B1DD2" w:rsidP="00E06C4B">
                            <w:pPr>
                              <w:pStyle w:val="QuoteNoafterspace"/>
                              <w:jc w:val="right"/>
                              <w:rPr>
                                <w:b/>
                                <w:bCs/>
                              </w:rPr>
                            </w:pPr>
                            <w:r w:rsidRPr="006D6DBD">
                              <w:rPr>
                                <w:b/>
                                <w:bCs/>
                              </w:rPr>
                              <w:t xml:space="preserve">- </w:t>
                            </w:r>
                            <w:r w:rsidRPr="00930D1B">
                              <w:rPr>
                                <w:b/>
                                <w:bCs/>
                              </w:rPr>
                              <w:t>Corrections stakeholder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11C6B01" id="Rectangle: Rounded Corners 58" o:spid="_x0000_s1043" style="width:493.5pt;height:71.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" fillcolor="#def0fa" stroked="f" strokeweight="2pt">
                <v:textbox inset="0,0,0,0">
                  <w:txbxContent>
                    <w:p w14:paraId="54ECC223" w14:textId="000BE2A3" w:rsidR="000B1DD2" w:rsidRDefault="000B1DD2" w:rsidP="00E06C4B">
                      <w:pPr>
                        <w:pStyle w:val="QuoteNoafterspace"/>
                      </w:pPr>
                      <w:r w:rsidRPr="00930D1B">
                        <w:t>The good thing about TWES is getting the participants category assessed as that takes a huge burden from them having to do it on the outside.</w:t>
                      </w:r>
                    </w:p>
                    <w:p w14:paraId="19E0A3F1" w14:textId="75AAA350" w:rsidR="000B1DD2" w:rsidRPr="006D6DBD" w:rsidRDefault="000B1DD2" w:rsidP="00E06C4B">
                      <w:pPr>
                        <w:pStyle w:val="QuoteNoafterspace"/>
                        <w:jc w:val="right"/>
                        <w:rPr>
                          <w:b/>
                          <w:bCs/>
                        </w:rPr>
                      </w:pPr>
                      <w:r w:rsidRPr="006D6DBD">
                        <w:rPr>
                          <w:b/>
                          <w:bCs/>
                        </w:rPr>
                        <w:t xml:space="preserve">- </w:t>
                      </w:r>
                      <w:r w:rsidRPr="00930D1B">
                        <w:rPr>
                          <w:b/>
                          <w:bCs/>
                        </w:rPr>
                        <w:t>Corrections stakeholder</w:t>
                      </w:r>
                    </w:p>
                  </w:txbxContent>
                </v:textbox>
                <w10:anchorlock/>
              </v:roundrect>
            </w:pict>
          </mc:Fallback>
        </mc:AlternateContent>
      </w:r>
    </w:p>
    <w:p w14:paraId="534DCAA7" w14:textId="226C72BC" w:rsidR="00930D1B" w:rsidRDefault="00283D59" w:rsidP="00305B4B">
      <w:pPr>
        <w:pStyle w:val="BodyText"/>
        <w:ind w:right="3"/>
        <w:rPr>
          <w:sz w:val="2"/>
          <w:szCs w:val="2"/>
        </w:rPr>
      </w:pPr>
      <w:r>
        <w:rPr>
          <w:noProof/>
        </w:rPr>
        <mc:AlternateContent>
          <mc:Choice Requires="wps">
            <w:drawing>
              <wp:inline distT="0" distB="0" distL="0" distR="0" wp14:anchorId="464E5CF0" wp14:editId="6CDD75B7">
                <wp:extent cx="6267450" cy="1057835"/>
                <wp:effectExtent l="0" t="0" r="6350" b="0"/>
                <wp:docPr id="59" name="Rectangle: Rounded Corners 59"/>
                <wp:cNvGraphicFramePr/>
                <a:graphic xmlns:a="http://schemas.openxmlformats.org/drawingml/2006/main">
                  <a:graphicData uri="http://schemas.microsoft.com/office/word/2010/wordprocessingShape">
                    <wps:wsp>
                      <wps:cNvSpPr/>
                      <wps:spPr>
                        <a:xfrm>
                          <a:off x="0" y="0"/>
                          <a:ext cx="6267450" cy="1057835"/>
                        </a:xfrm>
                        <a:prstGeom prst="roundRect">
                          <a:avLst/>
                        </a:prstGeom>
                        <a:solidFill>
                          <a:srgbClr val="58B6E7">
                            <a:lumMod val="20000"/>
                            <a:lumOff val="80000"/>
                          </a:srgbClr>
                        </a:solidFill>
                        <a:ln w="25400" cap="flat" cmpd="sng" algn="ctr">
                          <a:noFill/>
                          <a:prstDash val="solid"/>
                        </a:ln>
                        <a:effectLst/>
                      </wps:spPr>
                      <wps:txbx>
                        <w:txbxContent>
                          <w:p w14:paraId="7831BF16" w14:textId="77777777" w:rsidR="000B1DD2" w:rsidRDefault="000B1DD2" w:rsidP="00E06C4B">
                            <w:pPr>
                              <w:pStyle w:val="QuoteNoafterspace"/>
                            </w:pPr>
                            <w:r w:rsidRPr="00930D1B">
                              <w:t>It is brilliant that you can now connect prisoners with services prior to them being released so they are less likely to be lost… This enables them to register them with Jobactive and lets them get fast tracked to employment.</w:t>
                            </w:r>
                          </w:p>
                          <w:p w14:paraId="348F3BAE" w14:textId="6CEA6BAD" w:rsidR="000B1DD2" w:rsidRPr="006D6DBD" w:rsidRDefault="000B1DD2" w:rsidP="00E06C4B">
                            <w:pPr>
                              <w:pStyle w:val="QuoteNoafterspace"/>
                              <w:jc w:val="right"/>
                              <w:rPr>
                                <w:b/>
                                <w:bCs/>
                              </w:rPr>
                            </w:pPr>
                            <w:r w:rsidRPr="006D6DBD">
                              <w:rPr>
                                <w:b/>
                                <w:bCs/>
                              </w:rPr>
                              <w:t xml:space="preserve">- </w:t>
                            </w:r>
                            <w:r w:rsidRPr="00930D1B">
                              <w:rPr>
                                <w:b/>
                                <w:bCs/>
                              </w:rPr>
                              <w:t>Corrections stakeholder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4E5CF0" id="Rectangle: Rounded Corners 59" o:spid="_x0000_s1044" style="width:493.5pt;height:83.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" fillcolor="#def0fa" stroked="f" strokeweight="2pt">
                <v:textbox inset="0,0,0,0">
                  <w:txbxContent>
                    <w:p w14:paraId="7831BF16" w14:textId="77777777" w:rsidR="000B1DD2" w:rsidRDefault="000B1DD2" w:rsidP="00E06C4B">
                      <w:pPr>
                        <w:pStyle w:val="QuoteNoafterspace"/>
                      </w:pPr>
                      <w:r w:rsidRPr="00930D1B">
                        <w:t xml:space="preserve">It is brilliant that you can now connect prisoners with services prior to them being released so they are less likely to be lost… This enables them to register them with </w:t>
                      </w:r>
                      <w:proofErr w:type="spellStart"/>
                      <w:r w:rsidRPr="00930D1B">
                        <w:t>Jobactive</w:t>
                      </w:r>
                      <w:proofErr w:type="spellEnd"/>
                      <w:r w:rsidRPr="00930D1B">
                        <w:t xml:space="preserve"> and lets them get fast tracked to employment.</w:t>
                      </w:r>
                    </w:p>
                    <w:p w14:paraId="348F3BAE" w14:textId="6CEA6BAD" w:rsidR="000B1DD2" w:rsidRPr="006D6DBD" w:rsidRDefault="000B1DD2" w:rsidP="00E06C4B">
                      <w:pPr>
                        <w:pStyle w:val="QuoteNoafterspace"/>
                        <w:jc w:val="right"/>
                        <w:rPr>
                          <w:b/>
                          <w:bCs/>
                        </w:rPr>
                      </w:pPr>
                      <w:r w:rsidRPr="006D6DBD">
                        <w:rPr>
                          <w:b/>
                          <w:bCs/>
                        </w:rPr>
                        <w:t xml:space="preserve">- </w:t>
                      </w:r>
                      <w:r w:rsidRPr="00930D1B">
                        <w:rPr>
                          <w:b/>
                          <w:bCs/>
                        </w:rPr>
                        <w:t>Corrections stakeholder</w:t>
                      </w:r>
                    </w:p>
                  </w:txbxContent>
                </v:textbox>
                <w10:anchorlock/>
              </v:roundrect>
            </w:pict>
          </mc:Fallback>
        </mc:AlternateContent>
      </w:r>
    </w:p>
    <w:p w14:paraId="0DBB4334" w14:textId="0AE6CA69" w:rsidR="00930D1B" w:rsidRDefault="00827093" w:rsidP="00305B4B">
      <w:pPr>
        <w:pStyle w:val="BodyText"/>
        <w:ind w:right="3"/>
      </w:pPr>
      <w:r>
        <w:rPr>
          <w:noProof/>
        </w:rPr>
        <mc:AlternateContent>
          <mc:Choice Requires="wps">
            <w:drawing>
              <wp:inline distT="0" distB="0" distL="0" distR="0" wp14:anchorId="7434D053" wp14:editId="619AF85B">
                <wp:extent cx="6267450" cy="1488141"/>
                <wp:effectExtent l="0" t="0" r="6350" b="0"/>
                <wp:docPr id="60" name="Rectangle: Rounded Corners 60"/>
                <wp:cNvGraphicFramePr/>
                <a:graphic xmlns:a="http://schemas.openxmlformats.org/drawingml/2006/main">
                  <a:graphicData uri="http://schemas.microsoft.com/office/word/2010/wordprocessingShape">
                    <wps:wsp>
                      <wps:cNvSpPr/>
                      <wps:spPr>
                        <a:xfrm>
                          <a:off x="0" y="0"/>
                          <a:ext cx="6267450" cy="1488141"/>
                        </a:xfrm>
                        <a:prstGeom prst="roundRect">
                          <a:avLst/>
                        </a:prstGeom>
                        <a:solidFill>
                          <a:srgbClr val="58B6E7">
                            <a:lumMod val="20000"/>
                            <a:lumOff val="80000"/>
                          </a:srgbClr>
                        </a:solidFill>
                        <a:ln w="25400" cap="flat" cmpd="sng" algn="ctr">
                          <a:noFill/>
                          <a:prstDash val="solid"/>
                        </a:ln>
                        <a:effectLst/>
                      </wps:spPr>
                      <wps:txbx>
                        <w:txbxContent>
                          <w:p w14:paraId="0E562003" w14:textId="77777777" w:rsidR="000B1DD2" w:rsidRPr="00C37B02" w:rsidRDefault="000B1DD2" w:rsidP="00E06C4B">
                            <w:pPr>
                              <w:pStyle w:val="QuoteNoafterspace"/>
                            </w:pPr>
                            <w:r w:rsidRPr="00C37B02">
                              <w:t>Ideally TWES makes sure that they are getting into the right job seeker stream. Anything that you can do to reduce the list of to-do things for prisoners when they leave prison – the difference is the assurance that they don't have to think about it when they leave. One of the greatest difficulties when leaving is the sense of being overwhelmed by how many things have to do when they leave.</w:t>
                            </w:r>
                          </w:p>
                          <w:p w14:paraId="42F7387A" w14:textId="4DCB6107" w:rsidR="000B1DD2" w:rsidRPr="00C37B02" w:rsidRDefault="000B1DD2" w:rsidP="00E06C4B">
                            <w:pPr>
                              <w:pStyle w:val="QuoteNoafterspace"/>
                              <w:jc w:val="right"/>
                            </w:pPr>
                            <w:r w:rsidRPr="00C37B02">
                              <w:t xml:space="preserve">- </w:t>
                            </w:r>
                            <w:r w:rsidRPr="00C37B02">
                              <w:rPr>
                                <w:b/>
                                <w:bCs/>
                              </w:rPr>
                              <w:t>Commonwealth Government stakeholder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434D053" id="Rectangle: Rounded Corners 60" o:spid="_x0000_s1045" style="width:493.5pt;height:117.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" fillcolor="#def0fa" stroked="f" strokeweight="2pt">
                <v:textbox inset="0,0,0,0">
                  <w:txbxContent>
                    <w:p w14:paraId="0E562003" w14:textId="77777777" w:rsidR="000B1DD2" w:rsidRPr="00C37B02" w:rsidRDefault="000B1DD2" w:rsidP="00E06C4B">
                      <w:pPr>
                        <w:pStyle w:val="QuoteNoafterspace"/>
                      </w:pPr>
                      <w:r w:rsidRPr="00C37B02">
                        <w:t xml:space="preserve">Ideally TWES makes sure that they are getting into the right job seeker stream. Anything that you can do to reduce the list of to-do things for prisoners when they leave prison – the difference is the assurance that they don't have to think about it when they leave. One of the greatest difficulties when leaving is the sense of being overwhelmed by how many things </w:t>
                      </w:r>
                      <w:proofErr w:type="gramStart"/>
                      <w:r w:rsidRPr="00C37B02">
                        <w:t>have to</w:t>
                      </w:r>
                      <w:proofErr w:type="gramEnd"/>
                      <w:r w:rsidRPr="00C37B02">
                        <w:t xml:space="preserve"> do when they leave.</w:t>
                      </w:r>
                    </w:p>
                    <w:p w14:paraId="42F7387A" w14:textId="4DCB6107" w:rsidR="000B1DD2" w:rsidRPr="00C37B02" w:rsidRDefault="000B1DD2" w:rsidP="00E06C4B">
                      <w:pPr>
                        <w:pStyle w:val="QuoteNoafterspace"/>
                        <w:jc w:val="right"/>
                      </w:pPr>
                      <w:r w:rsidRPr="00C37B02">
                        <w:t xml:space="preserve">- </w:t>
                      </w:r>
                      <w:r w:rsidRPr="00C37B02">
                        <w:rPr>
                          <w:b/>
                          <w:bCs/>
                        </w:rPr>
                        <w:t>Commonwealth Government stakeholder</w:t>
                      </w:r>
                    </w:p>
                  </w:txbxContent>
                </v:textbox>
                <w10:anchorlock/>
              </v:roundrect>
            </w:pict>
          </mc:Fallback>
        </mc:AlternateContent>
      </w:r>
    </w:p>
    <w:p w14:paraId="39CBA912" w14:textId="751D803D" w:rsidR="001C22AB" w:rsidRDefault="001C22AB" w:rsidP="00305B4B">
      <w:pPr>
        <w:pStyle w:val="BodyText"/>
        <w:ind w:right="3"/>
        <w:rPr>
          <w:spacing w:val="-5"/>
        </w:rPr>
      </w:pPr>
      <w:r>
        <w:rPr>
          <w:noProof/>
        </w:rPr>
        <mc:AlternateContent>
          <mc:Choice Requires="wps">
            <w:drawing>
              <wp:inline distT="0" distB="0" distL="0" distR="0" wp14:anchorId="7443C927" wp14:editId="1CC7A2D2">
                <wp:extent cx="6267450" cy="1264024"/>
                <wp:effectExtent l="0" t="0" r="6350" b="6350"/>
                <wp:docPr id="61" name="Rectangle: Rounded Corners 61"/>
                <wp:cNvGraphicFramePr/>
                <a:graphic xmlns:a="http://schemas.openxmlformats.org/drawingml/2006/main">
                  <a:graphicData uri="http://schemas.microsoft.com/office/word/2010/wordprocessingShape">
                    <wps:wsp>
                      <wps:cNvSpPr/>
                      <wps:spPr>
                        <a:xfrm>
                          <a:off x="0" y="0"/>
                          <a:ext cx="6267450" cy="1264024"/>
                        </a:xfrm>
                        <a:prstGeom prst="roundRect">
                          <a:avLst/>
                        </a:prstGeom>
                        <a:solidFill>
                          <a:srgbClr val="58B6E7">
                            <a:lumMod val="20000"/>
                            <a:lumOff val="80000"/>
                          </a:srgbClr>
                        </a:solidFill>
                        <a:ln w="25400" cap="flat" cmpd="sng" algn="ctr">
                          <a:noFill/>
                          <a:prstDash val="solid"/>
                        </a:ln>
                        <a:effectLst/>
                      </wps:spPr>
                      <wps:txbx>
                        <w:txbxContent>
                          <w:p w14:paraId="6F3F0B78" w14:textId="77777777" w:rsidR="000B1DD2" w:rsidRPr="00C37B02" w:rsidRDefault="000B1DD2" w:rsidP="00E06C4B">
                            <w:pPr>
                              <w:pStyle w:val="QuoteNoafterspace"/>
                            </w:pPr>
                            <w:r w:rsidRPr="00C37B02">
                              <w:t>I think TWES is very important. The attention and working with them has been encouraging to the participants. It makes them think that the step when they get out is not as scary, encourages them to keep having a go and makes them feel seen and like there is a light at the end of the tunnel.</w:t>
                            </w:r>
                          </w:p>
                          <w:p w14:paraId="0D58C06A" w14:textId="7E6FE082" w:rsidR="000B1DD2" w:rsidRPr="00C37B02" w:rsidRDefault="000B1DD2" w:rsidP="00E06C4B">
                            <w:pPr>
                              <w:pStyle w:val="QuoteNoafterspace"/>
                              <w:jc w:val="right"/>
                              <w:rPr>
                                <w:b/>
                                <w:bCs/>
                              </w:rPr>
                            </w:pPr>
                            <w:r w:rsidRPr="00C37B02">
                              <w:rPr>
                                <w:b/>
                                <w:bCs/>
                              </w:rPr>
                              <w:t>- TWES provider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443C927" id="Rectangle: Rounded Corners 61" o:spid="_x0000_s1046" style="width:493.5pt;height:99.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" fillcolor="#def0fa" stroked="f" strokeweight="2pt">
                <v:textbox inset="0,0,0,0">
                  <w:txbxContent>
                    <w:p w14:paraId="6F3F0B78" w14:textId="77777777" w:rsidR="000B1DD2" w:rsidRPr="00C37B02" w:rsidRDefault="000B1DD2" w:rsidP="00E06C4B">
                      <w:pPr>
                        <w:pStyle w:val="QuoteNoafterspace"/>
                      </w:pPr>
                      <w:r w:rsidRPr="00C37B02">
                        <w:t>I think TWES is very important. The attention and working with them has been encouraging to the participants. It makes them think that the step when they get out is not as scary, encourages them to keep having a go and makes them feel seen and like there is a light at the end of the tunnel.</w:t>
                      </w:r>
                    </w:p>
                    <w:p w14:paraId="0D58C06A" w14:textId="7E6FE082" w:rsidR="000B1DD2" w:rsidRPr="00C37B02" w:rsidRDefault="000B1DD2" w:rsidP="00E06C4B">
                      <w:pPr>
                        <w:pStyle w:val="QuoteNoafterspace"/>
                        <w:jc w:val="right"/>
                        <w:rPr>
                          <w:b/>
                          <w:bCs/>
                        </w:rPr>
                      </w:pPr>
                      <w:r w:rsidRPr="00C37B02">
                        <w:rPr>
                          <w:b/>
                          <w:bCs/>
                        </w:rPr>
                        <w:t>- TWES provider</w:t>
                      </w:r>
                    </w:p>
                  </w:txbxContent>
                </v:textbox>
                <w10:anchorlock/>
              </v:roundrect>
            </w:pict>
          </mc:Fallback>
        </mc:AlternateContent>
      </w:r>
    </w:p>
    <w:p w14:paraId="2CA32EF8" w14:textId="53AF16E2" w:rsidR="00241C6B" w:rsidRPr="00C37B02" w:rsidRDefault="00942F32" w:rsidP="00305B4B">
      <w:pPr>
        <w:pStyle w:val="BodyText"/>
        <w:ind w:right="3"/>
      </w:pPr>
      <w:r w:rsidRPr="00C37B02">
        <w:t>Interviews</w:t>
      </w:r>
      <w:r w:rsidR="00BD7A4D" w:rsidRPr="00C37B02">
        <w:t xml:space="preserve"> with </w:t>
      </w:r>
      <w:r w:rsidR="00467A51" w:rsidRPr="00C37B02">
        <w:t>corrections</w:t>
      </w:r>
      <w:r w:rsidR="00BD7A4D" w:rsidRPr="00C37B02">
        <w:t xml:space="preserve"> stakeholders</w:t>
      </w:r>
      <w:r w:rsidRPr="00C37B02">
        <w:t xml:space="preserve"> identified several other </w:t>
      </w:r>
      <w:r w:rsidR="00B21E9E" w:rsidRPr="00C37B02">
        <w:t xml:space="preserve">in-prison </w:t>
      </w:r>
      <w:r w:rsidR="005D6B7D" w:rsidRPr="00C37B02">
        <w:t xml:space="preserve">services </w:t>
      </w:r>
      <w:r w:rsidR="00B47367" w:rsidRPr="00C37B02">
        <w:t xml:space="preserve">with a </w:t>
      </w:r>
      <w:r w:rsidR="005D6B7D" w:rsidRPr="00C37B02">
        <w:t xml:space="preserve">focus on </w:t>
      </w:r>
      <w:r w:rsidR="0081123B" w:rsidRPr="00C37B02">
        <w:t>employment</w:t>
      </w:r>
      <w:r w:rsidRPr="00C37B02">
        <w:t xml:space="preserve"> </w:t>
      </w:r>
      <w:r w:rsidR="00B47367" w:rsidRPr="00C37B02">
        <w:t xml:space="preserve">that are offered in some </w:t>
      </w:r>
      <w:r w:rsidR="00BD7A4D" w:rsidRPr="00C37B02">
        <w:t>jurisdictions</w:t>
      </w:r>
      <w:r w:rsidR="00B47367" w:rsidRPr="00C37B02">
        <w:t>. These are summarised below</w:t>
      </w:r>
      <w:r w:rsidR="00B21E9E" w:rsidRPr="00C37B02">
        <w:t xml:space="preserve">. Note that it was not in the scope of this evaluation to evaluate the relative effectiveness of other </w:t>
      </w:r>
      <w:r w:rsidR="005F21A5" w:rsidRPr="00C37B02">
        <w:t xml:space="preserve">in-prison </w:t>
      </w:r>
      <w:r w:rsidR="00B21E9E" w:rsidRPr="00C37B02">
        <w:t>services operating alongside TWES.</w:t>
      </w:r>
      <w:r w:rsidR="00241C6B" w:rsidRPr="00C37B02">
        <w:t xml:space="preserve"> </w:t>
      </w:r>
    </w:p>
    <w:p w14:paraId="186B2324" w14:textId="77777777" w:rsidR="004A7973" w:rsidRPr="004A7973" w:rsidRDefault="004A7973" w:rsidP="00B4730A">
      <w:pPr>
        <w:pStyle w:val="Heading4"/>
        <w:ind w:left="284"/>
      </w:pPr>
      <w:r w:rsidRPr="004A7973">
        <w:t>Northern Territory</w:t>
      </w:r>
    </w:p>
    <w:p w14:paraId="612FD685" w14:textId="77777777" w:rsidR="004A7973" w:rsidRPr="004A7973" w:rsidRDefault="004A7973" w:rsidP="00B4730A">
      <w:pPr>
        <w:pStyle w:val="BodyText"/>
        <w:ind w:left="284"/>
      </w:pPr>
      <w:r w:rsidRPr="004A7973">
        <w:t>The NT has a transition to employment program called Sentence to a Job, delivered in minimum security prisons. This involves providing accredited vocational training within prisons and connecting prisoners with employers who they can visit and work with while still serving their sentence in prison. Sentence to a Job is a mainstream program – it is open to Indigenous and non-Indigenous prisoners.</w:t>
      </w:r>
    </w:p>
    <w:p w14:paraId="0345A03C" w14:textId="77777777" w:rsidR="004A7973" w:rsidRPr="004A7973" w:rsidRDefault="004A7973" w:rsidP="00B4730A">
      <w:pPr>
        <w:pStyle w:val="BodyText"/>
        <w:ind w:left="284"/>
      </w:pPr>
      <w:r w:rsidRPr="004A7973">
        <w:t>A TWES provider in a prison work camp reported that TWES can be more difficult to deliver in prisons where Sentence to a Job is offered because many eligible prisoners may choose to undertake accredited training or paid employment rather than participate in TWES. Furthermore, as TWES meetings are conducted during working hours, eligible participants who are undertaking training or paid employment may not be available for TWES meetings in prison during that time.</w:t>
      </w:r>
    </w:p>
    <w:p w14:paraId="434F9493" w14:textId="49ACDAB8" w:rsidR="00241C6B" w:rsidRPr="004A7973" w:rsidRDefault="004A7973" w:rsidP="00B4730A">
      <w:pPr>
        <w:pStyle w:val="BodyText"/>
        <w:ind w:left="284"/>
      </w:pPr>
      <w:r w:rsidRPr="004A7973">
        <w:t>Nevertheless, the TWES provider interviewed noted that where Sentence to a Job is run, TWES provides a solution for prisoners who face greater barriers to employment than those who participate in Sentence to a Job.</w:t>
      </w:r>
    </w:p>
    <w:p w14:paraId="1245AB3E" w14:textId="77777777" w:rsidR="004A7973" w:rsidRPr="004A7973" w:rsidRDefault="004A7973" w:rsidP="00B4730A">
      <w:pPr>
        <w:pStyle w:val="Heading4"/>
        <w:ind w:left="284"/>
      </w:pPr>
      <w:r w:rsidRPr="004A7973">
        <w:t>South Australia</w:t>
      </w:r>
    </w:p>
    <w:p w14:paraId="074F8FA0" w14:textId="5B0F47E3" w:rsidR="004A7973" w:rsidRPr="004A7973" w:rsidRDefault="004A7973" w:rsidP="00B4730A">
      <w:pPr>
        <w:pStyle w:val="BodyText"/>
        <w:ind w:left="284"/>
      </w:pPr>
      <w:r w:rsidRPr="004A7973">
        <w:lastRenderedPageBreak/>
        <w:t>The SA government funds an in-prison employment service called Work Ready, Release Ready. This program has similar eligibility criteria to the TWES program, and engages participants as early as 6 months prior to release. It is delivered as a ‘core program’ in South Australia which is mandatory for all prisoners to participate and the South Australian Department of Corrections reported that prisons tend to prioritise encouraging prisoners to participate in Work Ready over TWES where both programs are available to prisoners. Work Ready, Release Ready focuses on working with participants on their job readiness though accredited training, building job readiness skills, connections with work experience and employment service providers. The SA Department of Corrections noted that prisoners with very low levels of numeracy and literacy may be streamed into the TWES program instead of Work Ready so they can complete a JSCI and ESAt and access additional help and support after leaving prison.</w:t>
      </w:r>
    </w:p>
    <w:p w14:paraId="31AA8DEB" w14:textId="77777777" w:rsidR="004A7973" w:rsidRPr="004A7973" w:rsidRDefault="004A7973" w:rsidP="00B4730A">
      <w:pPr>
        <w:pStyle w:val="Heading4"/>
        <w:ind w:left="284"/>
      </w:pPr>
      <w:r w:rsidRPr="004A7973">
        <w:t>Western Australia</w:t>
      </w:r>
    </w:p>
    <w:p w14:paraId="7445B7D6" w14:textId="04528541" w:rsidR="004A7973" w:rsidRPr="004A7973" w:rsidRDefault="004A7973" w:rsidP="00B4730A">
      <w:pPr>
        <w:pStyle w:val="BodyText"/>
        <w:ind w:left="284"/>
      </w:pPr>
      <w:r w:rsidRPr="004A7973">
        <w:t>The WA Department of Justice has Employment Coordinator and Transitional Manager roles who are responsible for overseeing the transition of prisoners to life after their release. WA Department of Justice stakeholders reported that TWES complements the work of Employment Coordinators and Transitional Managers well: they reported that these staff have a holistic view of prisoners’ participation in all employment and other throughcare services, and that they have been able to help TWES providers promote services and connect TWES participants with other services. In particular, the Department of Justice noted that the added value of TWES is bringing the JSCI and ESAt within the prison, which complements other existing services.</w:t>
      </w:r>
    </w:p>
    <w:p w14:paraId="75D1F147" w14:textId="77777777" w:rsidR="004A7973" w:rsidRPr="004A7973" w:rsidRDefault="004A7973" w:rsidP="00B4730A">
      <w:pPr>
        <w:pStyle w:val="Heading4"/>
        <w:ind w:left="284"/>
      </w:pPr>
      <w:r w:rsidRPr="004A7973">
        <w:t>ACT</w:t>
      </w:r>
    </w:p>
    <w:p w14:paraId="12221859" w14:textId="77777777" w:rsidR="004A7973" w:rsidRPr="004A7973" w:rsidRDefault="004A7973" w:rsidP="00B4730A">
      <w:pPr>
        <w:pStyle w:val="BodyText"/>
        <w:ind w:left="284"/>
      </w:pPr>
      <w:r w:rsidRPr="004A7973">
        <w:t>The ACT justice system has employment workers who work with prisoners after they are released, whose role is to provide resume support and connect with employment opportunities. Interview findings suggest that these employment workers and TWES providers are not sharing information that might help achieve better outcomes for participants.</w:t>
      </w:r>
    </w:p>
    <w:p w14:paraId="6CCEC396" w14:textId="21A1F1CE" w:rsidR="004A7973" w:rsidRPr="004A7973" w:rsidRDefault="004A7973" w:rsidP="00B4730A">
      <w:pPr>
        <w:pStyle w:val="BodyText"/>
        <w:ind w:left="284"/>
      </w:pPr>
      <w:r w:rsidRPr="004A7973">
        <w:t xml:space="preserve">Most prisoners would benefit from both supports to improve their skills and job readiness while they are in prison, as well as access to greater support from employment services after they leave prison, should they use employment services. </w:t>
      </w:r>
    </w:p>
    <w:p w14:paraId="3E2BF4A4" w14:textId="2062B3B5" w:rsidR="006E6A1C" w:rsidRPr="00C37B02" w:rsidRDefault="00EC17DC" w:rsidP="00305B4B">
      <w:pPr>
        <w:pStyle w:val="BodyText"/>
        <w:ind w:right="3"/>
      </w:pPr>
      <w:r w:rsidRPr="00C37B02">
        <w:t xml:space="preserve">The above findings provide </w:t>
      </w:r>
      <w:r w:rsidR="00E62177" w:rsidRPr="00C37B02">
        <w:t>some evidence</w:t>
      </w:r>
      <w:r w:rsidR="00B25275" w:rsidRPr="00C37B02">
        <w:t xml:space="preserve"> that TWES complements other services</w:t>
      </w:r>
      <w:r w:rsidRPr="00C37B02">
        <w:t>,</w:t>
      </w:r>
      <w:r w:rsidR="00B25275" w:rsidRPr="00C37B02">
        <w:t xml:space="preserve"> </w:t>
      </w:r>
      <w:r w:rsidR="00E62177" w:rsidRPr="00C37B02">
        <w:t xml:space="preserve">and </w:t>
      </w:r>
      <w:r w:rsidR="00B25275" w:rsidRPr="00C37B02">
        <w:t>that service delivery could be better coordinated to assist particularly high risk prisoners.</w:t>
      </w:r>
      <w:r w:rsidR="00BF0BF3" w:rsidRPr="00C37B02">
        <w:t xml:space="preserve"> </w:t>
      </w:r>
      <w:r w:rsidR="00BC1657" w:rsidRPr="00C37B02">
        <w:t xml:space="preserve">The evaluation identifies options for how </w:t>
      </w:r>
      <w:r w:rsidR="00180872" w:rsidRPr="00C37B02">
        <w:t xml:space="preserve">the Commonwealth and </w:t>
      </w:r>
      <w:r w:rsidR="00B63B84" w:rsidRPr="00C37B02">
        <w:t>state</w:t>
      </w:r>
      <w:r w:rsidR="00180872" w:rsidRPr="00C37B02">
        <w:t>/</w:t>
      </w:r>
      <w:r w:rsidR="00B63B84" w:rsidRPr="00C37B02">
        <w:t xml:space="preserve">territory </w:t>
      </w:r>
      <w:r w:rsidR="0038167E" w:rsidRPr="00C37B02">
        <w:t>g</w:t>
      </w:r>
      <w:r w:rsidR="00180872" w:rsidRPr="00C37B02">
        <w:t xml:space="preserve">overnments could </w:t>
      </w:r>
      <w:r w:rsidR="00BC39A6" w:rsidRPr="00C37B02">
        <w:t>help improve coordination between TWES and other services</w:t>
      </w:r>
      <w:r w:rsidR="00594D1B" w:rsidRPr="00C37B02">
        <w:t xml:space="preserve"> (see above)</w:t>
      </w:r>
      <w:r w:rsidR="00180872" w:rsidRPr="00C37B02">
        <w:t xml:space="preserve">. </w:t>
      </w:r>
      <w:bookmarkStart w:id="99" w:name="bookmark23"/>
      <w:bookmarkStart w:id="100" w:name="_Ref69251141"/>
      <w:bookmarkStart w:id="101" w:name="_Toc55352760"/>
      <w:bookmarkEnd w:id="99"/>
    </w:p>
    <w:p w14:paraId="5267244E" w14:textId="2A5C9E27" w:rsidR="006B51B4" w:rsidRPr="00FF3D15" w:rsidRDefault="007519E4" w:rsidP="00305B4B">
      <w:pPr>
        <w:pStyle w:val="Heading3"/>
        <w:ind w:right="3"/>
      </w:pPr>
      <w:r>
        <w:t>What</w:t>
      </w:r>
      <w:r w:rsidR="0023031D" w:rsidRPr="00FF3D15">
        <w:t xml:space="preserve"> </w:t>
      </w:r>
      <w:r w:rsidR="00A128C8">
        <w:t>was</w:t>
      </w:r>
      <w:r w:rsidR="00745DA8" w:rsidRPr="00FF3D15">
        <w:rPr>
          <w:spacing w:val="-2"/>
        </w:rPr>
        <w:t xml:space="preserve"> </w:t>
      </w:r>
      <w:r w:rsidR="00745DA8">
        <w:t>the</w:t>
      </w:r>
      <w:r w:rsidR="00745DA8" w:rsidRPr="00FF3D15">
        <w:rPr>
          <w:spacing w:val="-3"/>
        </w:rPr>
        <w:t xml:space="preserve"> </w:t>
      </w:r>
      <w:r w:rsidR="00745DA8" w:rsidRPr="00FF3D15">
        <w:t xml:space="preserve">cost </w:t>
      </w:r>
      <w:r w:rsidR="00745DA8">
        <w:t xml:space="preserve">of </w:t>
      </w:r>
      <w:r w:rsidR="0023031D" w:rsidRPr="00FF3D15">
        <w:t>delivering</w:t>
      </w:r>
      <w:r w:rsidR="0023031D" w:rsidRPr="00FF3D15">
        <w:rPr>
          <w:spacing w:val="-3"/>
        </w:rPr>
        <w:t xml:space="preserve"> </w:t>
      </w:r>
      <w:r w:rsidR="0023031D" w:rsidRPr="00FF3D15">
        <w:t>TWES?</w:t>
      </w:r>
      <w:bookmarkEnd w:id="100"/>
      <w:bookmarkEnd w:id="101"/>
    </w:p>
    <w:p w14:paraId="54B54E1E" w14:textId="585F2D72" w:rsidR="00D805E4" w:rsidRPr="00C37B02" w:rsidRDefault="0018632A" w:rsidP="00305B4B">
      <w:pPr>
        <w:pStyle w:val="BodyText"/>
        <w:ind w:right="3"/>
      </w:pPr>
      <w:r w:rsidRPr="00C37B02">
        <w:t xml:space="preserve">TWES is underspent, due to </w:t>
      </w:r>
      <w:r w:rsidR="00557F3A" w:rsidRPr="00C37B02">
        <w:t xml:space="preserve">delays in </w:t>
      </w:r>
      <w:r w:rsidR="00951320" w:rsidRPr="00C37B02">
        <w:t xml:space="preserve">the roll-out of TWES in some jurisdictions and the </w:t>
      </w:r>
      <w:r w:rsidR="0086551A" w:rsidRPr="00C37B02">
        <w:t>low</w:t>
      </w:r>
      <w:r w:rsidR="00951320" w:rsidRPr="00C37B02">
        <w:t xml:space="preserve"> proportion of participants </w:t>
      </w:r>
      <w:r w:rsidR="00BB2871" w:rsidRPr="00C37B02">
        <w:t>receiving an Approved Transition Plan</w:t>
      </w:r>
      <w:r w:rsidR="0086551A" w:rsidRPr="00C37B02">
        <w:t xml:space="preserve">. </w:t>
      </w:r>
      <w:r w:rsidR="001D2A9D" w:rsidRPr="00C37B02">
        <w:t>Some</w:t>
      </w:r>
      <w:r w:rsidR="00753008" w:rsidRPr="00C37B02">
        <w:t>, though not all,</w:t>
      </w:r>
      <w:r w:rsidR="001D2A9D" w:rsidRPr="00C37B02">
        <w:t xml:space="preserve"> TWES </w:t>
      </w:r>
      <w:r w:rsidR="00D61836" w:rsidRPr="00C37B02">
        <w:t xml:space="preserve">providers </w:t>
      </w:r>
      <w:r w:rsidR="001D2A9D" w:rsidRPr="00C37B02">
        <w:t xml:space="preserve">raised </w:t>
      </w:r>
      <w:r w:rsidR="00506829" w:rsidRPr="00C37B02">
        <w:t xml:space="preserve">concerns </w:t>
      </w:r>
      <w:r w:rsidR="00761954" w:rsidRPr="00C37B02">
        <w:t xml:space="preserve">that funding levels were insufficient to cover </w:t>
      </w:r>
      <w:r w:rsidR="00C01FF9" w:rsidRPr="00C37B02">
        <w:t xml:space="preserve">the </w:t>
      </w:r>
      <w:r w:rsidR="00761954" w:rsidRPr="00C37B02">
        <w:t xml:space="preserve">actual </w:t>
      </w:r>
      <w:r w:rsidR="00C01FF9" w:rsidRPr="00C37B02">
        <w:t>costs of delivering the program</w:t>
      </w:r>
      <w:r w:rsidR="00753008" w:rsidRPr="00C37B02">
        <w:t xml:space="preserve"> effectively. </w:t>
      </w:r>
    </w:p>
    <w:p w14:paraId="0CE82548" w14:textId="77777777" w:rsidR="005D6C79" w:rsidRPr="00C37B02" w:rsidRDefault="003905F0" w:rsidP="00305B4B">
      <w:pPr>
        <w:pStyle w:val="BodyText"/>
        <w:ind w:right="3"/>
      </w:pPr>
      <w:r w:rsidRPr="00C37B02">
        <w:t xml:space="preserve">To date the Commonwealth Government has allocated </w:t>
      </w:r>
      <w:r w:rsidR="003C5484" w:rsidRPr="00C37B02">
        <w:t xml:space="preserve">a budget of $27.9m to fund the delivery of TWES. </w:t>
      </w:r>
      <w:r w:rsidR="00F36581" w:rsidRPr="00C37B02">
        <w:t>This included</w:t>
      </w:r>
      <w:r w:rsidR="005D6C79" w:rsidRPr="00C37B02">
        <w:t>:</w:t>
      </w:r>
    </w:p>
    <w:p w14:paraId="2586A939" w14:textId="136317B6" w:rsidR="005D6C79" w:rsidRPr="00C37B02" w:rsidRDefault="005D6C79" w:rsidP="00305B4B">
      <w:pPr>
        <w:pStyle w:val="Bulletedlist"/>
        <w:ind w:right="3"/>
      </w:pPr>
      <w:r w:rsidRPr="00C37B02">
        <w:t>An o</w:t>
      </w:r>
      <w:r w:rsidR="00F36581" w:rsidRPr="00C37B02">
        <w:t xml:space="preserve">riginal commitment of </w:t>
      </w:r>
      <w:r w:rsidR="00EB0940" w:rsidRPr="00C37B02">
        <w:t xml:space="preserve">$24m </w:t>
      </w:r>
      <w:r w:rsidR="00F36581" w:rsidRPr="00C37B02">
        <w:t xml:space="preserve">in </w:t>
      </w:r>
      <w:r w:rsidR="0061474F" w:rsidRPr="00C37B02">
        <w:t xml:space="preserve">the 2017/18 budget </w:t>
      </w:r>
      <w:r w:rsidR="00EB0940" w:rsidRPr="00C37B02">
        <w:t>– $17.6m in non-remote locations (</w:t>
      </w:r>
      <w:r w:rsidR="007A5173" w:rsidRPr="00C37B02">
        <w:t xml:space="preserve">managed by </w:t>
      </w:r>
      <w:r w:rsidR="00EB0940" w:rsidRPr="00C37B02">
        <w:t>DESE), and $6.4m in remote locations (</w:t>
      </w:r>
      <w:r w:rsidR="00576976" w:rsidRPr="00C37B02">
        <w:t xml:space="preserve">funded </w:t>
      </w:r>
      <w:r w:rsidR="00EB0940" w:rsidRPr="00C37B02">
        <w:t>through the Indigenous</w:t>
      </w:r>
      <w:r w:rsidR="00603386" w:rsidRPr="00C37B02">
        <w:t xml:space="preserve"> </w:t>
      </w:r>
      <w:r w:rsidR="006B1509" w:rsidRPr="00C37B02">
        <w:t>Advancement Strategy, managed by NIAA)</w:t>
      </w:r>
      <w:r w:rsidR="000B13FD" w:rsidRPr="00C37B02">
        <w:t>.</w:t>
      </w:r>
    </w:p>
    <w:p w14:paraId="378ECB55" w14:textId="49558E0F" w:rsidR="006B1509" w:rsidRPr="00C37B02" w:rsidRDefault="005D6C79" w:rsidP="00305B4B">
      <w:pPr>
        <w:pStyle w:val="Bulletedlist"/>
        <w:ind w:right="3"/>
      </w:pPr>
      <w:r w:rsidRPr="00C37B02">
        <w:t xml:space="preserve">An </w:t>
      </w:r>
      <w:r w:rsidR="006B1509" w:rsidRPr="00C37B02">
        <w:t>additional $3.9m for a 12-month extension (non-remote areas, managed by DESE) in the 2020/21 budget.</w:t>
      </w:r>
    </w:p>
    <w:p w14:paraId="00FF61E2" w14:textId="1A1D0953" w:rsidR="009A1FE8" w:rsidRPr="00C37B02" w:rsidRDefault="001F7308" w:rsidP="00305B4B">
      <w:pPr>
        <w:pStyle w:val="BodyText"/>
        <w:ind w:right="3"/>
      </w:pPr>
      <w:r w:rsidRPr="00C37B02">
        <w:lastRenderedPageBreak/>
        <w:t xml:space="preserve">DESE and NIAA </w:t>
      </w:r>
      <w:r w:rsidR="00213A38" w:rsidRPr="00C37B02">
        <w:t xml:space="preserve">make two payments to </w:t>
      </w:r>
      <w:r w:rsidRPr="00C37B02">
        <w:t xml:space="preserve">TWES </w:t>
      </w:r>
      <w:r w:rsidR="00D61836" w:rsidRPr="00C37B02">
        <w:t>providers</w:t>
      </w:r>
      <w:r w:rsidR="00561EB7" w:rsidRPr="00C37B02">
        <w:t>: the Upfront Payment and the Transition Plan Fee</w:t>
      </w:r>
      <w:r w:rsidR="00394D76" w:rsidRPr="00C37B02">
        <w:t xml:space="preserve">. </w:t>
      </w:r>
      <w:r w:rsidR="00561EB7" w:rsidRPr="00C37B02">
        <w:t xml:space="preserve">The </w:t>
      </w:r>
      <w:r w:rsidR="00E05779" w:rsidRPr="00C37B02">
        <w:t>Upfront Payment</w:t>
      </w:r>
      <w:r w:rsidR="00826B8B" w:rsidRPr="00C37B02">
        <w:t xml:space="preserve"> is </w:t>
      </w:r>
      <w:r w:rsidR="00E95911" w:rsidRPr="00C37B02">
        <w:t>based on the number of expected participants</w:t>
      </w:r>
      <w:r w:rsidR="007A5173" w:rsidRPr="00C37B02">
        <w:t xml:space="preserve"> and expected servicing percentage and is paid every six months</w:t>
      </w:r>
      <w:r w:rsidR="00E95911" w:rsidRPr="00C37B02">
        <w:t xml:space="preserve">. </w:t>
      </w:r>
      <w:r w:rsidR="001D7D57" w:rsidRPr="00C37B02">
        <w:t xml:space="preserve">This is calculated </w:t>
      </w:r>
      <w:r w:rsidR="007A5173" w:rsidRPr="00C37B02">
        <w:t xml:space="preserve">using </w:t>
      </w:r>
      <w:r w:rsidR="00B63B84" w:rsidRPr="00C37B02">
        <w:t>state</w:t>
      </w:r>
      <w:r w:rsidR="00BD63BD" w:rsidRPr="00C37B02">
        <w:t>/</w:t>
      </w:r>
      <w:r w:rsidR="00B63B84" w:rsidRPr="00C37B02">
        <w:t xml:space="preserve">territory </w:t>
      </w:r>
      <w:r w:rsidR="00BD63BD" w:rsidRPr="00C37B02">
        <w:t>figures</w:t>
      </w:r>
      <w:r w:rsidR="007A5173" w:rsidRPr="00C37B02">
        <w:t xml:space="preserve"> provided for the preceding six-month period or the numbers from the Request for Tender (whichever is higher). Providers’ commencement rate</w:t>
      </w:r>
      <w:r w:rsidR="00420283" w:rsidRPr="00C37B02">
        <w:t>s</w:t>
      </w:r>
      <w:r w:rsidR="007A5173" w:rsidRPr="00C37B02">
        <w:t xml:space="preserve"> in the preceding six</w:t>
      </w:r>
      <w:r w:rsidR="00BD63BD" w:rsidRPr="00C37B02">
        <w:t>-</w:t>
      </w:r>
      <w:r w:rsidR="007A5173" w:rsidRPr="00C37B02">
        <w:t xml:space="preserve">month period </w:t>
      </w:r>
      <w:r w:rsidR="00C20055" w:rsidRPr="00C37B02">
        <w:t>are</w:t>
      </w:r>
      <w:r w:rsidR="007A5173" w:rsidRPr="00C37B02">
        <w:t xml:space="preserve"> used to predict their expected servicing percentage in the upcoming six</w:t>
      </w:r>
      <w:r w:rsidR="00BD63BD" w:rsidRPr="00C37B02">
        <w:t>-</w:t>
      </w:r>
      <w:r w:rsidR="007A5173" w:rsidRPr="00C37B02">
        <w:t>month period and upfront payments are paid accordingly.</w:t>
      </w:r>
    </w:p>
    <w:p w14:paraId="337EB787" w14:textId="5768B713" w:rsidR="009A1FE8" w:rsidRPr="00C37B02" w:rsidRDefault="00561EB7" w:rsidP="00305B4B">
      <w:pPr>
        <w:pStyle w:val="BodyText"/>
        <w:ind w:right="3"/>
      </w:pPr>
      <w:r w:rsidRPr="00C37B02">
        <w:t>The</w:t>
      </w:r>
      <w:r w:rsidR="009A1FE8" w:rsidRPr="00C37B02">
        <w:t xml:space="preserve"> Transition Plan Fee is </w:t>
      </w:r>
      <w:r w:rsidR="0020466E" w:rsidRPr="00C37B02">
        <w:t xml:space="preserve">paid for each </w:t>
      </w:r>
      <w:r w:rsidR="001E65F6" w:rsidRPr="00C37B02">
        <w:t>p</w:t>
      </w:r>
      <w:r w:rsidR="0020466E" w:rsidRPr="00C37B02">
        <w:t xml:space="preserve">articipant </w:t>
      </w:r>
      <w:r w:rsidR="001E65F6" w:rsidRPr="00C37B02">
        <w:t>that has an approved Transition Plan (</w:t>
      </w:r>
      <w:r w:rsidR="00420283" w:rsidRPr="00C37B02">
        <w:t xml:space="preserve">the plan </w:t>
      </w:r>
      <w:r w:rsidR="001E65F6" w:rsidRPr="00C37B02">
        <w:t xml:space="preserve">must be approved by the participant). </w:t>
      </w:r>
      <w:r w:rsidR="00594DE4" w:rsidRPr="00C37B02">
        <w:t xml:space="preserve">A </w:t>
      </w:r>
      <w:r w:rsidR="00420283" w:rsidRPr="00C37B02">
        <w:t>payment</w:t>
      </w:r>
      <w:r w:rsidR="00594DE4" w:rsidRPr="00C37B02">
        <w:t xml:space="preserve"> is</w:t>
      </w:r>
      <w:r w:rsidR="00420283" w:rsidRPr="00C37B02">
        <w:t xml:space="preserve"> made each time a plan is approved in the IT system</w:t>
      </w:r>
      <w:r w:rsidR="00594DE4" w:rsidRPr="00C37B02">
        <w:t>.</w:t>
      </w:r>
    </w:p>
    <w:p w14:paraId="20FA2164" w14:textId="616E966B" w:rsidR="00673346" w:rsidRPr="00C37B02" w:rsidRDefault="00C27093" w:rsidP="00305B4B">
      <w:pPr>
        <w:pStyle w:val="BodyText"/>
        <w:ind w:right="3"/>
      </w:pPr>
      <w:r w:rsidRPr="00C37B02">
        <w:t xml:space="preserve">Payment amounts are different between non-remote and remote regions </w:t>
      </w:r>
      <w:r w:rsidR="006B1509" w:rsidRPr="00C37B02">
        <w:t>(</w:t>
      </w:r>
      <w:hyperlink w:anchor="bookmark24" w:history="1">
        <w:r w:rsidR="006B1509" w:rsidRPr="00C37B02">
          <w:t>Table 14</w:t>
        </w:r>
      </w:hyperlink>
      <w:r w:rsidR="00BD63BD" w:rsidRPr="00C37B02">
        <w:t>)</w:t>
      </w:r>
      <w:r w:rsidRPr="00C37B02">
        <w:t xml:space="preserve">. </w:t>
      </w:r>
      <w:r w:rsidR="00D07D65" w:rsidRPr="00C37B02">
        <w:t>DESE increased</w:t>
      </w:r>
      <w:r w:rsidR="00451004" w:rsidRPr="00C37B02">
        <w:t xml:space="preserve"> the Upfront P</w:t>
      </w:r>
      <w:r w:rsidR="0020466E" w:rsidRPr="00C37B02">
        <w:t xml:space="preserve">ayment for </w:t>
      </w:r>
      <w:r w:rsidR="00D07D65" w:rsidRPr="00C37B02">
        <w:t>non-</w:t>
      </w:r>
      <w:r w:rsidR="0020466E" w:rsidRPr="00C37B02">
        <w:t xml:space="preserve">remote regions </w:t>
      </w:r>
      <w:r w:rsidR="00D07D65" w:rsidRPr="00C37B02">
        <w:t>in 2020</w:t>
      </w:r>
      <w:r w:rsidR="00D4346E" w:rsidRPr="00C37B02">
        <w:t>,</w:t>
      </w:r>
      <w:r w:rsidR="00D07D65" w:rsidRPr="00C37B02">
        <w:t xml:space="preserve"> </w:t>
      </w:r>
      <w:r w:rsidR="00451004" w:rsidRPr="00C37B02">
        <w:t xml:space="preserve">from $335 to $550 </w:t>
      </w:r>
      <w:r w:rsidR="00D4346E" w:rsidRPr="00C37B02">
        <w:t>per expected participant</w:t>
      </w:r>
      <w:r w:rsidR="00420283" w:rsidRPr="00C37B02">
        <w:t>, which was further increased following an indexed increase to both payments for non</w:t>
      </w:r>
      <w:r w:rsidR="006B1509" w:rsidRPr="00C37B02">
        <w:t>-</w:t>
      </w:r>
      <w:r w:rsidR="00420283" w:rsidRPr="00C37B02">
        <w:t>remote providers of 4.4 per cent</w:t>
      </w:r>
      <w:r w:rsidR="00147919" w:rsidRPr="00C37B02">
        <w:t xml:space="preserve"> in </w:t>
      </w:r>
      <w:r w:rsidR="000B330B" w:rsidRPr="00C37B02">
        <w:t>July 2020</w:t>
      </w:r>
      <w:r w:rsidR="006E6A1C" w:rsidRPr="00C37B02">
        <w:t>.</w:t>
      </w:r>
    </w:p>
    <w:p w14:paraId="44E0324F" w14:textId="49E1416C" w:rsidR="0031035E" w:rsidRPr="00C37B02" w:rsidRDefault="0031035E" w:rsidP="00305B4B">
      <w:pPr>
        <w:pStyle w:val="Caption"/>
        <w:ind w:right="3"/>
      </w:pPr>
      <w:bookmarkStart w:id="102" w:name="bookmark24"/>
      <w:bookmarkStart w:id="103" w:name="_Ref71659792"/>
      <w:bookmarkEnd w:id="102"/>
      <w:r w:rsidRPr="00C37B02">
        <w:t xml:space="preserve">Table </w:t>
      </w:r>
      <w:r w:rsidRPr="00C37B02">
        <w:fldChar w:fldCharType="begin"/>
      </w:r>
      <w:r w:rsidRPr="00C37B02">
        <w:instrText xml:space="preserve"> SEQ Table \* ARABIC </w:instrText>
      </w:r>
      <w:r w:rsidRPr="00C37B02">
        <w:fldChar w:fldCharType="separate"/>
      </w:r>
      <w:r w:rsidR="00B624F4" w:rsidRPr="00C37B02">
        <w:t>14</w:t>
      </w:r>
      <w:r w:rsidRPr="00C37B02">
        <w:fldChar w:fldCharType="end"/>
      </w:r>
      <w:bookmarkEnd w:id="103"/>
      <w:r w:rsidRPr="00C37B02">
        <w:t xml:space="preserve">: TWES </w:t>
      </w:r>
      <w:r w:rsidR="00D61836" w:rsidRPr="00C37B02">
        <w:t xml:space="preserve">provider </w:t>
      </w:r>
      <w:r w:rsidRPr="00C37B02">
        <w:t>payment structure (all figures GST inclusive)</w:t>
      </w:r>
    </w:p>
    <w:tbl>
      <w:tblPr>
        <w:tblW w:w="9881" w:type="dxa"/>
        <w:tblInd w:w="34" w:type="dxa"/>
        <w:tblBorders>
          <w:top w:val="single" w:sz="6" w:space="0" w:color="B1B3AA"/>
          <w:left w:val="single" w:sz="6" w:space="0" w:color="B1B3AA"/>
          <w:bottom w:val="single" w:sz="6" w:space="0" w:color="B1B3AA"/>
          <w:right w:val="single" w:sz="6" w:space="0" w:color="B1B3AA"/>
          <w:insideH w:val="single" w:sz="6" w:space="0" w:color="B1B3AA"/>
          <w:insideV w:val="single" w:sz="6" w:space="0" w:color="B1B3AA"/>
        </w:tblBorders>
        <w:tblLayout w:type="fixed"/>
        <w:tblCellMar>
          <w:left w:w="0" w:type="dxa"/>
          <w:right w:w="0" w:type="dxa"/>
        </w:tblCellMar>
        <w:tblLook w:val="0000" w:firstRow="0" w:lastRow="0" w:firstColumn="0" w:lastColumn="0" w:noHBand="0" w:noVBand="0"/>
        <w:tblCaption w:val="TWES provider payment structure (all figures GST inclusive)"/>
        <w:tblDescription w:val="A table of the payment amounts for TWES providers by location type where payment for non-remote and remote are different. "/>
      </w:tblPr>
      <w:tblGrid>
        <w:gridCol w:w="1801"/>
        <w:gridCol w:w="3827"/>
        <w:gridCol w:w="4253"/>
      </w:tblGrid>
      <w:tr w:rsidR="004A7BA7" w:rsidRPr="00350CAB" w14:paraId="2B91A629" w14:textId="77777777" w:rsidTr="000710CA">
        <w:trPr>
          <w:trHeight w:val="170"/>
        </w:trPr>
        <w:tc>
          <w:tcPr>
            <w:tcW w:w="1801" w:type="dxa"/>
            <w:shd w:val="clear" w:color="auto" w:fill="002C61"/>
            <w:tcMar>
              <w:top w:w="85" w:type="dxa"/>
              <w:left w:w="85" w:type="dxa"/>
              <w:bottom w:w="85" w:type="dxa"/>
              <w:right w:w="85" w:type="dxa"/>
            </w:tcMar>
          </w:tcPr>
          <w:p w14:paraId="67F6D6CA" w14:textId="77777777" w:rsidR="00F83564" w:rsidRPr="000710CA" w:rsidRDefault="00F83564" w:rsidP="000710CA">
            <w:pPr>
              <w:pStyle w:val="TableHeading"/>
            </w:pPr>
            <w:r w:rsidRPr="000710CA">
              <w:t>Region</w:t>
            </w:r>
          </w:p>
        </w:tc>
        <w:tc>
          <w:tcPr>
            <w:tcW w:w="3827" w:type="dxa"/>
            <w:shd w:val="clear" w:color="auto" w:fill="002C61"/>
            <w:tcMar>
              <w:top w:w="85" w:type="dxa"/>
              <w:left w:w="85" w:type="dxa"/>
              <w:bottom w:w="85" w:type="dxa"/>
              <w:right w:w="85" w:type="dxa"/>
            </w:tcMar>
          </w:tcPr>
          <w:p w14:paraId="039AF846" w14:textId="77777777" w:rsidR="00F83564" w:rsidRPr="000710CA" w:rsidRDefault="00323889" w:rsidP="000710CA">
            <w:pPr>
              <w:pStyle w:val="TableHeading"/>
            </w:pPr>
            <w:r w:rsidRPr="000710CA">
              <w:t xml:space="preserve">Payment 1: </w:t>
            </w:r>
            <w:r w:rsidR="00557017" w:rsidRPr="000710CA">
              <w:t>Upfront Payment</w:t>
            </w:r>
          </w:p>
        </w:tc>
        <w:tc>
          <w:tcPr>
            <w:tcW w:w="4253" w:type="dxa"/>
            <w:shd w:val="clear" w:color="auto" w:fill="002C61"/>
            <w:tcMar>
              <w:top w:w="85" w:type="dxa"/>
              <w:left w:w="85" w:type="dxa"/>
              <w:bottom w:w="85" w:type="dxa"/>
              <w:right w:w="85" w:type="dxa"/>
            </w:tcMar>
          </w:tcPr>
          <w:p w14:paraId="6B3356B1" w14:textId="77777777" w:rsidR="00F83564" w:rsidRPr="000710CA" w:rsidRDefault="00323889" w:rsidP="000710CA">
            <w:pPr>
              <w:pStyle w:val="TableHeading"/>
            </w:pPr>
            <w:r w:rsidRPr="000710CA">
              <w:t xml:space="preserve">Payment 2: </w:t>
            </w:r>
            <w:r w:rsidR="00A3153B" w:rsidRPr="000710CA">
              <w:t>Transition Plan Fee</w:t>
            </w:r>
          </w:p>
        </w:tc>
      </w:tr>
      <w:tr w:rsidR="009F3D29" w:rsidRPr="00350CAB" w14:paraId="08660972" w14:textId="77777777" w:rsidTr="000710CA">
        <w:trPr>
          <w:trHeight w:val="125"/>
        </w:trPr>
        <w:tc>
          <w:tcPr>
            <w:tcW w:w="1801" w:type="dxa"/>
            <w:tcMar>
              <w:top w:w="85" w:type="dxa"/>
              <w:left w:w="85" w:type="dxa"/>
              <w:bottom w:w="85" w:type="dxa"/>
              <w:right w:w="85" w:type="dxa"/>
            </w:tcMar>
          </w:tcPr>
          <w:p w14:paraId="553A4D2E" w14:textId="77777777" w:rsidR="00F83564" w:rsidRPr="000710CA" w:rsidRDefault="00F83564" w:rsidP="007F09E7">
            <w:pPr>
              <w:pStyle w:val="TableParagraph"/>
            </w:pPr>
            <w:r w:rsidRPr="000710CA">
              <w:t>Non-remote</w:t>
            </w:r>
          </w:p>
        </w:tc>
        <w:tc>
          <w:tcPr>
            <w:tcW w:w="3827" w:type="dxa"/>
            <w:tcMar>
              <w:top w:w="85" w:type="dxa"/>
              <w:left w:w="85" w:type="dxa"/>
              <w:bottom w:w="85" w:type="dxa"/>
              <w:right w:w="85" w:type="dxa"/>
            </w:tcMar>
          </w:tcPr>
          <w:p w14:paraId="4B298AFA" w14:textId="77777777" w:rsidR="00F83564" w:rsidRPr="000710CA" w:rsidRDefault="00E74928" w:rsidP="007F09E7">
            <w:pPr>
              <w:pStyle w:val="TableParagraph"/>
            </w:pPr>
            <w:r w:rsidRPr="000710CA">
              <w:t>$</w:t>
            </w:r>
            <w:r w:rsidR="00E126C3" w:rsidRPr="000710CA">
              <w:t xml:space="preserve">574.20 </w:t>
            </w:r>
            <w:r w:rsidRPr="000710CA">
              <w:t xml:space="preserve">per </w:t>
            </w:r>
            <w:r w:rsidR="008E0617" w:rsidRPr="000710CA">
              <w:t>expected</w:t>
            </w:r>
            <w:r w:rsidR="00321BE0" w:rsidRPr="000710CA">
              <w:t xml:space="preserve"> participant</w:t>
            </w:r>
          </w:p>
        </w:tc>
        <w:tc>
          <w:tcPr>
            <w:tcW w:w="4253" w:type="dxa"/>
            <w:tcMar>
              <w:top w:w="85" w:type="dxa"/>
              <w:left w:w="85" w:type="dxa"/>
              <w:bottom w:w="85" w:type="dxa"/>
              <w:right w:w="85" w:type="dxa"/>
            </w:tcMar>
          </w:tcPr>
          <w:p w14:paraId="18B5901B" w14:textId="5892AF3C" w:rsidR="00F83564" w:rsidRPr="000710CA" w:rsidRDefault="00A65DEB" w:rsidP="007F09E7">
            <w:pPr>
              <w:pStyle w:val="TableParagraph"/>
            </w:pPr>
            <w:r w:rsidRPr="000710CA">
              <w:t>$</w:t>
            </w:r>
            <w:r w:rsidR="00E126C3" w:rsidRPr="000710CA">
              <w:t xml:space="preserve">229.68 </w:t>
            </w:r>
            <w:r w:rsidR="00E1443E" w:rsidRPr="000710CA">
              <w:t xml:space="preserve">per </w:t>
            </w:r>
            <w:r w:rsidR="00A45ED2" w:rsidRPr="000710CA">
              <w:t>Ap</w:t>
            </w:r>
            <w:r w:rsidR="00E1443E" w:rsidRPr="000710CA">
              <w:t>proved Transition Plan</w:t>
            </w:r>
          </w:p>
        </w:tc>
      </w:tr>
      <w:tr w:rsidR="009F3D29" w:rsidRPr="00350CAB" w14:paraId="3E3421C6" w14:textId="77777777" w:rsidTr="000710CA">
        <w:trPr>
          <w:trHeight w:val="89"/>
        </w:trPr>
        <w:tc>
          <w:tcPr>
            <w:tcW w:w="1801" w:type="dxa"/>
            <w:tcMar>
              <w:top w:w="85" w:type="dxa"/>
              <w:left w:w="85" w:type="dxa"/>
              <w:bottom w:w="85" w:type="dxa"/>
              <w:right w:w="85" w:type="dxa"/>
            </w:tcMar>
          </w:tcPr>
          <w:p w14:paraId="02422EB9" w14:textId="77777777" w:rsidR="00F83564" w:rsidRPr="000710CA" w:rsidRDefault="00F83564" w:rsidP="007F09E7">
            <w:pPr>
              <w:pStyle w:val="TableParagraph"/>
            </w:pPr>
            <w:r w:rsidRPr="000710CA">
              <w:t>Remote</w:t>
            </w:r>
          </w:p>
        </w:tc>
        <w:tc>
          <w:tcPr>
            <w:tcW w:w="3827" w:type="dxa"/>
            <w:tcMar>
              <w:top w:w="85" w:type="dxa"/>
              <w:left w:w="85" w:type="dxa"/>
              <w:bottom w:w="85" w:type="dxa"/>
              <w:right w:w="85" w:type="dxa"/>
            </w:tcMar>
          </w:tcPr>
          <w:p w14:paraId="6C6B8984" w14:textId="77777777" w:rsidR="00F83564" w:rsidRPr="000710CA" w:rsidRDefault="00F75973" w:rsidP="007F09E7">
            <w:pPr>
              <w:pStyle w:val="TableParagraph"/>
            </w:pPr>
            <w:r w:rsidRPr="000710CA">
              <w:t>$333 per expected participant</w:t>
            </w:r>
          </w:p>
        </w:tc>
        <w:tc>
          <w:tcPr>
            <w:tcW w:w="4253" w:type="dxa"/>
            <w:tcMar>
              <w:top w:w="85" w:type="dxa"/>
              <w:left w:w="85" w:type="dxa"/>
              <w:bottom w:w="85" w:type="dxa"/>
              <w:right w:w="85" w:type="dxa"/>
            </w:tcMar>
          </w:tcPr>
          <w:p w14:paraId="0A42C2B4" w14:textId="18795416" w:rsidR="00F83564" w:rsidRPr="000710CA" w:rsidRDefault="00E1443E" w:rsidP="007F09E7">
            <w:pPr>
              <w:pStyle w:val="TableParagraph"/>
            </w:pPr>
            <w:r w:rsidRPr="000710CA">
              <w:t xml:space="preserve">$666 per </w:t>
            </w:r>
            <w:r w:rsidR="00A45ED2" w:rsidRPr="000710CA">
              <w:t>A</w:t>
            </w:r>
            <w:r w:rsidRPr="000710CA">
              <w:t>pproved Transition Plan</w:t>
            </w:r>
          </w:p>
        </w:tc>
      </w:tr>
    </w:tbl>
    <w:p w14:paraId="67ADD8D9" w14:textId="77777777" w:rsidR="00C37B02" w:rsidRDefault="00C37B02" w:rsidP="00305B4B">
      <w:pPr>
        <w:pStyle w:val="BodyText"/>
        <w:ind w:right="3"/>
        <w:rPr>
          <w:spacing w:val="-1"/>
        </w:rPr>
      </w:pPr>
    </w:p>
    <w:p w14:paraId="08DACD26" w14:textId="12635868" w:rsidR="000A6C53" w:rsidRPr="00C37B02" w:rsidRDefault="00977D45" w:rsidP="00305B4B">
      <w:pPr>
        <w:pStyle w:val="BodyText"/>
        <w:ind w:right="3"/>
      </w:pPr>
      <w:r w:rsidRPr="00C37B02">
        <w:t xml:space="preserve">Since the commencement of TWES </w:t>
      </w:r>
      <w:r w:rsidR="00EA4861" w:rsidRPr="00C37B02">
        <w:t>to 28 February 2021</w:t>
      </w:r>
      <w:r w:rsidRPr="00C37B02">
        <w:t xml:space="preserve">, </w:t>
      </w:r>
      <w:r w:rsidR="00EB5F2D" w:rsidRPr="00C37B02">
        <w:t>a total of $</w:t>
      </w:r>
      <w:r w:rsidR="00503A2C" w:rsidRPr="00C37B02">
        <w:t>5.95</w:t>
      </w:r>
      <w:r w:rsidR="006F066E" w:rsidRPr="00C37B02">
        <w:t>m</w:t>
      </w:r>
      <w:r w:rsidR="00503A2C" w:rsidRPr="00C37B02">
        <w:t xml:space="preserve"> has been paid to </w:t>
      </w:r>
      <w:r w:rsidR="00B372BD" w:rsidRPr="00C37B02">
        <w:t xml:space="preserve">TWES </w:t>
      </w:r>
      <w:r w:rsidR="00D61836" w:rsidRPr="00C37B02">
        <w:t xml:space="preserve">providers </w:t>
      </w:r>
      <w:r w:rsidR="00503A2C" w:rsidRPr="00C37B02">
        <w:t>in Upfront Payments and Transition Plan fees</w:t>
      </w:r>
      <w:r w:rsidR="00BF00AA" w:rsidRPr="00C37B02">
        <w:t xml:space="preserve"> </w:t>
      </w:r>
      <w:r w:rsidR="0031035E" w:rsidRPr="00C37B02">
        <w:t>(</w:t>
      </w:r>
      <w:r w:rsidR="0031035E" w:rsidRPr="00C37B02">
        <w:fldChar w:fldCharType="begin"/>
      </w:r>
      <w:r w:rsidR="0031035E" w:rsidRPr="00C37B02">
        <w:instrText xml:space="preserve"> REF _Ref71659820 \h  \* MERGEFORMAT </w:instrText>
      </w:r>
      <w:r w:rsidR="0031035E" w:rsidRPr="00C37B02">
        <w:fldChar w:fldCharType="separate"/>
      </w:r>
      <w:r w:rsidR="00B624F4" w:rsidRPr="00C37B02">
        <w:t>Table 15</w:t>
      </w:r>
      <w:r w:rsidR="0031035E" w:rsidRPr="00C37B02">
        <w:fldChar w:fldCharType="end"/>
      </w:r>
      <w:r w:rsidR="0031035E" w:rsidRPr="00C37B02">
        <w:t>).</w:t>
      </w:r>
      <w:r w:rsidR="003B0A62" w:rsidRPr="00C37B02">
        <w:t xml:space="preserve"> </w:t>
      </w:r>
      <w:r w:rsidR="003C790A" w:rsidRPr="00C37B02">
        <w:t>The large majority of this (~92%) are Upfront Payments</w:t>
      </w:r>
      <w:r w:rsidR="003C3FC9" w:rsidRPr="00C37B02">
        <w:t>.</w:t>
      </w:r>
    </w:p>
    <w:p w14:paraId="1FACC838" w14:textId="1364DE18" w:rsidR="0031035E" w:rsidRPr="00C37B02" w:rsidRDefault="0031035E" w:rsidP="00305B4B">
      <w:pPr>
        <w:pStyle w:val="Caption"/>
        <w:ind w:right="3"/>
      </w:pPr>
      <w:bookmarkStart w:id="104" w:name="bookmark25"/>
      <w:bookmarkStart w:id="105" w:name="_Ref71659820"/>
      <w:bookmarkEnd w:id="104"/>
      <w:r w:rsidRPr="00C37B02">
        <w:t xml:space="preserve">Table </w:t>
      </w:r>
      <w:r w:rsidRPr="00C37B02">
        <w:fldChar w:fldCharType="begin"/>
      </w:r>
      <w:r w:rsidRPr="00C37B02">
        <w:instrText xml:space="preserve"> SEQ Table \* ARABIC </w:instrText>
      </w:r>
      <w:r w:rsidRPr="00C37B02">
        <w:fldChar w:fldCharType="separate"/>
      </w:r>
      <w:r w:rsidR="00B624F4" w:rsidRPr="00C37B02">
        <w:t>15</w:t>
      </w:r>
      <w:r w:rsidRPr="00C37B02">
        <w:fldChar w:fldCharType="end"/>
      </w:r>
      <w:bookmarkEnd w:id="105"/>
      <w:r w:rsidRPr="00C37B02">
        <w:t xml:space="preserve">: TWES </w:t>
      </w:r>
      <w:r w:rsidR="00D61836" w:rsidRPr="00C37B02">
        <w:t>provider p</w:t>
      </w:r>
      <w:r w:rsidRPr="00C37B02">
        <w:t>ayments from 2018 to 28 February 2021 (Non-remote and Remote)</w:t>
      </w:r>
    </w:p>
    <w:tbl>
      <w:tblPr>
        <w:tblW w:w="9890" w:type="dxa"/>
        <w:tblInd w:w="28" w:type="dxa"/>
        <w:tblBorders>
          <w:top w:val="single" w:sz="4" w:space="0" w:color="B1B3AA"/>
          <w:left w:val="single" w:sz="4" w:space="0" w:color="B1B3AA"/>
          <w:bottom w:val="single" w:sz="4" w:space="0" w:color="B1B3AA"/>
          <w:right w:val="single" w:sz="4" w:space="0" w:color="B1B3AA"/>
          <w:insideH w:val="single" w:sz="4" w:space="0" w:color="B1B3AA"/>
          <w:insideV w:val="single" w:sz="4" w:space="0" w:color="B1B3AA"/>
        </w:tblBorders>
        <w:tblLayout w:type="fixed"/>
        <w:tblCellMar>
          <w:left w:w="0" w:type="dxa"/>
          <w:right w:w="0" w:type="dxa"/>
        </w:tblCellMar>
        <w:tblLook w:val="0000" w:firstRow="0" w:lastRow="0" w:firstColumn="0" w:lastColumn="0" w:noHBand="0" w:noVBand="0"/>
        <w:tblCaption w:val="TWES provider payments from 2018 to 28 February 2021 (Non-remote and Remote)"/>
        <w:tblDescription w:val="A table of TWES provider payments by location type where a total of $5.95 million has been paid to providers, 92% of which are Upfront Payments. "/>
      </w:tblPr>
      <w:tblGrid>
        <w:gridCol w:w="2094"/>
        <w:gridCol w:w="2551"/>
        <w:gridCol w:w="2835"/>
        <w:gridCol w:w="2410"/>
      </w:tblGrid>
      <w:tr w:rsidR="009D39E7" w:rsidRPr="00350CAB" w14:paraId="0ECAC89D" w14:textId="77777777" w:rsidTr="000710CA">
        <w:trPr>
          <w:trHeight w:val="170"/>
        </w:trPr>
        <w:tc>
          <w:tcPr>
            <w:tcW w:w="2094" w:type="dxa"/>
            <w:shd w:val="clear" w:color="auto" w:fill="002C61"/>
            <w:tcMar>
              <w:top w:w="85" w:type="dxa"/>
              <w:left w:w="85" w:type="dxa"/>
              <w:bottom w:w="85" w:type="dxa"/>
              <w:right w:w="85" w:type="dxa"/>
            </w:tcMar>
          </w:tcPr>
          <w:p w14:paraId="4289BEB2" w14:textId="77777777" w:rsidR="00BF00AA" w:rsidRPr="0047654E" w:rsidRDefault="00BF00AA" w:rsidP="000710CA">
            <w:pPr>
              <w:pStyle w:val="TableHeading"/>
            </w:pPr>
            <w:r w:rsidRPr="0047654E">
              <w:t>Financial</w:t>
            </w:r>
            <w:r w:rsidRPr="0047654E">
              <w:rPr>
                <w:spacing w:val="1"/>
              </w:rPr>
              <w:t xml:space="preserve"> </w:t>
            </w:r>
            <w:r w:rsidRPr="0047654E">
              <w:t>year</w:t>
            </w:r>
          </w:p>
        </w:tc>
        <w:tc>
          <w:tcPr>
            <w:tcW w:w="2551" w:type="dxa"/>
            <w:shd w:val="clear" w:color="auto" w:fill="002C61"/>
            <w:tcMar>
              <w:top w:w="85" w:type="dxa"/>
              <w:left w:w="85" w:type="dxa"/>
              <w:bottom w:w="85" w:type="dxa"/>
              <w:right w:w="85" w:type="dxa"/>
            </w:tcMar>
          </w:tcPr>
          <w:p w14:paraId="39658EE7" w14:textId="77777777" w:rsidR="00BF00AA" w:rsidRPr="0047654E" w:rsidRDefault="009E4606" w:rsidP="000710CA">
            <w:pPr>
              <w:pStyle w:val="TableHeading"/>
            </w:pPr>
            <w:r w:rsidRPr="0047654E">
              <w:t>Upfront Payments</w:t>
            </w:r>
          </w:p>
        </w:tc>
        <w:tc>
          <w:tcPr>
            <w:tcW w:w="2835" w:type="dxa"/>
            <w:shd w:val="clear" w:color="auto" w:fill="002C61"/>
            <w:tcMar>
              <w:top w:w="85" w:type="dxa"/>
              <w:left w:w="85" w:type="dxa"/>
              <w:bottom w:w="85" w:type="dxa"/>
              <w:right w:w="85" w:type="dxa"/>
            </w:tcMar>
          </w:tcPr>
          <w:p w14:paraId="0827FE67" w14:textId="77777777" w:rsidR="00BF00AA" w:rsidRPr="0047654E" w:rsidRDefault="009E4606" w:rsidP="000710CA">
            <w:pPr>
              <w:pStyle w:val="TableHeading"/>
            </w:pPr>
            <w:r w:rsidRPr="0047654E">
              <w:t>Transition</w:t>
            </w:r>
            <w:r w:rsidRPr="0047654E">
              <w:rPr>
                <w:spacing w:val="-2"/>
              </w:rPr>
              <w:t xml:space="preserve"> </w:t>
            </w:r>
            <w:r w:rsidRPr="0047654E">
              <w:t>Plan Fees</w:t>
            </w:r>
          </w:p>
        </w:tc>
        <w:tc>
          <w:tcPr>
            <w:tcW w:w="2410" w:type="dxa"/>
            <w:shd w:val="clear" w:color="auto" w:fill="002C61"/>
            <w:tcMar>
              <w:top w:w="85" w:type="dxa"/>
              <w:left w:w="85" w:type="dxa"/>
              <w:bottom w:w="85" w:type="dxa"/>
              <w:right w:w="85" w:type="dxa"/>
            </w:tcMar>
          </w:tcPr>
          <w:p w14:paraId="015757AA" w14:textId="77777777" w:rsidR="00BF00AA" w:rsidRPr="0047654E" w:rsidRDefault="009E4606" w:rsidP="000710CA">
            <w:pPr>
              <w:pStyle w:val="TableHeading"/>
            </w:pPr>
            <w:r w:rsidRPr="0047654E">
              <w:t>Total</w:t>
            </w:r>
          </w:p>
        </w:tc>
      </w:tr>
      <w:tr w:rsidR="00130B95" w:rsidRPr="00350CAB" w14:paraId="732E3A4A" w14:textId="77777777" w:rsidTr="000710CA">
        <w:trPr>
          <w:trHeight w:val="170"/>
        </w:trPr>
        <w:tc>
          <w:tcPr>
            <w:tcW w:w="2094" w:type="dxa"/>
            <w:noWrap/>
            <w:tcMar>
              <w:top w:w="85" w:type="dxa"/>
              <w:left w:w="85" w:type="dxa"/>
              <w:bottom w:w="85" w:type="dxa"/>
              <w:right w:w="85" w:type="dxa"/>
            </w:tcMar>
          </w:tcPr>
          <w:p w14:paraId="147ED6D4" w14:textId="77777777" w:rsidR="00130B95" w:rsidRPr="0047654E" w:rsidRDefault="00130B95" w:rsidP="007F09E7">
            <w:pPr>
              <w:pStyle w:val="TableParagraph"/>
            </w:pPr>
            <w:r w:rsidRPr="000A5A9D">
              <w:t>2017-2018</w:t>
            </w:r>
          </w:p>
        </w:tc>
        <w:tc>
          <w:tcPr>
            <w:tcW w:w="2551" w:type="dxa"/>
            <w:noWrap/>
            <w:tcMar>
              <w:top w:w="85" w:type="dxa"/>
              <w:left w:w="85" w:type="dxa"/>
              <w:bottom w:w="85" w:type="dxa"/>
              <w:right w:w="85" w:type="dxa"/>
            </w:tcMar>
          </w:tcPr>
          <w:p w14:paraId="61042CF0" w14:textId="77777777" w:rsidR="00130B95" w:rsidRPr="0047654E" w:rsidRDefault="00130B95" w:rsidP="007F09E7">
            <w:pPr>
              <w:pStyle w:val="TableParagraph"/>
            </w:pPr>
            <w:r w:rsidRPr="0047654E">
              <w:t>$122,275</w:t>
            </w:r>
          </w:p>
        </w:tc>
        <w:tc>
          <w:tcPr>
            <w:tcW w:w="2835" w:type="dxa"/>
            <w:noWrap/>
            <w:tcMar>
              <w:top w:w="85" w:type="dxa"/>
              <w:left w:w="85" w:type="dxa"/>
              <w:bottom w:w="85" w:type="dxa"/>
              <w:right w:w="85" w:type="dxa"/>
            </w:tcMar>
          </w:tcPr>
          <w:p w14:paraId="783CD1EE" w14:textId="77777777" w:rsidR="00130B95" w:rsidRPr="0047654E" w:rsidRDefault="00130B95" w:rsidP="007F09E7">
            <w:pPr>
              <w:pStyle w:val="TableParagraph"/>
            </w:pPr>
            <w:r w:rsidRPr="0047654E">
              <w:t>$0</w:t>
            </w:r>
          </w:p>
        </w:tc>
        <w:tc>
          <w:tcPr>
            <w:tcW w:w="2410" w:type="dxa"/>
            <w:noWrap/>
            <w:tcMar>
              <w:top w:w="85" w:type="dxa"/>
              <w:left w:w="85" w:type="dxa"/>
              <w:bottom w:w="85" w:type="dxa"/>
              <w:right w:w="85" w:type="dxa"/>
            </w:tcMar>
          </w:tcPr>
          <w:p w14:paraId="504E9EC8" w14:textId="77777777" w:rsidR="00130B95" w:rsidRPr="0047654E" w:rsidRDefault="00130B95" w:rsidP="007F09E7">
            <w:pPr>
              <w:pStyle w:val="TableParagraph"/>
            </w:pPr>
            <w:r w:rsidRPr="0047654E">
              <w:t>$122,275</w:t>
            </w:r>
          </w:p>
        </w:tc>
      </w:tr>
      <w:tr w:rsidR="00130B95" w:rsidRPr="00350CAB" w14:paraId="66246CBD" w14:textId="77777777" w:rsidTr="000710CA">
        <w:trPr>
          <w:trHeight w:val="170"/>
        </w:trPr>
        <w:tc>
          <w:tcPr>
            <w:tcW w:w="2094" w:type="dxa"/>
            <w:noWrap/>
            <w:tcMar>
              <w:top w:w="85" w:type="dxa"/>
              <w:left w:w="85" w:type="dxa"/>
              <w:bottom w:w="85" w:type="dxa"/>
              <w:right w:w="85" w:type="dxa"/>
            </w:tcMar>
          </w:tcPr>
          <w:p w14:paraId="4F7F2EB4" w14:textId="77777777" w:rsidR="00130B95" w:rsidRPr="0047654E" w:rsidRDefault="00130B95" w:rsidP="007F09E7">
            <w:pPr>
              <w:pStyle w:val="TableParagraph"/>
            </w:pPr>
            <w:r w:rsidRPr="000A5A9D">
              <w:t>2018-2019</w:t>
            </w:r>
          </w:p>
        </w:tc>
        <w:tc>
          <w:tcPr>
            <w:tcW w:w="2551" w:type="dxa"/>
            <w:noWrap/>
            <w:tcMar>
              <w:top w:w="85" w:type="dxa"/>
              <w:left w:w="85" w:type="dxa"/>
              <w:bottom w:w="85" w:type="dxa"/>
              <w:right w:w="85" w:type="dxa"/>
            </w:tcMar>
          </w:tcPr>
          <w:p w14:paraId="5D2F991D" w14:textId="77777777" w:rsidR="00130B95" w:rsidRPr="0047654E" w:rsidRDefault="00130B95" w:rsidP="007F09E7">
            <w:pPr>
              <w:pStyle w:val="TableParagraph"/>
            </w:pPr>
            <w:r w:rsidRPr="0047654E">
              <w:t>$749,629</w:t>
            </w:r>
          </w:p>
        </w:tc>
        <w:tc>
          <w:tcPr>
            <w:tcW w:w="2835" w:type="dxa"/>
            <w:noWrap/>
            <w:tcMar>
              <w:top w:w="85" w:type="dxa"/>
              <w:left w:w="85" w:type="dxa"/>
              <w:bottom w:w="85" w:type="dxa"/>
              <w:right w:w="85" w:type="dxa"/>
            </w:tcMar>
          </w:tcPr>
          <w:p w14:paraId="0611D2B1" w14:textId="77777777" w:rsidR="00130B95" w:rsidRPr="0047654E" w:rsidRDefault="00130B95" w:rsidP="007F09E7">
            <w:pPr>
              <w:pStyle w:val="TableParagraph"/>
            </w:pPr>
            <w:r w:rsidRPr="0047654E">
              <w:t>$16,132</w:t>
            </w:r>
          </w:p>
        </w:tc>
        <w:tc>
          <w:tcPr>
            <w:tcW w:w="2410" w:type="dxa"/>
            <w:noWrap/>
            <w:tcMar>
              <w:top w:w="85" w:type="dxa"/>
              <w:left w:w="85" w:type="dxa"/>
              <w:bottom w:w="85" w:type="dxa"/>
              <w:right w:w="85" w:type="dxa"/>
            </w:tcMar>
          </w:tcPr>
          <w:p w14:paraId="74CC8C04" w14:textId="77777777" w:rsidR="00130B95" w:rsidRPr="0047654E" w:rsidRDefault="00130B95" w:rsidP="007F09E7">
            <w:pPr>
              <w:pStyle w:val="TableParagraph"/>
            </w:pPr>
            <w:r w:rsidRPr="0047654E">
              <w:t>$765,761</w:t>
            </w:r>
          </w:p>
        </w:tc>
      </w:tr>
      <w:tr w:rsidR="00130B95" w:rsidRPr="00350CAB" w14:paraId="2C2B27AC" w14:textId="77777777" w:rsidTr="000710CA">
        <w:trPr>
          <w:trHeight w:val="170"/>
        </w:trPr>
        <w:tc>
          <w:tcPr>
            <w:tcW w:w="2094" w:type="dxa"/>
            <w:noWrap/>
            <w:tcMar>
              <w:top w:w="85" w:type="dxa"/>
              <w:left w:w="85" w:type="dxa"/>
              <w:bottom w:w="85" w:type="dxa"/>
              <w:right w:w="85" w:type="dxa"/>
            </w:tcMar>
          </w:tcPr>
          <w:p w14:paraId="1E6C6F18" w14:textId="77777777" w:rsidR="00130B95" w:rsidRPr="0047654E" w:rsidRDefault="00130B95" w:rsidP="007F09E7">
            <w:pPr>
              <w:pStyle w:val="TableParagraph"/>
            </w:pPr>
            <w:r w:rsidRPr="000A5A9D">
              <w:t>2019-2020</w:t>
            </w:r>
          </w:p>
        </w:tc>
        <w:tc>
          <w:tcPr>
            <w:tcW w:w="2551" w:type="dxa"/>
            <w:noWrap/>
            <w:tcMar>
              <w:top w:w="85" w:type="dxa"/>
              <w:left w:w="85" w:type="dxa"/>
              <w:bottom w:w="85" w:type="dxa"/>
              <w:right w:w="85" w:type="dxa"/>
            </w:tcMar>
          </w:tcPr>
          <w:p w14:paraId="40EEBCCB" w14:textId="77777777" w:rsidR="00130B95" w:rsidRPr="0047654E" w:rsidRDefault="00130B95" w:rsidP="007F09E7">
            <w:pPr>
              <w:pStyle w:val="TableParagraph"/>
            </w:pPr>
            <w:r w:rsidRPr="0047654E">
              <w:t>$2,118,475</w:t>
            </w:r>
          </w:p>
        </w:tc>
        <w:tc>
          <w:tcPr>
            <w:tcW w:w="2835" w:type="dxa"/>
            <w:noWrap/>
            <w:tcMar>
              <w:top w:w="85" w:type="dxa"/>
              <w:left w:w="85" w:type="dxa"/>
              <w:bottom w:w="85" w:type="dxa"/>
              <w:right w:w="85" w:type="dxa"/>
            </w:tcMar>
          </w:tcPr>
          <w:p w14:paraId="21CD7FC1" w14:textId="77777777" w:rsidR="00130B95" w:rsidRPr="0047654E" w:rsidRDefault="00130B95" w:rsidP="007F09E7">
            <w:pPr>
              <w:pStyle w:val="TableParagraph"/>
            </w:pPr>
            <w:r w:rsidRPr="0047654E">
              <w:t>$269,360</w:t>
            </w:r>
          </w:p>
        </w:tc>
        <w:tc>
          <w:tcPr>
            <w:tcW w:w="2410" w:type="dxa"/>
            <w:noWrap/>
            <w:tcMar>
              <w:top w:w="85" w:type="dxa"/>
              <w:left w:w="85" w:type="dxa"/>
              <w:bottom w:w="85" w:type="dxa"/>
              <w:right w:w="85" w:type="dxa"/>
            </w:tcMar>
          </w:tcPr>
          <w:p w14:paraId="63AAD7F1" w14:textId="77777777" w:rsidR="00130B95" w:rsidRPr="0047654E" w:rsidRDefault="00130B95" w:rsidP="007F09E7">
            <w:pPr>
              <w:pStyle w:val="TableParagraph"/>
            </w:pPr>
            <w:r w:rsidRPr="0047654E">
              <w:t>$2,387,835</w:t>
            </w:r>
          </w:p>
        </w:tc>
      </w:tr>
      <w:tr w:rsidR="00130B95" w:rsidRPr="00350CAB" w14:paraId="1827A504" w14:textId="77777777" w:rsidTr="000710CA">
        <w:trPr>
          <w:trHeight w:val="170"/>
        </w:trPr>
        <w:tc>
          <w:tcPr>
            <w:tcW w:w="2094" w:type="dxa"/>
            <w:noWrap/>
            <w:tcMar>
              <w:top w:w="85" w:type="dxa"/>
              <w:left w:w="85" w:type="dxa"/>
              <w:bottom w:w="85" w:type="dxa"/>
              <w:right w:w="85" w:type="dxa"/>
            </w:tcMar>
          </w:tcPr>
          <w:p w14:paraId="0E9DB346" w14:textId="4DA37883" w:rsidR="00130B95" w:rsidRPr="0047654E" w:rsidRDefault="00130B95" w:rsidP="007F09E7">
            <w:pPr>
              <w:pStyle w:val="TableParagraph"/>
            </w:pPr>
            <w:r w:rsidRPr="000A5A9D">
              <w:t>2020-2021</w:t>
            </w:r>
            <w:r w:rsidR="004D7A4A">
              <w:t>*</w:t>
            </w:r>
          </w:p>
        </w:tc>
        <w:tc>
          <w:tcPr>
            <w:tcW w:w="2551" w:type="dxa"/>
            <w:noWrap/>
            <w:tcMar>
              <w:top w:w="85" w:type="dxa"/>
              <w:left w:w="85" w:type="dxa"/>
              <w:bottom w:w="85" w:type="dxa"/>
              <w:right w:w="85" w:type="dxa"/>
            </w:tcMar>
          </w:tcPr>
          <w:p w14:paraId="52F34A56" w14:textId="77777777" w:rsidR="00130B95" w:rsidRPr="0047654E" w:rsidRDefault="00130B95" w:rsidP="007F09E7">
            <w:pPr>
              <w:pStyle w:val="TableParagraph"/>
            </w:pPr>
            <w:r w:rsidRPr="0047654E">
              <w:t>$2,484,612</w:t>
            </w:r>
          </w:p>
        </w:tc>
        <w:tc>
          <w:tcPr>
            <w:tcW w:w="2835" w:type="dxa"/>
            <w:noWrap/>
            <w:tcMar>
              <w:top w:w="85" w:type="dxa"/>
              <w:left w:w="85" w:type="dxa"/>
              <w:bottom w:w="85" w:type="dxa"/>
              <w:right w:w="85" w:type="dxa"/>
            </w:tcMar>
          </w:tcPr>
          <w:p w14:paraId="5A77B123" w14:textId="77777777" w:rsidR="00130B95" w:rsidRPr="0047654E" w:rsidRDefault="00130B95" w:rsidP="007F09E7">
            <w:pPr>
              <w:pStyle w:val="TableParagraph"/>
            </w:pPr>
            <w:r w:rsidRPr="0047654E">
              <w:t>$190,293</w:t>
            </w:r>
          </w:p>
        </w:tc>
        <w:tc>
          <w:tcPr>
            <w:tcW w:w="2410" w:type="dxa"/>
            <w:noWrap/>
            <w:tcMar>
              <w:top w:w="85" w:type="dxa"/>
              <w:left w:w="85" w:type="dxa"/>
              <w:bottom w:w="85" w:type="dxa"/>
              <w:right w:w="85" w:type="dxa"/>
            </w:tcMar>
          </w:tcPr>
          <w:p w14:paraId="3CD37B22" w14:textId="77777777" w:rsidR="00130B95" w:rsidRPr="0047654E" w:rsidRDefault="00130B95" w:rsidP="007F09E7">
            <w:pPr>
              <w:pStyle w:val="TableParagraph"/>
            </w:pPr>
            <w:r w:rsidRPr="0047654E">
              <w:t>$2,674,905</w:t>
            </w:r>
          </w:p>
        </w:tc>
      </w:tr>
      <w:tr w:rsidR="00130B95" w:rsidRPr="00350CAB" w14:paraId="41197F99" w14:textId="77777777" w:rsidTr="000710CA">
        <w:trPr>
          <w:trHeight w:val="170"/>
        </w:trPr>
        <w:tc>
          <w:tcPr>
            <w:tcW w:w="2094" w:type="dxa"/>
            <w:shd w:val="clear" w:color="auto" w:fill="002C61"/>
            <w:tcMar>
              <w:top w:w="85" w:type="dxa"/>
              <w:left w:w="85" w:type="dxa"/>
              <w:bottom w:w="85" w:type="dxa"/>
              <w:right w:w="85" w:type="dxa"/>
            </w:tcMar>
          </w:tcPr>
          <w:p w14:paraId="43F23FE1" w14:textId="77777777" w:rsidR="00130B95" w:rsidRPr="0047654E" w:rsidRDefault="00130B95" w:rsidP="007F09E7">
            <w:pPr>
              <w:pStyle w:val="TableParagraph"/>
            </w:pPr>
            <w:r w:rsidRPr="0047654E">
              <w:t>Total</w:t>
            </w:r>
          </w:p>
        </w:tc>
        <w:tc>
          <w:tcPr>
            <w:tcW w:w="2551" w:type="dxa"/>
            <w:shd w:val="clear" w:color="auto" w:fill="002C61"/>
            <w:tcMar>
              <w:top w:w="85" w:type="dxa"/>
              <w:left w:w="85" w:type="dxa"/>
              <w:bottom w:w="85" w:type="dxa"/>
              <w:right w:w="85" w:type="dxa"/>
            </w:tcMar>
          </w:tcPr>
          <w:p w14:paraId="3F8961C5" w14:textId="77777777" w:rsidR="00130B95" w:rsidRPr="0047654E" w:rsidRDefault="00130B95" w:rsidP="007F09E7">
            <w:pPr>
              <w:pStyle w:val="TableParagraph"/>
            </w:pPr>
            <w:r w:rsidRPr="0047654E">
              <w:t>$5,474,990</w:t>
            </w:r>
          </w:p>
        </w:tc>
        <w:tc>
          <w:tcPr>
            <w:tcW w:w="2835" w:type="dxa"/>
            <w:shd w:val="clear" w:color="auto" w:fill="002C61"/>
            <w:tcMar>
              <w:top w:w="85" w:type="dxa"/>
              <w:left w:w="85" w:type="dxa"/>
              <w:bottom w:w="85" w:type="dxa"/>
              <w:right w:w="85" w:type="dxa"/>
            </w:tcMar>
          </w:tcPr>
          <w:p w14:paraId="1478A3E7" w14:textId="77777777" w:rsidR="00130B95" w:rsidRPr="0047654E" w:rsidRDefault="00130B95" w:rsidP="007F09E7">
            <w:pPr>
              <w:pStyle w:val="TableParagraph"/>
            </w:pPr>
            <w:r w:rsidRPr="0047654E">
              <w:t>$475,785</w:t>
            </w:r>
          </w:p>
        </w:tc>
        <w:tc>
          <w:tcPr>
            <w:tcW w:w="2410" w:type="dxa"/>
            <w:shd w:val="clear" w:color="auto" w:fill="002C61"/>
            <w:tcMar>
              <w:top w:w="85" w:type="dxa"/>
              <w:left w:w="85" w:type="dxa"/>
              <w:bottom w:w="85" w:type="dxa"/>
              <w:right w:w="85" w:type="dxa"/>
            </w:tcMar>
          </w:tcPr>
          <w:p w14:paraId="73348685" w14:textId="77777777" w:rsidR="00130B95" w:rsidRPr="0047654E" w:rsidRDefault="00130B95" w:rsidP="007F09E7">
            <w:pPr>
              <w:pStyle w:val="TableParagraph"/>
            </w:pPr>
            <w:r w:rsidRPr="0047654E">
              <w:t>$5,950,775</w:t>
            </w:r>
          </w:p>
        </w:tc>
      </w:tr>
      <w:tr w:rsidR="00FA2AB6" w:rsidRPr="00350CAB" w14:paraId="74DC5D7C" w14:textId="77777777" w:rsidTr="000710CA">
        <w:trPr>
          <w:trHeight w:val="170"/>
        </w:trPr>
        <w:tc>
          <w:tcPr>
            <w:tcW w:w="2094" w:type="dxa"/>
            <w:shd w:val="clear" w:color="auto" w:fill="F1F1F1"/>
            <w:tcMar>
              <w:top w:w="85" w:type="dxa"/>
              <w:left w:w="85" w:type="dxa"/>
              <w:bottom w:w="85" w:type="dxa"/>
              <w:right w:w="85" w:type="dxa"/>
            </w:tcMar>
          </w:tcPr>
          <w:p w14:paraId="0A40DDFD" w14:textId="77777777" w:rsidR="00FA2AB6" w:rsidRPr="0047654E" w:rsidRDefault="00B64E1C" w:rsidP="007F09E7">
            <w:pPr>
              <w:pStyle w:val="TableParagraph"/>
            </w:pPr>
            <w:r w:rsidRPr="0047654E">
              <w:t>%</w:t>
            </w:r>
            <w:r w:rsidRPr="0047654E">
              <w:rPr>
                <w:spacing w:val="2"/>
              </w:rPr>
              <w:t xml:space="preserve"> </w:t>
            </w:r>
            <w:r w:rsidRPr="0047654E">
              <w:rPr>
                <w:spacing w:val="-2"/>
              </w:rPr>
              <w:t>of</w:t>
            </w:r>
            <w:r w:rsidRPr="0047654E">
              <w:t xml:space="preserve"> total</w:t>
            </w:r>
          </w:p>
        </w:tc>
        <w:tc>
          <w:tcPr>
            <w:tcW w:w="2551" w:type="dxa"/>
            <w:shd w:val="clear" w:color="auto" w:fill="F1F1F1"/>
            <w:tcMar>
              <w:top w:w="85" w:type="dxa"/>
              <w:left w:w="85" w:type="dxa"/>
              <w:bottom w:w="85" w:type="dxa"/>
              <w:right w:w="85" w:type="dxa"/>
            </w:tcMar>
          </w:tcPr>
          <w:p w14:paraId="7590D85F" w14:textId="77777777" w:rsidR="00FA2AB6" w:rsidRPr="0047654E" w:rsidRDefault="00B64E1C" w:rsidP="007F09E7">
            <w:pPr>
              <w:pStyle w:val="TableParagraph"/>
            </w:pPr>
            <w:r w:rsidRPr="0047654E">
              <w:t>92%</w:t>
            </w:r>
          </w:p>
        </w:tc>
        <w:tc>
          <w:tcPr>
            <w:tcW w:w="2835" w:type="dxa"/>
            <w:shd w:val="clear" w:color="auto" w:fill="F1F1F1"/>
            <w:tcMar>
              <w:top w:w="85" w:type="dxa"/>
              <w:left w:w="85" w:type="dxa"/>
              <w:bottom w:w="85" w:type="dxa"/>
              <w:right w:w="85" w:type="dxa"/>
            </w:tcMar>
          </w:tcPr>
          <w:p w14:paraId="50C9ADD2" w14:textId="77777777" w:rsidR="00FA2AB6" w:rsidRPr="0047654E" w:rsidRDefault="00B64E1C" w:rsidP="007F09E7">
            <w:pPr>
              <w:pStyle w:val="TableParagraph"/>
            </w:pPr>
            <w:r w:rsidRPr="0047654E">
              <w:t>8%</w:t>
            </w:r>
          </w:p>
        </w:tc>
        <w:tc>
          <w:tcPr>
            <w:tcW w:w="2410" w:type="dxa"/>
            <w:shd w:val="clear" w:color="auto" w:fill="F1F1F1"/>
            <w:tcMar>
              <w:top w:w="85" w:type="dxa"/>
              <w:left w:w="85" w:type="dxa"/>
              <w:bottom w:w="85" w:type="dxa"/>
              <w:right w:w="85" w:type="dxa"/>
            </w:tcMar>
          </w:tcPr>
          <w:p w14:paraId="641E2E20" w14:textId="77777777" w:rsidR="00FA2AB6" w:rsidRPr="0047654E" w:rsidRDefault="00FA2AB6" w:rsidP="007F09E7">
            <w:pPr>
              <w:pStyle w:val="TableParagraph"/>
            </w:pPr>
          </w:p>
        </w:tc>
      </w:tr>
    </w:tbl>
    <w:p w14:paraId="3EB6B7CE" w14:textId="6FB46916" w:rsidR="006855E7" w:rsidRPr="00D519D6" w:rsidRDefault="004D7A4A" w:rsidP="00D519D6">
      <w:pPr>
        <w:pStyle w:val="Caption"/>
      </w:pPr>
      <w:r w:rsidRPr="00D519D6">
        <w:t xml:space="preserve">*Provider payments data for FY2020-2021 is current up to 28 February 2021, so figures for this financial year do not include the total value of </w:t>
      </w:r>
      <w:r w:rsidR="00467A51" w:rsidRPr="00D519D6">
        <w:t>provider</w:t>
      </w:r>
      <w:r w:rsidRPr="00D519D6">
        <w:t xml:space="preserve"> payments made in the rest of this financial year</w:t>
      </w:r>
    </w:p>
    <w:p w14:paraId="55122FCD" w14:textId="250F1D7F" w:rsidR="00CD4C3B" w:rsidRDefault="00460B5E" w:rsidP="00305B4B">
      <w:pPr>
        <w:pStyle w:val="BodyText"/>
        <w:ind w:right="3"/>
      </w:pPr>
      <w:r>
        <w:t>T</w:t>
      </w:r>
      <w:r w:rsidR="0000541A">
        <w:t xml:space="preserve">his </w:t>
      </w:r>
      <w:r w:rsidR="006855E7">
        <w:t xml:space="preserve">analysis indicates </w:t>
      </w:r>
      <w:r w:rsidR="003F00D3">
        <w:t>that TWES is underspent</w:t>
      </w:r>
      <w:r w:rsidR="001E1CFE">
        <w:t xml:space="preserve">, with $5.95m spent on </w:t>
      </w:r>
      <w:r w:rsidR="00D61836">
        <w:t xml:space="preserve">provider </w:t>
      </w:r>
      <w:r w:rsidR="001E1CFE">
        <w:t xml:space="preserve">payments (as of 28 February 2021) out of an initial commitment of </w:t>
      </w:r>
      <w:r w:rsidR="00086464">
        <w:t xml:space="preserve">$24m </w:t>
      </w:r>
      <w:r w:rsidR="00852BEC">
        <w:t>over fo</w:t>
      </w:r>
      <w:r w:rsidR="00E65320">
        <w:t>ur years</w:t>
      </w:r>
      <w:r w:rsidR="001E1CFE">
        <w:t>.</w:t>
      </w:r>
      <w:r w:rsidR="00747508">
        <w:t xml:space="preserve"> These </w:t>
      </w:r>
      <w:r w:rsidR="00D61836">
        <w:t xml:space="preserve">provider </w:t>
      </w:r>
      <w:r w:rsidR="00747508">
        <w:t xml:space="preserve">payments represent approximately 25% of </w:t>
      </w:r>
      <w:r w:rsidR="00D953AA">
        <w:t>the original committed budget.</w:t>
      </w:r>
      <w:r w:rsidR="00774053">
        <w:t xml:space="preserve"> </w:t>
      </w:r>
      <w:r w:rsidR="00EB085E">
        <w:t>Th</w:t>
      </w:r>
      <w:r w:rsidR="00D2074C">
        <w:t>e</w:t>
      </w:r>
      <w:r w:rsidR="00EB085E">
        <w:t xml:space="preserve"> underspend appears due to</w:t>
      </w:r>
      <w:r w:rsidR="00911363">
        <w:t xml:space="preserve"> a combination of</w:t>
      </w:r>
      <w:r w:rsidR="00EB085E">
        <w:t xml:space="preserve"> </w:t>
      </w:r>
      <w:r w:rsidR="00F1568B">
        <w:t xml:space="preserve">delays in the implementation and commencement of </w:t>
      </w:r>
      <w:r w:rsidR="003E01F1">
        <w:t xml:space="preserve">service delivery in some </w:t>
      </w:r>
      <w:r w:rsidR="00B63B84">
        <w:t>states</w:t>
      </w:r>
      <w:r w:rsidR="003E01F1">
        <w:t>/</w:t>
      </w:r>
      <w:r w:rsidR="00B63B84">
        <w:t xml:space="preserve">territories </w:t>
      </w:r>
      <w:r w:rsidR="003E01F1">
        <w:t xml:space="preserve">(see </w:t>
      </w:r>
      <w:r w:rsidR="0016590B">
        <w:t xml:space="preserve">page </w:t>
      </w:r>
      <w:r w:rsidR="0016590B">
        <w:fldChar w:fldCharType="begin"/>
      </w:r>
      <w:r w:rsidR="0016590B">
        <w:instrText xml:space="preserve"> PAGEREF _Ref72781022 \h </w:instrText>
      </w:r>
      <w:r w:rsidR="0016590B">
        <w:fldChar w:fldCharType="separate"/>
      </w:r>
      <w:r w:rsidR="00B624F4">
        <w:rPr>
          <w:noProof/>
        </w:rPr>
        <w:t>27</w:t>
      </w:r>
      <w:r w:rsidR="0016590B">
        <w:fldChar w:fldCharType="end"/>
      </w:r>
      <w:r w:rsidR="003E01F1">
        <w:t>)</w:t>
      </w:r>
      <w:r w:rsidR="0016590B">
        <w:t>,</w:t>
      </w:r>
      <w:r w:rsidR="003E01F1">
        <w:t xml:space="preserve"> </w:t>
      </w:r>
      <w:r w:rsidR="003557B1">
        <w:t xml:space="preserve">and </w:t>
      </w:r>
      <w:r w:rsidR="00A45ED2">
        <w:t xml:space="preserve">the </w:t>
      </w:r>
      <w:r w:rsidR="00E33C6E">
        <w:t xml:space="preserve">lower than expected </w:t>
      </w:r>
      <w:r w:rsidR="00A45ED2">
        <w:t>proportion of TWES participants receiving an Approved Transition Plan</w:t>
      </w:r>
      <w:r w:rsidR="003E0690">
        <w:t xml:space="preserve"> (</w:t>
      </w:r>
      <w:r w:rsidR="00E33C6E">
        <w:t>40% of all participants),</w:t>
      </w:r>
      <w:r w:rsidR="00A45ED2">
        <w:t xml:space="preserve"> which must be achieved to receive the Transition Plan </w:t>
      </w:r>
      <w:r w:rsidR="00106CE6">
        <w:t>F</w:t>
      </w:r>
      <w:r w:rsidR="00A45ED2">
        <w:t>ee</w:t>
      </w:r>
      <w:r w:rsidR="003E0690">
        <w:t>.</w:t>
      </w:r>
      <w:r w:rsidR="00ED7F9E">
        <w:t xml:space="preserve"> </w:t>
      </w:r>
      <w:r w:rsidR="00D91110">
        <w:t>However, the underspend has decreased with each financial year as uptake of the service and provider payments have increased (</w:t>
      </w:r>
      <w:r w:rsidR="00D91110" w:rsidRPr="00342C44">
        <w:rPr>
          <w:b/>
          <w:bCs/>
        </w:rPr>
        <w:fldChar w:fldCharType="begin"/>
      </w:r>
      <w:r w:rsidR="00D91110" w:rsidRPr="00342C44">
        <w:rPr>
          <w:b/>
          <w:bCs/>
        </w:rPr>
        <w:instrText xml:space="preserve"> REF _Ref71659820 \h </w:instrText>
      </w:r>
      <w:r w:rsidR="00D91110">
        <w:rPr>
          <w:b/>
          <w:bCs/>
        </w:rPr>
        <w:instrText xml:space="preserve"> \* MERGEFORMAT </w:instrText>
      </w:r>
      <w:r w:rsidR="00D91110" w:rsidRPr="00342C44">
        <w:rPr>
          <w:b/>
          <w:bCs/>
        </w:rPr>
      </w:r>
      <w:r w:rsidR="00D91110" w:rsidRPr="00342C44">
        <w:rPr>
          <w:b/>
          <w:bCs/>
        </w:rPr>
        <w:fldChar w:fldCharType="separate"/>
      </w:r>
      <w:r w:rsidR="00B624F4" w:rsidRPr="00B624F4">
        <w:rPr>
          <w:rFonts w:asciiTheme="minorHAnsi" w:hAnsiTheme="minorHAnsi" w:cstheme="minorHAnsi"/>
          <w:b/>
          <w:bCs/>
        </w:rPr>
        <w:t xml:space="preserve">Table </w:t>
      </w:r>
      <w:r w:rsidR="00B624F4" w:rsidRPr="00B624F4">
        <w:rPr>
          <w:rFonts w:asciiTheme="minorHAnsi" w:hAnsiTheme="minorHAnsi" w:cstheme="minorHAnsi"/>
          <w:b/>
          <w:bCs/>
          <w:noProof/>
        </w:rPr>
        <w:t>15</w:t>
      </w:r>
      <w:r w:rsidR="00D91110" w:rsidRPr="00342C44">
        <w:rPr>
          <w:b/>
          <w:bCs/>
        </w:rPr>
        <w:fldChar w:fldCharType="end"/>
      </w:r>
      <w:r w:rsidR="00D91110">
        <w:t xml:space="preserve">). </w:t>
      </w:r>
      <w:r w:rsidR="00D2074C">
        <w:t xml:space="preserve">Furthermore, this </w:t>
      </w:r>
      <w:r w:rsidR="00D91110">
        <w:t xml:space="preserve">analysis excludes other costs and payments, including payments to Services Australia to conduct ESAts with TWES participants. </w:t>
      </w:r>
    </w:p>
    <w:p w14:paraId="573EC10A" w14:textId="014B637A" w:rsidR="003F00D3" w:rsidRPr="00C37B02" w:rsidRDefault="0064559D" w:rsidP="00305B4B">
      <w:pPr>
        <w:pStyle w:val="BodyText"/>
        <w:ind w:right="3"/>
      </w:pPr>
      <w:r w:rsidRPr="00C37B02">
        <w:t xml:space="preserve">The evaluation identifies </w:t>
      </w:r>
      <w:r w:rsidR="0055282C" w:rsidRPr="00C37B02">
        <w:t xml:space="preserve">options for </w:t>
      </w:r>
      <w:r w:rsidR="00822156" w:rsidRPr="00C37B02">
        <w:t xml:space="preserve">how the Commonwealth and </w:t>
      </w:r>
      <w:r w:rsidR="00B63B84" w:rsidRPr="00C37B02">
        <w:t>state</w:t>
      </w:r>
      <w:r w:rsidR="00822156" w:rsidRPr="00C37B02">
        <w:t>/</w:t>
      </w:r>
      <w:r w:rsidR="00B63B84" w:rsidRPr="00C37B02">
        <w:t xml:space="preserve">territory </w:t>
      </w:r>
      <w:r w:rsidR="00854476" w:rsidRPr="00C37B02">
        <w:t>g</w:t>
      </w:r>
      <w:r w:rsidR="00822156" w:rsidRPr="00C37B02">
        <w:t xml:space="preserve">overnments </w:t>
      </w:r>
      <w:r w:rsidR="006D4633" w:rsidRPr="00C37B02">
        <w:t xml:space="preserve">to </w:t>
      </w:r>
      <w:r w:rsidR="00167C05" w:rsidRPr="00C37B02">
        <w:t>increase the successful completion of servicing activities, including Approved Transition Plans</w:t>
      </w:r>
      <w:r w:rsidR="006C5055" w:rsidRPr="00C37B02">
        <w:t>.</w:t>
      </w:r>
    </w:p>
    <w:p w14:paraId="0BF3D242" w14:textId="654ECB2A" w:rsidR="00ED7F9E" w:rsidRPr="00AF317B" w:rsidRDefault="00520785" w:rsidP="00305B4B">
      <w:pPr>
        <w:pStyle w:val="Heading4"/>
        <w:ind w:right="3"/>
      </w:pPr>
      <w:r w:rsidRPr="00AF317B">
        <w:lastRenderedPageBreak/>
        <w:t>St</w:t>
      </w:r>
      <w:r w:rsidR="009534B5" w:rsidRPr="00AF317B">
        <w:t xml:space="preserve">akeholder views on TWES </w:t>
      </w:r>
      <w:r w:rsidR="00D61836">
        <w:t>p</w:t>
      </w:r>
      <w:r w:rsidR="00D61836" w:rsidRPr="00AF317B">
        <w:t xml:space="preserve">rovider </w:t>
      </w:r>
      <w:r w:rsidR="009534B5" w:rsidRPr="00AF317B">
        <w:t>payment levels</w:t>
      </w:r>
    </w:p>
    <w:p w14:paraId="46916576" w14:textId="1C4F0B93" w:rsidR="00323889" w:rsidRPr="00C37B02" w:rsidRDefault="0022295C" w:rsidP="00305B4B">
      <w:pPr>
        <w:pStyle w:val="BodyText"/>
        <w:ind w:right="3"/>
      </w:pPr>
      <w:r w:rsidRPr="00C37B02">
        <w:t xml:space="preserve">TWES </w:t>
      </w:r>
      <w:r w:rsidR="00D61836" w:rsidRPr="00C37B02">
        <w:t xml:space="preserve">providers’ </w:t>
      </w:r>
      <w:r w:rsidRPr="00C37B02">
        <w:t xml:space="preserve">views on whether </w:t>
      </w:r>
      <w:r w:rsidR="002D5A73" w:rsidRPr="00C37B02">
        <w:t xml:space="preserve">payment </w:t>
      </w:r>
      <w:r w:rsidRPr="00C37B02">
        <w:t xml:space="preserve">levels were sufficient </w:t>
      </w:r>
      <w:r w:rsidR="002D5A73" w:rsidRPr="00C37B02">
        <w:t xml:space="preserve">to cover actual delivery costs </w:t>
      </w:r>
      <w:r w:rsidRPr="00C37B02">
        <w:t>varied</w:t>
      </w:r>
      <w:r w:rsidR="002D5A73" w:rsidRPr="00C37B02">
        <w:t>. S</w:t>
      </w:r>
      <w:r w:rsidR="00C56D4C" w:rsidRPr="00C37B02">
        <w:t>i</w:t>
      </w:r>
      <w:r w:rsidR="002D5A73" w:rsidRPr="00C37B02">
        <w:t xml:space="preserve">x </w:t>
      </w:r>
      <w:r w:rsidRPr="00C37B02">
        <w:t xml:space="preserve">out of the 17 </w:t>
      </w:r>
      <w:r w:rsidR="009703F0" w:rsidRPr="00C37B02">
        <w:t xml:space="preserve">TWES </w:t>
      </w:r>
      <w:r w:rsidR="00D61836" w:rsidRPr="00C37B02">
        <w:t xml:space="preserve">providers </w:t>
      </w:r>
      <w:r w:rsidRPr="00C37B02">
        <w:t>interviewed stat</w:t>
      </w:r>
      <w:r w:rsidR="009703F0" w:rsidRPr="00C37B02">
        <w:t xml:space="preserve">ed </w:t>
      </w:r>
      <w:r w:rsidRPr="00C37B02">
        <w:t>that funding was insufficient</w:t>
      </w:r>
      <w:r w:rsidR="009703F0" w:rsidRPr="00C37B02">
        <w:t xml:space="preserve"> to cover actual delivery costs</w:t>
      </w:r>
      <w:r w:rsidRPr="00C37B02">
        <w:t xml:space="preserve">, and </w:t>
      </w:r>
      <w:r w:rsidR="00C56D4C" w:rsidRPr="00C37B02">
        <w:t>two</w:t>
      </w:r>
      <w:r w:rsidRPr="00C37B02">
        <w:t xml:space="preserve"> stat</w:t>
      </w:r>
      <w:r w:rsidR="009703F0" w:rsidRPr="00C37B02">
        <w:t>ed</w:t>
      </w:r>
      <w:r w:rsidRPr="00C37B02">
        <w:t xml:space="preserve"> that it was sufficient</w:t>
      </w:r>
      <w:r w:rsidR="00C56D4C" w:rsidRPr="00C37B02">
        <w:t xml:space="preserve"> </w:t>
      </w:r>
      <w:r w:rsidRPr="00C37B02">
        <w:t>(the othe</w:t>
      </w:r>
      <w:r w:rsidR="008B1097" w:rsidRPr="00C37B02">
        <w:t>r</w:t>
      </w:r>
      <w:r w:rsidRPr="00C37B02">
        <w:t xml:space="preserve"> </w:t>
      </w:r>
      <w:r w:rsidR="008D00D4" w:rsidRPr="00C37B02">
        <w:t>eleven</w:t>
      </w:r>
      <w:r w:rsidRPr="00C37B02">
        <w:t xml:space="preserve"> </w:t>
      </w:r>
      <w:r w:rsidR="008D00D4" w:rsidRPr="00C37B02">
        <w:t xml:space="preserve">TWES </w:t>
      </w:r>
      <w:r w:rsidR="00D61836" w:rsidRPr="00C37B02">
        <w:t xml:space="preserve">providers </w:t>
      </w:r>
      <w:r w:rsidR="008B1097" w:rsidRPr="00C37B02">
        <w:t>provid</w:t>
      </w:r>
      <w:r w:rsidR="008D00D4" w:rsidRPr="00C37B02">
        <w:t>ed</w:t>
      </w:r>
      <w:r w:rsidR="008B1097" w:rsidRPr="00C37B02">
        <w:t xml:space="preserve"> no information or comment). </w:t>
      </w:r>
      <w:r w:rsidR="00DC5E9D" w:rsidRPr="00C37B02">
        <w:t>Those raising concerns about costs stated:</w:t>
      </w:r>
    </w:p>
    <w:p w14:paraId="5F83A8FE" w14:textId="606F830D" w:rsidR="003E3875" w:rsidRPr="00FF3D15" w:rsidRDefault="00D83B96" w:rsidP="00305B4B">
      <w:pPr>
        <w:pStyle w:val="Bulletedlist"/>
        <w:ind w:right="3"/>
      </w:pPr>
      <w:r w:rsidRPr="00FF3D15">
        <w:rPr>
          <w:spacing w:val="-1"/>
        </w:rPr>
        <w:t>While</w:t>
      </w:r>
      <w:r w:rsidRPr="00FF3D15">
        <w:rPr>
          <w:spacing w:val="-5"/>
        </w:rPr>
        <w:t xml:space="preserve"> </w:t>
      </w:r>
      <w:r w:rsidRPr="00FF3D15">
        <w:rPr>
          <w:spacing w:val="-1"/>
        </w:rPr>
        <w:t>the</w:t>
      </w:r>
      <w:r w:rsidRPr="00FF3D15">
        <w:rPr>
          <w:spacing w:val="-5"/>
        </w:rPr>
        <w:t xml:space="preserve"> </w:t>
      </w:r>
      <w:r w:rsidRPr="00FF3D15">
        <w:t>TWES</w:t>
      </w:r>
      <w:r w:rsidRPr="00FF3D15">
        <w:rPr>
          <w:spacing w:val="-7"/>
        </w:rPr>
        <w:t xml:space="preserve"> </w:t>
      </w:r>
      <w:r w:rsidRPr="00FF3D15">
        <w:t>servicing</w:t>
      </w:r>
      <w:r w:rsidRPr="00FF3D15">
        <w:rPr>
          <w:spacing w:val="-6"/>
        </w:rPr>
        <w:t xml:space="preserve"> </w:t>
      </w:r>
      <w:r w:rsidRPr="00FF3D15">
        <w:t>guidelines</w:t>
      </w:r>
      <w:r w:rsidRPr="00FF3D15">
        <w:rPr>
          <w:spacing w:val="-5"/>
        </w:rPr>
        <w:t xml:space="preserve"> </w:t>
      </w:r>
      <w:r w:rsidRPr="00FF3D15">
        <w:t>suggest</w:t>
      </w:r>
      <w:r w:rsidRPr="00FF3D15">
        <w:rPr>
          <w:spacing w:val="-7"/>
        </w:rPr>
        <w:t xml:space="preserve"> </w:t>
      </w:r>
      <w:r w:rsidRPr="00FF3D15">
        <w:rPr>
          <w:spacing w:val="-1"/>
        </w:rPr>
        <w:t>three</w:t>
      </w:r>
      <w:r w:rsidRPr="00FF3D15">
        <w:rPr>
          <w:spacing w:val="-5"/>
        </w:rPr>
        <w:t xml:space="preserve"> </w:t>
      </w:r>
      <w:r w:rsidRPr="00FF3D15">
        <w:t>separate</w:t>
      </w:r>
      <w:r w:rsidRPr="00FF3D15">
        <w:rPr>
          <w:spacing w:val="-6"/>
        </w:rPr>
        <w:t xml:space="preserve"> </w:t>
      </w:r>
      <w:r w:rsidRPr="00FF3D15">
        <w:t>visits</w:t>
      </w:r>
      <w:r w:rsidR="002D16F1" w:rsidRPr="00FF3D15">
        <w:rPr>
          <w:spacing w:val="-1"/>
        </w:rPr>
        <w:t xml:space="preserve"> </w:t>
      </w:r>
      <w:r w:rsidR="002D16F1" w:rsidRPr="00FF3D15">
        <w:t>over</w:t>
      </w:r>
      <w:r w:rsidR="002D16F1" w:rsidRPr="00FF3D15">
        <w:rPr>
          <w:spacing w:val="-6"/>
        </w:rPr>
        <w:t xml:space="preserve"> </w:t>
      </w:r>
      <w:r w:rsidR="002D16F1" w:rsidRPr="00FF3D15">
        <w:t>a</w:t>
      </w:r>
      <w:r w:rsidR="002D16F1" w:rsidRPr="00FF3D15">
        <w:rPr>
          <w:spacing w:val="-5"/>
        </w:rPr>
        <w:t xml:space="preserve"> </w:t>
      </w:r>
      <w:r w:rsidR="002D16F1" w:rsidRPr="00FF3D15">
        <w:t>three</w:t>
      </w:r>
      <w:r w:rsidR="002D16F1" w:rsidRPr="00FF3D15">
        <w:rPr>
          <w:spacing w:val="-7"/>
        </w:rPr>
        <w:t xml:space="preserve"> </w:t>
      </w:r>
      <w:r w:rsidR="002D16F1" w:rsidRPr="00FF3D15">
        <w:rPr>
          <w:spacing w:val="-1"/>
        </w:rPr>
        <w:t>to</w:t>
      </w:r>
      <w:r w:rsidR="002D16F1" w:rsidRPr="00FF3D15">
        <w:rPr>
          <w:spacing w:val="-5"/>
        </w:rPr>
        <w:t xml:space="preserve"> </w:t>
      </w:r>
      <w:r w:rsidR="002D16F1" w:rsidRPr="00FF3D15">
        <w:t>four-month</w:t>
      </w:r>
      <w:r w:rsidR="002D16F1" w:rsidRPr="00FF3D15">
        <w:rPr>
          <w:spacing w:val="32"/>
          <w:w w:val="99"/>
        </w:rPr>
        <w:t xml:space="preserve"> </w:t>
      </w:r>
      <w:r w:rsidR="002D16F1" w:rsidRPr="00FF3D15">
        <w:rPr>
          <w:spacing w:val="-1"/>
        </w:rPr>
        <w:t>period,</w:t>
      </w:r>
      <w:r w:rsidR="003E3875" w:rsidRPr="00FF3D15">
        <w:rPr>
          <w:spacing w:val="-7"/>
        </w:rPr>
        <w:t xml:space="preserve"> </w:t>
      </w:r>
      <w:r w:rsidR="003E3875" w:rsidRPr="00FF3D15">
        <w:t>some</w:t>
      </w:r>
      <w:r w:rsidR="003E3875" w:rsidRPr="00FF3D15">
        <w:rPr>
          <w:spacing w:val="-7"/>
        </w:rPr>
        <w:t xml:space="preserve"> </w:t>
      </w:r>
      <w:r w:rsidR="003E3875" w:rsidRPr="00FF3D15">
        <w:t>TWES</w:t>
      </w:r>
      <w:r w:rsidR="003E3875" w:rsidRPr="00FF3D15">
        <w:rPr>
          <w:spacing w:val="-7"/>
        </w:rPr>
        <w:t xml:space="preserve"> </w:t>
      </w:r>
      <w:r w:rsidR="00D61836">
        <w:t>p</w:t>
      </w:r>
      <w:r w:rsidR="00D61836" w:rsidRPr="00FF3D15">
        <w:t>roviders</w:t>
      </w:r>
      <w:r w:rsidR="00D61836" w:rsidRPr="00FF3D15">
        <w:rPr>
          <w:spacing w:val="-5"/>
        </w:rPr>
        <w:t xml:space="preserve"> </w:t>
      </w:r>
      <w:r w:rsidR="003E3875" w:rsidRPr="00FF3D15">
        <w:t>and</w:t>
      </w:r>
      <w:r w:rsidR="003E3875" w:rsidRPr="00FF3D15">
        <w:rPr>
          <w:spacing w:val="-6"/>
        </w:rPr>
        <w:t xml:space="preserve"> </w:t>
      </w:r>
      <w:r w:rsidR="00467A51">
        <w:t>corrections</w:t>
      </w:r>
      <w:r w:rsidR="003E3875" w:rsidRPr="00FF3D15">
        <w:rPr>
          <w:spacing w:val="-6"/>
        </w:rPr>
        <w:t xml:space="preserve"> </w:t>
      </w:r>
      <w:r w:rsidR="003E3875" w:rsidRPr="00FF3D15">
        <w:rPr>
          <w:spacing w:val="-1"/>
        </w:rPr>
        <w:t>staff</w:t>
      </w:r>
      <w:r w:rsidR="003E3875" w:rsidRPr="00FF3D15">
        <w:rPr>
          <w:spacing w:val="-5"/>
        </w:rPr>
        <w:t xml:space="preserve"> </w:t>
      </w:r>
      <w:r w:rsidR="003E3875" w:rsidRPr="00FF3D15">
        <w:t>expressed</w:t>
      </w:r>
      <w:r w:rsidR="003E3875" w:rsidRPr="00FF3D15">
        <w:rPr>
          <w:spacing w:val="-7"/>
        </w:rPr>
        <w:t xml:space="preserve"> </w:t>
      </w:r>
      <w:r w:rsidR="003E3875" w:rsidRPr="00FF3D15">
        <w:t>that</w:t>
      </w:r>
      <w:r w:rsidR="003E3875" w:rsidRPr="00FF3D15">
        <w:rPr>
          <w:spacing w:val="-7"/>
        </w:rPr>
        <w:t xml:space="preserve"> </w:t>
      </w:r>
      <w:r w:rsidR="003E3875" w:rsidRPr="00FF3D15">
        <w:t>more</w:t>
      </w:r>
      <w:r w:rsidR="003E3875" w:rsidRPr="00FF3D15">
        <w:rPr>
          <w:spacing w:val="-7"/>
        </w:rPr>
        <w:t xml:space="preserve"> </w:t>
      </w:r>
      <w:r w:rsidR="003E3875" w:rsidRPr="00FF3D15">
        <w:t>visits</w:t>
      </w:r>
      <w:r w:rsidR="003E3875" w:rsidRPr="00FF3D15">
        <w:rPr>
          <w:spacing w:val="-4"/>
        </w:rPr>
        <w:t xml:space="preserve"> </w:t>
      </w:r>
      <w:r w:rsidR="003E3875" w:rsidRPr="00FF3D15">
        <w:t>and/or</w:t>
      </w:r>
      <w:r w:rsidR="003E3875" w:rsidRPr="00FF3D15">
        <w:rPr>
          <w:spacing w:val="-6"/>
        </w:rPr>
        <w:t xml:space="preserve"> </w:t>
      </w:r>
      <w:r w:rsidR="003E3875" w:rsidRPr="00FF3D15">
        <w:t>a</w:t>
      </w:r>
      <w:r w:rsidR="003E3875" w:rsidRPr="00FF3D15">
        <w:rPr>
          <w:spacing w:val="-5"/>
        </w:rPr>
        <w:t xml:space="preserve"> </w:t>
      </w:r>
      <w:r w:rsidR="003E3875" w:rsidRPr="00FF3D15">
        <w:rPr>
          <w:spacing w:val="-1"/>
        </w:rPr>
        <w:t>longer</w:t>
      </w:r>
      <w:r w:rsidR="003E3875">
        <w:rPr>
          <w:spacing w:val="-1"/>
        </w:rPr>
        <w:t xml:space="preserve"> </w:t>
      </w:r>
      <w:r w:rsidR="003E3875" w:rsidRPr="00FF3D15">
        <w:rPr>
          <w:spacing w:val="-1"/>
        </w:rPr>
        <w:t>timeframe</w:t>
      </w:r>
      <w:r w:rsidR="003E3875" w:rsidRPr="00FF3D15">
        <w:rPr>
          <w:spacing w:val="-6"/>
        </w:rPr>
        <w:t xml:space="preserve"> </w:t>
      </w:r>
      <w:r w:rsidR="003E3875" w:rsidRPr="00FF3D15">
        <w:rPr>
          <w:spacing w:val="-1"/>
        </w:rPr>
        <w:t>would</w:t>
      </w:r>
      <w:r w:rsidR="003E3875" w:rsidRPr="00FF3D15">
        <w:rPr>
          <w:spacing w:val="-5"/>
        </w:rPr>
        <w:t xml:space="preserve"> </w:t>
      </w:r>
      <w:r w:rsidR="003E3875" w:rsidRPr="00FF3D15">
        <w:t>help</w:t>
      </w:r>
      <w:r w:rsidR="003E3875" w:rsidRPr="00FF3D15">
        <w:rPr>
          <w:spacing w:val="-7"/>
        </w:rPr>
        <w:t xml:space="preserve"> </w:t>
      </w:r>
      <w:r w:rsidR="003E3875" w:rsidRPr="00FF3D15">
        <w:t>to</w:t>
      </w:r>
      <w:r w:rsidR="003E3875" w:rsidRPr="00FF3D15">
        <w:rPr>
          <w:spacing w:val="-7"/>
        </w:rPr>
        <w:t xml:space="preserve"> </w:t>
      </w:r>
      <w:r w:rsidR="003E3875" w:rsidRPr="00FF3D15">
        <w:t>build</w:t>
      </w:r>
      <w:r w:rsidR="003E3875" w:rsidRPr="00FF3D15">
        <w:rPr>
          <w:spacing w:val="-7"/>
        </w:rPr>
        <w:t xml:space="preserve"> </w:t>
      </w:r>
      <w:r w:rsidR="003E3875" w:rsidRPr="00FF3D15">
        <w:t>a</w:t>
      </w:r>
      <w:r w:rsidR="003E3875" w:rsidRPr="00FF3D15">
        <w:rPr>
          <w:spacing w:val="-5"/>
        </w:rPr>
        <w:t xml:space="preserve"> </w:t>
      </w:r>
      <w:r w:rsidR="003E3875" w:rsidRPr="00FF3D15">
        <w:t>better</w:t>
      </w:r>
      <w:r w:rsidR="003E3875" w:rsidRPr="00FF3D15">
        <w:rPr>
          <w:spacing w:val="-7"/>
        </w:rPr>
        <w:t xml:space="preserve"> </w:t>
      </w:r>
      <w:r w:rsidR="003E3875" w:rsidRPr="00FF3D15">
        <w:t>relationship</w:t>
      </w:r>
      <w:r w:rsidR="003E3875" w:rsidRPr="00FF3D15">
        <w:rPr>
          <w:spacing w:val="-7"/>
        </w:rPr>
        <w:t xml:space="preserve"> </w:t>
      </w:r>
      <w:r w:rsidR="003E3875" w:rsidRPr="00FF3D15">
        <w:t>with</w:t>
      </w:r>
      <w:r w:rsidR="003E3875" w:rsidRPr="00FF3D15">
        <w:rPr>
          <w:spacing w:val="-4"/>
        </w:rPr>
        <w:t xml:space="preserve"> </w:t>
      </w:r>
      <w:r w:rsidR="003E3875" w:rsidRPr="00FF3D15">
        <w:t>participants</w:t>
      </w:r>
      <w:r w:rsidR="003E3875" w:rsidRPr="00FF3D15">
        <w:rPr>
          <w:spacing w:val="-6"/>
        </w:rPr>
        <w:t xml:space="preserve"> </w:t>
      </w:r>
      <w:r w:rsidR="003E3875" w:rsidRPr="00FF3D15">
        <w:rPr>
          <w:spacing w:val="-1"/>
        </w:rPr>
        <w:t>and</w:t>
      </w:r>
      <w:r w:rsidR="003E3875" w:rsidRPr="00FF3D15">
        <w:rPr>
          <w:spacing w:val="-5"/>
        </w:rPr>
        <w:t xml:space="preserve"> </w:t>
      </w:r>
      <w:r w:rsidR="003E3875" w:rsidRPr="00FF3D15">
        <w:t>successfully</w:t>
      </w:r>
      <w:r w:rsidR="003E3875" w:rsidRPr="00FF3D15">
        <w:rPr>
          <w:spacing w:val="-7"/>
        </w:rPr>
        <w:t xml:space="preserve"> </w:t>
      </w:r>
      <w:r w:rsidR="003E3875" w:rsidRPr="00FF3D15">
        <w:t>deliver</w:t>
      </w:r>
      <w:r w:rsidR="003E3875">
        <w:t xml:space="preserve"> </w:t>
      </w:r>
      <w:r w:rsidR="003E3875" w:rsidRPr="00FF3D15">
        <w:t>the</w:t>
      </w:r>
      <w:r w:rsidR="003E3875" w:rsidRPr="00FF3D15">
        <w:rPr>
          <w:spacing w:val="-11"/>
        </w:rPr>
        <w:t xml:space="preserve"> </w:t>
      </w:r>
      <w:r w:rsidR="003E3875" w:rsidRPr="00FF3D15">
        <w:t>service</w:t>
      </w:r>
      <w:r w:rsidR="001B327B">
        <w:t xml:space="preserve">, and that current payment levels are insufficient </w:t>
      </w:r>
      <w:r w:rsidR="00E85239">
        <w:t>to</w:t>
      </w:r>
      <w:r w:rsidR="001B327B">
        <w:t xml:space="preserve"> </w:t>
      </w:r>
      <w:r w:rsidR="00AE5758">
        <w:t>cover the cost of additional visits</w:t>
      </w:r>
      <w:r w:rsidR="003E3875" w:rsidRPr="00FF3D15">
        <w:t>.</w:t>
      </w:r>
    </w:p>
    <w:p w14:paraId="2C715F92" w14:textId="37292AAC" w:rsidR="002125A4" w:rsidRPr="00FF3D15" w:rsidRDefault="00CB4210" w:rsidP="00305B4B">
      <w:pPr>
        <w:pStyle w:val="Bulletedlist"/>
        <w:ind w:right="3"/>
      </w:pPr>
      <w:r w:rsidRPr="00FF3D15">
        <w:t>Five</w:t>
      </w:r>
      <w:r w:rsidRPr="00FF3D15">
        <w:rPr>
          <w:spacing w:val="-7"/>
        </w:rPr>
        <w:t xml:space="preserve"> </w:t>
      </w:r>
      <w:r w:rsidRPr="00FF3D15">
        <w:rPr>
          <w:spacing w:val="-1"/>
        </w:rPr>
        <w:t>p</w:t>
      </w:r>
      <w:r w:rsidR="002F6D0D" w:rsidRPr="00FF3D15">
        <w:rPr>
          <w:spacing w:val="-1"/>
        </w:rPr>
        <w:t>roviders</w:t>
      </w:r>
      <w:r w:rsidR="002F6D0D" w:rsidRPr="00FF3D15">
        <w:rPr>
          <w:spacing w:val="-4"/>
        </w:rPr>
        <w:t xml:space="preserve"> </w:t>
      </w:r>
      <w:r w:rsidR="00121BE2" w:rsidRPr="00FF3D15">
        <w:t>identified</w:t>
      </w:r>
      <w:r w:rsidR="00121BE2" w:rsidRPr="00FF3D15">
        <w:rPr>
          <w:spacing w:val="-6"/>
        </w:rPr>
        <w:t xml:space="preserve"> </w:t>
      </w:r>
      <w:r w:rsidR="00121BE2" w:rsidRPr="00FF3D15">
        <w:t>several</w:t>
      </w:r>
      <w:r w:rsidR="00121BE2" w:rsidRPr="00FF3D15">
        <w:rPr>
          <w:spacing w:val="-7"/>
        </w:rPr>
        <w:t xml:space="preserve"> </w:t>
      </w:r>
      <w:r w:rsidR="00121BE2" w:rsidRPr="00FF3D15">
        <w:t>unexpected</w:t>
      </w:r>
      <w:r w:rsidR="00121BE2" w:rsidRPr="00FF3D15">
        <w:rPr>
          <w:spacing w:val="-7"/>
        </w:rPr>
        <w:t xml:space="preserve"> </w:t>
      </w:r>
      <w:r w:rsidR="00121BE2" w:rsidRPr="00FF3D15">
        <w:rPr>
          <w:spacing w:val="-1"/>
        </w:rPr>
        <w:t>or</w:t>
      </w:r>
      <w:r w:rsidR="00121BE2" w:rsidRPr="00FF3D15">
        <w:rPr>
          <w:spacing w:val="-5"/>
        </w:rPr>
        <w:t xml:space="preserve"> </w:t>
      </w:r>
      <w:r w:rsidR="00121BE2" w:rsidRPr="00FF3D15">
        <w:t>additional</w:t>
      </w:r>
      <w:r w:rsidR="00121BE2" w:rsidRPr="00FF3D15">
        <w:rPr>
          <w:spacing w:val="-7"/>
        </w:rPr>
        <w:t xml:space="preserve"> </w:t>
      </w:r>
      <w:r w:rsidR="00121BE2" w:rsidRPr="00FF3D15">
        <w:t>costs</w:t>
      </w:r>
      <w:r w:rsidR="00121BE2" w:rsidRPr="00FF3D15">
        <w:rPr>
          <w:spacing w:val="-6"/>
        </w:rPr>
        <w:t xml:space="preserve"> </w:t>
      </w:r>
      <w:r w:rsidR="00121BE2" w:rsidRPr="00FF3D15">
        <w:rPr>
          <w:spacing w:val="1"/>
        </w:rPr>
        <w:t>that</w:t>
      </w:r>
      <w:r w:rsidR="00121BE2" w:rsidRPr="00FF3D15">
        <w:rPr>
          <w:spacing w:val="-6"/>
        </w:rPr>
        <w:t xml:space="preserve"> </w:t>
      </w:r>
      <w:r w:rsidR="00121BE2" w:rsidRPr="00FF3D15">
        <w:t>they</w:t>
      </w:r>
      <w:r w:rsidR="00121BE2" w:rsidRPr="00FF3D15">
        <w:rPr>
          <w:spacing w:val="-6"/>
        </w:rPr>
        <w:t xml:space="preserve"> </w:t>
      </w:r>
      <w:r w:rsidR="00121BE2" w:rsidRPr="00FF3D15">
        <w:t>need</w:t>
      </w:r>
      <w:r w:rsidR="00121BE2" w:rsidRPr="00FF3D15">
        <w:rPr>
          <w:spacing w:val="-4"/>
        </w:rPr>
        <w:t xml:space="preserve"> </w:t>
      </w:r>
      <w:r w:rsidR="00121BE2" w:rsidRPr="00FF3D15">
        <w:t>to</w:t>
      </w:r>
      <w:r w:rsidR="00121BE2" w:rsidRPr="00FF3D15">
        <w:rPr>
          <w:spacing w:val="-5"/>
        </w:rPr>
        <w:t xml:space="preserve"> </w:t>
      </w:r>
      <w:r w:rsidR="00121BE2" w:rsidRPr="00FF3D15">
        <w:t>bear</w:t>
      </w:r>
      <w:r w:rsidR="00121BE2" w:rsidRPr="00FF3D15">
        <w:rPr>
          <w:spacing w:val="-5"/>
        </w:rPr>
        <w:t xml:space="preserve"> </w:t>
      </w:r>
      <w:r w:rsidR="00121BE2" w:rsidRPr="00FF3D15">
        <w:t>to</w:t>
      </w:r>
      <w:r w:rsidR="00121BE2" w:rsidRPr="00FF3D15">
        <w:rPr>
          <w:spacing w:val="34"/>
          <w:w w:val="99"/>
        </w:rPr>
        <w:t xml:space="preserve"> </w:t>
      </w:r>
      <w:r w:rsidR="00121BE2" w:rsidRPr="00FF3D15">
        <w:t>deliver</w:t>
      </w:r>
      <w:r w:rsidR="00121BE2" w:rsidRPr="00FF3D15">
        <w:rPr>
          <w:spacing w:val="-6"/>
        </w:rPr>
        <w:t xml:space="preserve"> </w:t>
      </w:r>
      <w:r w:rsidR="00121BE2" w:rsidRPr="00FF3D15">
        <w:t>TWES.</w:t>
      </w:r>
      <w:r w:rsidR="00121BE2" w:rsidRPr="00FF3D15">
        <w:rPr>
          <w:spacing w:val="-7"/>
        </w:rPr>
        <w:t xml:space="preserve"> </w:t>
      </w:r>
      <w:r w:rsidR="00C20055" w:rsidRPr="00FF3D15">
        <w:rPr>
          <w:spacing w:val="-1"/>
        </w:rPr>
        <w:t>This</w:t>
      </w:r>
      <w:r w:rsidR="00C20055" w:rsidRPr="00FF3D15">
        <w:rPr>
          <w:spacing w:val="-4"/>
        </w:rPr>
        <w:t xml:space="preserve"> </w:t>
      </w:r>
      <w:r w:rsidR="00C20055" w:rsidRPr="00FF3D15">
        <w:t>included</w:t>
      </w:r>
      <w:r w:rsidR="00C20055" w:rsidRPr="00FF3D15">
        <w:rPr>
          <w:spacing w:val="-7"/>
        </w:rPr>
        <w:t xml:space="preserve"> </w:t>
      </w:r>
      <w:r w:rsidR="00C20055" w:rsidRPr="00FF3D15">
        <w:rPr>
          <w:spacing w:val="-1"/>
        </w:rPr>
        <w:t>work</w:t>
      </w:r>
      <w:r w:rsidR="00121BE2" w:rsidRPr="00FF3D15">
        <w:rPr>
          <w:spacing w:val="-3"/>
        </w:rPr>
        <w:t xml:space="preserve"> </w:t>
      </w:r>
      <w:r w:rsidR="00121BE2" w:rsidRPr="00FF3D15">
        <w:rPr>
          <w:spacing w:val="-1"/>
        </w:rPr>
        <w:t>required</w:t>
      </w:r>
      <w:r w:rsidR="00121BE2" w:rsidRPr="00FF3D15">
        <w:rPr>
          <w:spacing w:val="-5"/>
        </w:rPr>
        <w:t xml:space="preserve"> </w:t>
      </w:r>
      <w:r w:rsidR="00121BE2" w:rsidRPr="00FF3D15">
        <w:t>to</w:t>
      </w:r>
      <w:r w:rsidR="00121BE2" w:rsidRPr="00FF3D15">
        <w:rPr>
          <w:spacing w:val="-5"/>
        </w:rPr>
        <w:t xml:space="preserve"> </w:t>
      </w:r>
      <w:r w:rsidR="00121BE2" w:rsidRPr="00FF3D15">
        <w:t>organise</w:t>
      </w:r>
      <w:r w:rsidR="00121BE2" w:rsidRPr="00FF3D15">
        <w:rPr>
          <w:spacing w:val="-5"/>
        </w:rPr>
        <w:t xml:space="preserve"> </w:t>
      </w:r>
      <w:r w:rsidR="00121BE2" w:rsidRPr="00FF3D15">
        <w:t>visits</w:t>
      </w:r>
      <w:r w:rsidR="00A76C90" w:rsidRPr="00FF3D15">
        <w:t>,</w:t>
      </w:r>
      <w:r w:rsidR="00EF1BE7" w:rsidRPr="00FF3D15">
        <w:rPr>
          <w:spacing w:val="-7"/>
        </w:rPr>
        <w:t xml:space="preserve"> </w:t>
      </w:r>
      <w:r w:rsidR="00EF1BE7" w:rsidRPr="00FF3D15">
        <w:t>book</w:t>
      </w:r>
      <w:r w:rsidR="00EF1BE7" w:rsidRPr="00FF3D15">
        <w:rPr>
          <w:spacing w:val="-6"/>
        </w:rPr>
        <w:t xml:space="preserve"> </w:t>
      </w:r>
      <w:r w:rsidR="00EF1BE7" w:rsidRPr="00FF3D15">
        <w:rPr>
          <w:spacing w:val="-1"/>
        </w:rPr>
        <w:t>rooms</w:t>
      </w:r>
      <w:r w:rsidR="00EF1BE7" w:rsidRPr="00FF3D15">
        <w:rPr>
          <w:spacing w:val="-3"/>
        </w:rPr>
        <w:t xml:space="preserve"> </w:t>
      </w:r>
      <w:r w:rsidR="00EF1BE7" w:rsidRPr="00FF3D15">
        <w:rPr>
          <w:spacing w:val="-1"/>
        </w:rPr>
        <w:t>and</w:t>
      </w:r>
      <w:r w:rsidR="00EF1BE7" w:rsidRPr="00FF3D15">
        <w:rPr>
          <w:spacing w:val="-5"/>
        </w:rPr>
        <w:t xml:space="preserve"> </w:t>
      </w:r>
      <w:r w:rsidR="00EF1BE7" w:rsidRPr="00FF3D15">
        <w:t>facilities,</w:t>
      </w:r>
      <w:r w:rsidR="00A76C90">
        <w:t xml:space="preserve"> </w:t>
      </w:r>
      <w:r w:rsidR="00A76C90" w:rsidRPr="00FF3D15">
        <w:t>reschedule</w:t>
      </w:r>
      <w:r w:rsidR="00A76C90" w:rsidRPr="00FF3D15">
        <w:rPr>
          <w:spacing w:val="-7"/>
        </w:rPr>
        <w:t xml:space="preserve"> </w:t>
      </w:r>
      <w:r w:rsidR="0030514E" w:rsidRPr="00FF3D15">
        <w:t>visits</w:t>
      </w:r>
      <w:r w:rsidR="0030514E" w:rsidRPr="00FF3D15">
        <w:rPr>
          <w:spacing w:val="-2"/>
        </w:rPr>
        <w:t xml:space="preserve"> </w:t>
      </w:r>
      <w:r w:rsidR="00A76C90" w:rsidRPr="00FF3D15">
        <w:rPr>
          <w:spacing w:val="-1"/>
        </w:rPr>
        <w:t>in</w:t>
      </w:r>
      <w:r w:rsidR="00A76C90" w:rsidRPr="00FF3D15">
        <w:rPr>
          <w:spacing w:val="-6"/>
        </w:rPr>
        <w:t xml:space="preserve"> </w:t>
      </w:r>
      <w:r w:rsidR="00A76C90" w:rsidRPr="00FF3D15">
        <w:t>the</w:t>
      </w:r>
      <w:r w:rsidR="00A76C90" w:rsidRPr="00FF3D15">
        <w:rPr>
          <w:spacing w:val="-6"/>
        </w:rPr>
        <w:t xml:space="preserve"> </w:t>
      </w:r>
      <w:r w:rsidR="00A76C90" w:rsidRPr="00FF3D15">
        <w:t>event</w:t>
      </w:r>
      <w:r w:rsidR="00EF1BE7" w:rsidRPr="00FF3D15">
        <w:rPr>
          <w:spacing w:val="-6"/>
        </w:rPr>
        <w:t xml:space="preserve"> </w:t>
      </w:r>
      <w:r w:rsidR="00EF1BE7" w:rsidRPr="00FF3D15">
        <w:t>of</w:t>
      </w:r>
      <w:r w:rsidR="00EF1BE7" w:rsidRPr="00FF3D15">
        <w:rPr>
          <w:spacing w:val="-4"/>
        </w:rPr>
        <w:t xml:space="preserve"> </w:t>
      </w:r>
      <w:r w:rsidR="00EF1BE7" w:rsidRPr="00FF3D15">
        <w:rPr>
          <w:spacing w:val="-1"/>
        </w:rPr>
        <w:t>lock</w:t>
      </w:r>
      <w:r w:rsidR="00EF1BE7" w:rsidRPr="00FF3D15">
        <w:t>downs</w:t>
      </w:r>
      <w:r w:rsidR="00EF1BE7" w:rsidRPr="00FF3D15">
        <w:rPr>
          <w:spacing w:val="-6"/>
        </w:rPr>
        <w:t xml:space="preserve"> </w:t>
      </w:r>
      <w:r w:rsidR="00EF1BE7" w:rsidRPr="00FF3D15">
        <w:t>or</w:t>
      </w:r>
      <w:r w:rsidR="00EF1BE7" w:rsidRPr="00FF3D15">
        <w:rPr>
          <w:spacing w:val="-6"/>
        </w:rPr>
        <w:t xml:space="preserve"> </w:t>
      </w:r>
      <w:r w:rsidR="00EF1BE7" w:rsidRPr="00FF3D15">
        <w:t>other</w:t>
      </w:r>
      <w:r w:rsidR="00EF1BE7" w:rsidRPr="00FF3D15">
        <w:rPr>
          <w:spacing w:val="-5"/>
        </w:rPr>
        <w:t xml:space="preserve"> </w:t>
      </w:r>
      <w:r w:rsidR="00EF1BE7" w:rsidRPr="00FF3D15">
        <w:t>disruptive</w:t>
      </w:r>
      <w:r w:rsidR="00EF1BE7" w:rsidRPr="00FF3D15">
        <w:rPr>
          <w:spacing w:val="-6"/>
        </w:rPr>
        <w:t xml:space="preserve"> </w:t>
      </w:r>
      <w:r w:rsidR="00EF1BE7" w:rsidRPr="00FF3D15">
        <w:t>events,</w:t>
      </w:r>
      <w:r w:rsidR="00EF1BE7" w:rsidRPr="00FF3D15">
        <w:rPr>
          <w:spacing w:val="-6"/>
        </w:rPr>
        <w:t xml:space="preserve"> </w:t>
      </w:r>
      <w:r w:rsidR="00EF1BE7" w:rsidRPr="00FF3D15">
        <w:t>travel,</w:t>
      </w:r>
      <w:r w:rsidR="00EF1BE7" w:rsidRPr="00FF3D15">
        <w:rPr>
          <w:spacing w:val="-7"/>
        </w:rPr>
        <w:t xml:space="preserve"> </w:t>
      </w:r>
      <w:r w:rsidR="00EF1BE7" w:rsidRPr="00FF3D15">
        <w:t>security</w:t>
      </w:r>
      <w:r w:rsidR="00EF1BE7" w:rsidRPr="00FF3D15">
        <w:rPr>
          <w:spacing w:val="32"/>
          <w:w w:val="99"/>
        </w:rPr>
        <w:t xml:space="preserve"> </w:t>
      </w:r>
      <w:r w:rsidR="00EF1BE7" w:rsidRPr="00FF3D15">
        <w:rPr>
          <w:spacing w:val="-1"/>
        </w:rPr>
        <w:t>clearance</w:t>
      </w:r>
      <w:r w:rsidR="00EF1BE7" w:rsidRPr="00FF3D15">
        <w:rPr>
          <w:spacing w:val="-6"/>
        </w:rPr>
        <w:t xml:space="preserve"> </w:t>
      </w:r>
      <w:r w:rsidR="00EF1BE7" w:rsidRPr="00FF3D15">
        <w:t>times</w:t>
      </w:r>
      <w:r w:rsidR="0030514E" w:rsidRPr="00FF3D15">
        <w:t>,</w:t>
      </w:r>
      <w:r w:rsidR="0030514E" w:rsidRPr="00FF3D15">
        <w:rPr>
          <w:spacing w:val="-7"/>
        </w:rPr>
        <w:t xml:space="preserve"> </w:t>
      </w:r>
      <w:r w:rsidR="0030514E" w:rsidRPr="00FF3D15">
        <w:t>writ</w:t>
      </w:r>
      <w:r w:rsidR="00EF1BE7" w:rsidRPr="00FF3D15">
        <w:t>ing</w:t>
      </w:r>
      <w:r w:rsidR="0030514E" w:rsidRPr="00FF3D15">
        <w:rPr>
          <w:spacing w:val="-7"/>
        </w:rPr>
        <w:t xml:space="preserve"> </w:t>
      </w:r>
      <w:r w:rsidR="0030514E" w:rsidRPr="00FF3D15">
        <w:t>up</w:t>
      </w:r>
      <w:r w:rsidR="0030514E" w:rsidRPr="00FF3D15">
        <w:rPr>
          <w:spacing w:val="-5"/>
        </w:rPr>
        <w:t xml:space="preserve"> </w:t>
      </w:r>
      <w:r w:rsidR="0030514E" w:rsidRPr="00FF3D15">
        <w:t>hand</w:t>
      </w:r>
      <w:r w:rsidR="00EF1BE7" w:rsidRPr="00FF3D15">
        <w:t>-</w:t>
      </w:r>
      <w:r w:rsidR="0030514E" w:rsidRPr="00FF3D15">
        <w:t>written</w:t>
      </w:r>
      <w:r w:rsidR="0030514E" w:rsidRPr="00FF3D15">
        <w:rPr>
          <w:spacing w:val="-7"/>
        </w:rPr>
        <w:t xml:space="preserve"> </w:t>
      </w:r>
      <w:r w:rsidR="0030514E" w:rsidRPr="00FF3D15">
        <w:t>notes</w:t>
      </w:r>
      <w:r w:rsidR="0030514E" w:rsidRPr="00FF3D15">
        <w:rPr>
          <w:spacing w:val="-6"/>
        </w:rPr>
        <w:t xml:space="preserve"> </w:t>
      </w:r>
      <w:r w:rsidR="00EF1BE7" w:rsidRPr="00FF3D15">
        <w:t>(where</w:t>
      </w:r>
      <w:r w:rsidR="00EF1BE7" w:rsidRPr="00FF3D15">
        <w:rPr>
          <w:spacing w:val="-8"/>
        </w:rPr>
        <w:t xml:space="preserve"> </w:t>
      </w:r>
      <w:r w:rsidR="00EF1BE7" w:rsidRPr="00FF3D15">
        <w:t>laptops</w:t>
      </w:r>
      <w:r w:rsidR="00EF1BE7" w:rsidRPr="00FF3D15">
        <w:rPr>
          <w:spacing w:val="-6"/>
        </w:rPr>
        <w:t xml:space="preserve"> </w:t>
      </w:r>
      <w:r w:rsidR="00EF1BE7" w:rsidRPr="00FF3D15">
        <w:t>cannot</w:t>
      </w:r>
      <w:r w:rsidR="00EF1BE7" w:rsidRPr="00FF3D15">
        <w:rPr>
          <w:spacing w:val="-7"/>
        </w:rPr>
        <w:t xml:space="preserve"> </w:t>
      </w:r>
      <w:r w:rsidR="00EF1BE7" w:rsidRPr="00FF3D15">
        <w:rPr>
          <w:spacing w:val="-1"/>
        </w:rPr>
        <w:t>be</w:t>
      </w:r>
      <w:r w:rsidR="00EF1BE7" w:rsidRPr="00FF3D15">
        <w:rPr>
          <w:spacing w:val="-5"/>
        </w:rPr>
        <w:t xml:space="preserve"> </w:t>
      </w:r>
      <w:r w:rsidR="00EF1BE7" w:rsidRPr="00FF3D15">
        <w:t>taken</w:t>
      </w:r>
      <w:r w:rsidR="00EF1BE7" w:rsidRPr="00FF3D15">
        <w:rPr>
          <w:spacing w:val="-5"/>
        </w:rPr>
        <w:t xml:space="preserve"> </w:t>
      </w:r>
      <w:r w:rsidR="00EF1BE7" w:rsidRPr="00FF3D15">
        <w:t>into</w:t>
      </w:r>
      <w:r w:rsidR="00EF1BE7" w:rsidRPr="00FF3D15">
        <w:rPr>
          <w:spacing w:val="-7"/>
        </w:rPr>
        <w:t xml:space="preserve"> </w:t>
      </w:r>
      <w:r w:rsidR="00EF1BE7" w:rsidRPr="00FF3D15">
        <w:rPr>
          <w:spacing w:val="-1"/>
        </w:rPr>
        <w:t>prisons)</w:t>
      </w:r>
      <w:r w:rsidR="00EF1BE7" w:rsidRPr="00FF3D15">
        <w:rPr>
          <w:spacing w:val="48"/>
          <w:w w:val="99"/>
        </w:rPr>
        <w:t xml:space="preserve"> </w:t>
      </w:r>
      <w:r w:rsidR="0030514E" w:rsidRPr="00FF3D15">
        <w:rPr>
          <w:spacing w:val="-1"/>
        </w:rPr>
        <w:t>and</w:t>
      </w:r>
      <w:r w:rsidR="0030514E" w:rsidRPr="00FF3D15">
        <w:rPr>
          <w:spacing w:val="-6"/>
        </w:rPr>
        <w:t xml:space="preserve"> </w:t>
      </w:r>
      <w:r w:rsidR="0030514E" w:rsidRPr="00FF3D15">
        <w:t>manag</w:t>
      </w:r>
      <w:r w:rsidR="00EF1BE7" w:rsidRPr="00FF3D15">
        <w:t>ing</w:t>
      </w:r>
      <w:r w:rsidR="0030514E" w:rsidRPr="00FF3D15">
        <w:rPr>
          <w:spacing w:val="-6"/>
        </w:rPr>
        <w:t xml:space="preserve"> </w:t>
      </w:r>
      <w:r w:rsidR="00EF1BE7" w:rsidRPr="00FF3D15">
        <w:t>the</w:t>
      </w:r>
      <w:r w:rsidR="00EF1BE7" w:rsidRPr="00FF3D15">
        <w:rPr>
          <w:spacing w:val="-7"/>
        </w:rPr>
        <w:t xml:space="preserve"> </w:t>
      </w:r>
      <w:r w:rsidR="00EF1BE7" w:rsidRPr="00FF3D15">
        <w:t>ESS</w:t>
      </w:r>
      <w:r w:rsidR="00EF1BE7" w:rsidRPr="00FF3D15">
        <w:rPr>
          <w:spacing w:val="-6"/>
        </w:rPr>
        <w:t xml:space="preserve"> </w:t>
      </w:r>
      <w:r w:rsidR="0030514E" w:rsidRPr="00FF3D15">
        <w:t>database</w:t>
      </w:r>
      <w:r w:rsidR="00F12D38">
        <w:t>.</w:t>
      </w:r>
    </w:p>
    <w:p w14:paraId="46281AF0" w14:textId="771952CF" w:rsidR="00C5684B" w:rsidRPr="00FF3D15" w:rsidRDefault="00B33EEB" w:rsidP="00305B4B">
      <w:pPr>
        <w:pStyle w:val="Bulletedlist"/>
        <w:ind w:right="3"/>
      </w:pPr>
      <w:r w:rsidRPr="00FF3D15">
        <w:rPr>
          <w:spacing w:val="-1"/>
        </w:rPr>
        <w:t>Four</w:t>
      </w:r>
      <w:r w:rsidRPr="00FF3D15">
        <w:rPr>
          <w:spacing w:val="-6"/>
        </w:rPr>
        <w:t xml:space="preserve"> </w:t>
      </w:r>
      <w:r w:rsidRPr="00FF3D15">
        <w:t>TWES</w:t>
      </w:r>
      <w:r w:rsidRPr="00FF3D15">
        <w:rPr>
          <w:spacing w:val="-5"/>
        </w:rPr>
        <w:t xml:space="preserve"> </w:t>
      </w:r>
      <w:r w:rsidR="00D61836">
        <w:t>p</w:t>
      </w:r>
      <w:r w:rsidR="00D61836" w:rsidRPr="00FF3D15">
        <w:t>roviders</w:t>
      </w:r>
      <w:r w:rsidR="00D61836" w:rsidRPr="00FF3D15">
        <w:rPr>
          <w:spacing w:val="-5"/>
        </w:rPr>
        <w:t xml:space="preserve"> </w:t>
      </w:r>
      <w:r w:rsidR="0004691F" w:rsidRPr="00FF3D15">
        <w:t>stated</w:t>
      </w:r>
      <w:r w:rsidR="0004691F" w:rsidRPr="00FF3D15">
        <w:rPr>
          <w:spacing w:val="-6"/>
        </w:rPr>
        <w:t xml:space="preserve"> </w:t>
      </w:r>
      <w:r w:rsidR="0004691F" w:rsidRPr="00FF3D15">
        <w:t>that</w:t>
      </w:r>
      <w:r w:rsidR="0004691F" w:rsidRPr="00FF3D15">
        <w:rPr>
          <w:spacing w:val="-6"/>
        </w:rPr>
        <w:t xml:space="preserve"> </w:t>
      </w:r>
      <w:r w:rsidR="0004691F" w:rsidRPr="00FF3D15">
        <w:t>funding</w:t>
      </w:r>
      <w:r w:rsidR="0004691F" w:rsidRPr="00FF3D15">
        <w:rPr>
          <w:spacing w:val="-6"/>
        </w:rPr>
        <w:t xml:space="preserve"> </w:t>
      </w:r>
      <w:r w:rsidR="0004691F" w:rsidRPr="00FF3D15">
        <w:t>was</w:t>
      </w:r>
      <w:r w:rsidR="0004691F" w:rsidRPr="00FF3D15">
        <w:rPr>
          <w:spacing w:val="-5"/>
        </w:rPr>
        <w:t xml:space="preserve"> </w:t>
      </w:r>
      <w:r w:rsidR="0004691F" w:rsidRPr="00FF3D15">
        <w:rPr>
          <w:spacing w:val="-1"/>
        </w:rPr>
        <w:t>not</w:t>
      </w:r>
      <w:r w:rsidR="0004691F" w:rsidRPr="00FF3D15">
        <w:rPr>
          <w:spacing w:val="-5"/>
        </w:rPr>
        <w:t xml:space="preserve"> </w:t>
      </w:r>
      <w:r w:rsidR="0004691F" w:rsidRPr="00FF3D15">
        <w:rPr>
          <w:spacing w:val="-1"/>
        </w:rPr>
        <w:t>sufficient</w:t>
      </w:r>
      <w:r w:rsidR="0004691F" w:rsidRPr="00FF3D15">
        <w:rPr>
          <w:spacing w:val="-4"/>
        </w:rPr>
        <w:t xml:space="preserve"> </w:t>
      </w:r>
      <w:r w:rsidR="0004691F" w:rsidRPr="00FF3D15">
        <w:rPr>
          <w:spacing w:val="1"/>
        </w:rPr>
        <w:t>to</w:t>
      </w:r>
      <w:r w:rsidR="0004691F" w:rsidRPr="00FF3D15">
        <w:rPr>
          <w:spacing w:val="-6"/>
        </w:rPr>
        <w:t xml:space="preserve"> </w:t>
      </w:r>
      <w:r w:rsidR="001872DD" w:rsidRPr="00FF3D15">
        <w:t>cover</w:t>
      </w:r>
      <w:r w:rsidR="001872DD" w:rsidRPr="00FF3D15">
        <w:rPr>
          <w:spacing w:val="-6"/>
        </w:rPr>
        <w:t xml:space="preserve"> </w:t>
      </w:r>
      <w:r w:rsidR="001872DD" w:rsidRPr="00FF3D15">
        <w:t>a</w:t>
      </w:r>
      <w:r w:rsidR="001872DD" w:rsidRPr="00FF3D15">
        <w:rPr>
          <w:spacing w:val="-5"/>
        </w:rPr>
        <w:t xml:space="preserve"> </w:t>
      </w:r>
      <w:r w:rsidR="001872DD" w:rsidRPr="00FF3D15">
        <w:t>single</w:t>
      </w:r>
      <w:r w:rsidR="001872DD" w:rsidRPr="00FF3D15">
        <w:rPr>
          <w:spacing w:val="-5"/>
        </w:rPr>
        <w:t xml:space="preserve"> </w:t>
      </w:r>
      <w:r w:rsidR="001872DD" w:rsidRPr="00FF3D15">
        <w:t>salary,</w:t>
      </w:r>
      <w:r w:rsidR="001872DD" w:rsidRPr="00FF3D15">
        <w:rPr>
          <w:spacing w:val="-6"/>
        </w:rPr>
        <w:t xml:space="preserve"> </w:t>
      </w:r>
      <w:r w:rsidR="001872DD" w:rsidRPr="00FF3D15">
        <w:rPr>
          <w:spacing w:val="-1"/>
        </w:rPr>
        <w:t>which</w:t>
      </w:r>
      <w:r w:rsidR="001872DD">
        <w:rPr>
          <w:spacing w:val="-1"/>
        </w:rPr>
        <w:t xml:space="preserve"> makes</w:t>
      </w:r>
      <w:r w:rsidR="001872DD" w:rsidRPr="00FF3D15">
        <w:rPr>
          <w:spacing w:val="-5"/>
        </w:rPr>
        <w:t xml:space="preserve"> </w:t>
      </w:r>
      <w:r w:rsidR="001872DD" w:rsidRPr="00FF3D15">
        <w:rPr>
          <w:spacing w:val="-1"/>
        </w:rPr>
        <w:t>it</w:t>
      </w:r>
      <w:r w:rsidR="001872DD" w:rsidRPr="00FF3D15">
        <w:rPr>
          <w:spacing w:val="-5"/>
        </w:rPr>
        <w:t xml:space="preserve"> </w:t>
      </w:r>
      <w:r w:rsidR="001872DD" w:rsidRPr="00FF3D15">
        <w:rPr>
          <w:spacing w:val="-1"/>
        </w:rPr>
        <w:t>difficult</w:t>
      </w:r>
      <w:r w:rsidR="001872DD" w:rsidRPr="00FF3D15">
        <w:rPr>
          <w:spacing w:val="-5"/>
        </w:rPr>
        <w:t xml:space="preserve"> </w:t>
      </w:r>
      <w:r w:rsidR="001872DD" w:rsidRPr="00FF3D15">
        <w:t>to</w:t>
      </w:r>
      <w:r w:rsidR="001872DD" w:rsidRPr="00FF3D15">
        <w:rPr>
          <w:spacing w:val="-4"/>
        </w:rPr>
        <w:t xml:space="preserve"> </w:t>
      </w:r>
      <w:r w:rsidR="001872DD" w:rsidRPr="00FF3D15">
        <w:t>resource</w:t>
      </w:r>
      <w:r w:rsidR="001872DD" w:rsidRPr="00FF3D15">
        <w:rPr>
          <w:spacing w:val="-6"/>
        </w:rPr>
        <w:t xml:space="preserve"> </w:t>
      </w:r>
      <w:r w:rsidR="001872DD" w:rsidRPr="00FF3D15">
        <w:t>and</w:t>
      </w:r>
      <w:r w:rsidR="001872DD" w:rsidRPr="00FF3D15">
        <w:rPr>
          <w:spacing w:val="-4"/>
        </w:rPr>
        <w:t xml:space="preserve"> </w:t>
      </w:r>
      <w:r w:rsidR="00A73510" w:rsidRPr="00FF3D15">
        <w:t>some</w:t>
      </w:r>
      <w:r w:rsidR="00A73510" w:rsidRPr="00FF3D15">
        <w:rPr>
          <w:spacing w:val="-4"/>
        </w:rPr>
        <w:t xml:space="preserve"> </w:t>
      </w:r>
      <w:r w:rsidR="00D61836">
        <w:t>p</w:t>
      </w:r>
      <w:r w:rsidR="00D61836" w:rsidRPr="00FF3D15">
        <w:t>roviders</w:t>
      </w:r>
      <w:r w:rsidR="00D61836" w:rsidRPr="00FF3D15">
        <w:rPr>
          <w:spacing w:val="-5"/>
        </w:rPr>
        <w:t xml:space="preserve"> </w:t>
      </w:r>
      <w:r w:rsidR="00E80F52" w:rsidRPr="00FF3D15">
        <w:t>feel</w:t>
      </w:r>
      <w:r w:rsidR="00E80F52" w:rsidRPr="00FF3D15">
        <w:rPr>
          <w:spacing w:val="-5"/>
        </w:rPr>
        <w:t xml:space="preserve"> </w:t>
      </w:r>
      <w:r w:rsidR="00E80F52" w:rsidRPr="00FF3D15">
        <w:t>like</w:t>
      </w:r>
      <w:r w:rsidR="00E80F52" w:rsidRPr="00FF3D15">
        <w:rPr>
          <w:spacing w:val="-4"/>
        </w:rPr>
        <w:t xml:space="preserve"> </w:t>
      </w:r>
      <w:r w:rsidR="00095B96" w:rsidRPr="00FF3D15">
        <w:rPr>
          <w:spacing w:val="-1"/>
        </w:rPr>
        <w:t>their</w:t>
      </w:r>
      <w:r w:rsidR="00095B96" w:rsidRPr="00FF3D15">
        <w:rPr>
          <w:spacing w:val="-5"/>
        </w:rPr>
        <w:t xml:space="preserve"> </w:t>
      </w:r>
      <w:r w:rsidR="00095B96" w:rsidRPr="00FF3D15">
        <w:t>other</w:t>
      </w:r>
      <w:r w:rsidR="00095B96" w:rsidRPr="00FF3D15">
        <w:rPr>
          <w:spacing w:val="-5"/>
        </w:rPr>
        <w:t xml:space="preserve"> </w:t>
      </w:r>
      <w:r w:rsidR="00095B96" w:rsidRPr="00FF3D15">
        <w:t>programs</w:t>
      </w:r>
      <w:r w:rsidR="00095B96" w:rsidRPr="00FF3D15">
        <w:rPr>
          <w:spacing w:val="-3"/>
        </w:rPr>
        <w:t xml:space="preserve"> </w:t>
      </w:r>
      <w:r w:rsidR="00095B96" w:rsidRPr="00FF3D15">
        <w:t>are</w:t>
      </w:r>
      <w:r w:rsidR="00095B96" w:rsidRPr="00FF3D15">
        <w:rPr>
          <w:w w:val="99"/>
        </w:rPr>
        <w:t xml:space="preserve"> </w:t>
      </w:r>
      <w:r w:rsidR="00095B96" w:rsidRPr="00FF3D15">
        <w:t>‘subsidising’</w:t>
      </w:r>
      <w:r w:rsidR="00095B96" w:rsidRPr="00FF3D15">
        <w:rPr>
          <w:spacing w:val="-9"/>
        </w:rPr>
        <w:t xml:space="preserve"> </w:t>
      </w:r>
      <w:r w:rsidR="00CC0A05" w:rsidRPr="00FF3D15">
        <w:t>TWES</w:t>
      </w:r>
      <w:r w:rsidR="004F4B71" w:rsidRPr="00FF3D15">
        <w:t>,</w:t>
      </w:r>
      <w:r w:rsidR="0013694D" w:rsidRPr="00FF3D15">
        <w:rPr>
          <w:spacing w:val="-5"/>
        </w:rPr>
        <w:t xml:space="preserve"> </w:t>
      </w:r>
      <w:r w:rsidR="0013694D" w:rsidRPr="00FF3D15">
        <w:t>including</w:t>
      </w:r>
      <w:r w:rsidR="0013694D" w:rsidRPr="00FF3D15">
        <w:rPr>
          <w:spacing w:val="-7"/>
        </w:rPr>
        <w:t xml:space="preserve"> </w:t>
      </w:r>
      <w:r w:rsidR="001C36A0" w:rsidRPr="00FF3D15">
        <w:t>the</w:t>
      </w:r>
      <w:r w:rsidR="001C36A0" w:rsidRPr="00FF3D15">
        <w:rPr>
          <w:spacing w:val="-8"/>
        </w:rPr>
        <w:t xml:space="preserve"> </w:t>
      </w:r>
      <w:r w:rsidR="001C36A0" w:rsidRPr="00FF3D15">
        <w:t>use</w:t>
      </w:r>
      <w:r w:rsidR="001C36A0" w:rsidRPr="00FF3D15">
        <w:rPr>
          <w:spacing w:val="-5"/>
        </w:rPr>
        <w:t xml:space="preserve"> </w:t>
      </w:r>
      <w:r w:rsidR="001C36A0" w:rsidRPr="00FF3D15">
        <w:t>of</w:t>
      </w:r>
      <w:r w:rsidR="001C36A0" w:rsidRPr="00FF3D15">
        <w:rPr>
          <w:spacing w:val="-7"/>
        </w:rPr>
        <w:t xml:space="preserve"> </w:t>
      </w:r>
      <w:r w:rsidR="001C36A0" w:rsidRPr="00FF3D15">
        <w:t>vehicles.</w:t>
      </w:r>
      <w:r w:rsidR="001C36A0" w:rsidRPr="00FF3D15">
        <w:rPr>
          <w:spacing w:val="-7"/>
        </w:rPr>
        <w:t xml:space="preserve"> </w:t>
      </w:r>
      <w:r w:rsidR="001C36A0" w:rsidRPr="00FF3D15">
        <w:t>Furthermore,</w:t>
      </w:r>
      <w:r w:rsidR="001C36A0" w:rsidRPr="00FF3D15">
        <w:rPr>
          <w:spacing w:val="-6"/>
        </w:rPr>
        <w:t xml:space="preserve"> </w:t>
      </w:r>
      <w:r w:rsidR="001C36A0" w:rsidRPr="00FF3D15">
        <w:rPr>
          <w:spacing w:val="-1"/>
        </w:rPr>
        <w:t>some</w:t>
      </w:r>
      <w:r w:rsidR="001C36A0" w:rsidRPr="00FF3D15">
        <w:rPr>
          <w:spacing w:val="-5"/>
        </w:rPr>
        <w:t xml:space="preserve"> </w:t>
      </w:r>
      <w:r w:rsidR="001C36A0" w:rsidRPr="00FF3D15">
        <w:t>face</w:t>
      </w:r>
      <w:r w:rsidR="001C36A0" w:rsidRPr="00FF3D15">
        <w:rPr>
          <w:spacing w:val="-6"/>
        </w:rPr>
        <w:t xml:space="preserve"> </w:t>
      </w:r>
      <w:r w:rsidR="001C36A0" w:rsidRPr="00FF3D15">
        <w:t>an</w:t>
      </w:r>
      <w:r w:rsidR="001C36A0" w:rsidRPr="00FF3D15">
        <w:rPr>
          <w:spacing w:val="-4"/>
        </w:rPr>
        <w:t xml:space="preserve"> </w:t>
      </w:r>
      <w:r w:rsidR="004F4B71" w:rsidRPr="00FF3D15">
        <w:t>opportunity</w:t>
      </w:r>
      <w:r w:rsidR="004F4B71" w:rsidRPr="00FF3D15">
        <w:rPr>
          <w:spacing w:val="-6"/>
        </w:rPr>
        <w:t xml:space="preserve"> </w:t>
      </w:r>
      <w:r w:rsidR="004F4B71" w:rsidRPr="00FF3D15">
        <w:t>cost</w:t>
      </w:r>
      <w:r w:rsidR="004F4B71" w:rsidRPr="00FF3D15">
        <w:rPr>
          <w:spacing w:val="28"/>
          <w:w w:val="99"/>
        </w:rPr>
        <w:t xml:space="preserve"> </w:t>
      </w:r>
      <w:r w:rsidR="004F4B71" w:rsidRPr="00FF3D15">
        <w:t>as</w:t>
      </w:r>
      <w:r w:rsidR="004F4B71" w:rsidRPr="00FF3D15">
        <w:rPr>
          <w:spacing w:val="-5"/>
        </w:rPr>
        <w:t xml:space="preserve"> </w:t>
      </w:r>
      <w:r w:rsidR="004F4B71" w:rsidRPr="00FF3D15">
        <w:t>a</w:t>
      </w:r>
      <w:r w:rsidR="004F4B71" w:rsidRPr="00FF3D15">
        <w:rPr>
          <w:spacing w:val="-6"/>
        </w:rPr>
        <w:t xml:space="preserve"> </w:t>
      </w:r>
      <w:r w:rsidR="004F4B71" w:rsidRPr="00FF3D15">
        <w:t>business</w:t>
      </w:r>
      <w:r w:rsidR="004F4B71" w:rsidRPr="00FF3D15">
        <w:rPr>
          <w:spacing w:val="-3"/>
        </w:rPr>
        <w:t xml:space="preserve"> </w:t>
      </w:r>
      <w:r w:rsidR="004F4B71" w:rsidRPr="00FF3D15">
        <w:t>in</w:t>
      </w:r>
      <w:r w:rsidR="004F4B71" w:rsidRPr="00FF3D15">
        <w:rPr>
          <w:spacing w:val="-6"/>
        </w:rPr>
        <w:t xml:space="preserve"> </w:t>
      </w:r>
      <w:r w:rsidR="004F4B71" w:rsidRPr="00FF3D15">
        <w:t>allocating</w:t>
      </w:r>
      <w:r w:rsidR="004F4B71" w:rsidRPr="00FF3D15">
        <w:rPr>
          <w:spacing w:val="-4"/>
        </w:rPr>
        <w:t xml:space="preserve"> </w:t>
      </w:r>
      <w:r w:rsidR="004F4B71" w:rsidRPr="00FF3D15">
        <w:t>staff</w:t>
      </w:r>
      <w:r w:rsidR="004F4B71" w:rsidRPr="00FF3D15">
        <w:rPr>
          <w:spacing w:val="-6"/>
        </w:rPr>
        <w:t xml:space="preserve"> </w:t>
      </w:r>
      <w:r w:rsidR="004F4B71" w:rsidRPr="00FF3D15">
        <w:t>to</w:t>
      </w:r>
      <w:r w:rsidR="004F4B71" w:rsidRPr="00FF3D15">
        <w:rPr>
          <w:spacing w:val="-5"/>
        </w:rPr>
        <w:t xml:space="preserve"> </w:t>
      </w:r>
      <w:r w:rsidR="004F4B71" w:rsidRPr="00FF3D15">
        <w:t>spend</w:t>
      </w:r>
      <w:r w:rsidR="004F4B71" w:rsidRPr="00FF3D15">
        <w:rPr>
          <w:spacing w:val="-4"/>
        </w:rPr>
        <w:t xml:space="preserve"> </w:t>
      </w:r>
      <w:r w:rsidR="004F4B71" w:rsidRPr="00FF3D15">
        <w:t>time</w:t>
      </w:r>
      <w:r w:rsidR="004F4B71" w:rsidRPr="00FF3D15">
        <w:rPr>
          <w:spacing w:val="-6"/>
        </w:rPr>
        <w:t xml:space="preserve"> </w:t>
      </w:r>
      <w:r w:rsidR="004F4B71" w:rsidRPr="00FF3D15">
        <w:t>on</w:t>
      </w:r>
      <w:r w:rsidR="004F4B71" w:rsidRPr="00FF3D15">
        <w:rPr>
          <w:spacing w:val="-5"/>
        </w:rPr>
        <w:t xml:space="preserve"> </w:t>
      </w:r>
      <w:r w:rsidR="004F4B71" w:rsidRPr="00FF3D15">
        <w:t>TWES</w:t>
      </w:r>
      <w:r w:rsidR="004F4B71" w:rsidRPr="00FF3D15">
        <w:rPr>
          <w:spacing w:val="-6"/>
        </w:rPr>
        <w:t xml:space="preserve"> </w:t>
      </w:r>
      <w:r w:rsidR="00E12CEE" w:rsidRPr="00FF3D15">
        <w:t>compared</w:t>
      </w:r>
      <w:r w:rsidR="00E12CEE" w:rsidRPr="00FF3D15">
        <w:rPr>
          <w:spacing w:val="-4"/>
        </w:rPr>
        <w:t xml:space="preserve"> </w:t>
      </w:r>
      <w:r w:rsidR="00E12CEE" w:rsidRPr="00FF3D15">
        <w:t>to</w:t>
      </w:r>
      <w:r w:rsidR="004F4B71" w:rsidRPr="00FF3D15">
        <w:rPr>
          <w:spacing w:val="-6"/>
        </w:rPr>
        <w:t xml:space="preserve"> </w:t>
      </w:r>
      <w:r w:rsidR="004F4B71" w:rsidRPr="00FF3D15">
        <w:t>spending</w:t>
      </w:r>
      <w:r w:rsidR="004F4B71" w:rsidRPr="00FF3D15">
        <w:rPr>
          <w:spacing w:val="-3"/>
        </w:rPr>
        <w:t xml:space="preserve"> </w:t>
      </w:r>
      <w:r w:rsidR="004F4B71" w:rsidRPr="00FF3D15">
        <w:t>time</w:t>
      </w:r>
      <w:r w:rsidR="004F4B71" w:rsidRPr="00FF3D15">
        <w:rPr>
          <w:spacing w:val="-6"/>
        </w:rPr>
        <w:t xml:space="preserve"> </w:t>
      </w:r>
      <w:r w:rsidR="004F4B71" w:rsidRPr="00FF3D15">
        <w:t>on</w:t>
      </w:r>
      <w:r w:rsidR="004F4B71" w:rsidRPr="00FF3D15">
        <w:rPr>
          <w:spacing w:val="24"/>
          <w:w w:val="99"/>
        </w:rPr>
        <w:t xml:space="preserve"> </w:t>
      </w:r>
      <w:r w:rsidR="004F4B71" w:rsidRPr="00FF3D15">
        <w:t>delivering</w:t>
      </w:r>
      <w:r w:rsidR="004F4B71" w:rsidRPr="00FF3D15">
        <w:rPr>
          <w:spacing w:val="-6"/>
        </w:rPr>
        <w:t xml:space="preserve"> </w:t>
      </w:r>
      <w:r w:rsidR="00AC7BF5" w:rsidRPr="00FF3D15">
        <w:t>other</w:t>
      </w:r>
      <w:r w:rsidR="00AC7BF5" w:rsidRPr="00FF3D15">
        <w:rPr>
          <w:spacing w:val="-5"/>
        </w:rPr>
        <w:t xml:space="preserve"> </w:t>
      </w:r>
      <w:r w:rsidR="00AC7BF5" w:rsidRPr="00FF3D15">
        <w:t>services</w:t>
      </w:r>
      <w:r w:rsidR="00AC7BF5" w:rsidRPr="00FF3D15">
        <w:rPr>
          <w:spacing w:val="-5"/>
        </w:rPr>
        <w:t xml:space="preserve"> </w:t>
      </w:r>
      <w:r w:rsidR="00AC7BF5" w:rsidRPr="00FF3D15">
        <w:t>such</w:t>
      </w:r>
      <w:r w:rsidR="00AC7BF5" w:rsidRPr="00FF3D15">
        <w:rPr>
          <w:spacing w:val="-6"/>
        </w:rPr>
        <w:t xml:space="preserve"> </w:t>
      </w:r>
      <w:r w:rsidR="00AC7BF5" w:rsidRPr="00FF3D15">
        <w:rPr>
          <w:spacing w:val="-1"/>
        </w:rPr>
        <w:t>as</w:t>
      </w:r>
      <w:r w:rsidR="00AC7BF5" w:rsidRPr="00FF3D15">
        <w:rPr>
          <w:spacing w:val="-2"/>
        </w:rPr>
        <w:t xml:space="preserve"> </w:t>
      </w:r>
      <w:r w:rsidR="004F4B71" w:rsidRPr="00FF3D15">
        <w:rPr>
          <w:spacing w:val="-1"/>
        </w:rPr>
        <w:t>CDP</w:t>
      </w:r>
      <w:r w:rsidR="001C36A0" w:rsidRPr="00FF3D15">
        <w:rPr>
          <w:spacing w:val="-1"/>
        </w:rPr>
        <w:t>.</w:t>
      </w:r>
      <w:r w:rsidR="001C36A0" w:rsidRPr="00FF3D15">
        <w:rPr>
          <w:spacing w:val="-4"/>
        </w:rPr>
        <w:t xml:space="preserve"> </w:t>
      </w:r>
      <w:r w:rsidR="001C36A0" w:rsidRPr="00FF3D15">
        <w:t>S</w:t>
      </w:r>
      <w:r w:rsidR="00E740D5" w:rsidRPr="00FF3D15">
        <w:t>ome</w:t>
      </w:r>
      <w:r w:rsidR="00E740D5" w:rsidRPr="00FF3D15">
        <w:rPr>
          <w:spacing w:val="-4"/>
        </w:rPr>
        <w:t xml:space="preserve"> </w:t>
      </w:r>
      <w:r w:rsidR="00D61836">
        <w:rPr>
          <w:spacing w:val="-4"/>
        </w:rPr>
        <w:t>p</w:t>
      </w:r>
      <w:r w:rsidR="00E740D5" w:rsidRPr="00FF3D15">
        <w:t>roviders</w:t>
      </w:r>
      <w:r w:rsidR="00E740D5" w:rsidRPr="00FF3D15">
        <w:rPr>
          <w:spacing w:val="-5"/>
        </w:rPr>
        <w:t xml:space="preserve"> </w:t>
      </w:r>
      <w:r w:rsidR="00E740D5" w:rsidRPr="00FF3D15">
        <w:rPr>
          <w:spacing w:val="-1"/>
        </w:rPr>
        <w:t>also</w:t>
      </w:r>
      <w:r w:rsidR="00E740D5" w:rsidRPr="00FF3D15">
        <w:rPr>
          <w:spacing w:val="-6"/>
        </w:rPr>
        <w:t xml:space="preserve"> </w:t>
      </w:r>
      <w:r w:rsidR="00E740D5" w:rsidRPr="00FF3D15">
        <w:t>noted</w:t>
      </w:r>
      <w:r w:rsidR="00E740D5" w:rsidRPr="00FF3D15">
        <w:rPr>
          <w:spacing w:val="-4"/>
        </w:rPr>
        <w:t xml:space="preserve"> </w:t>
      </w:r>
      <w:r w:rsidR="00E740D5" w:rsidRPr="00FF3D15">
        <w:t>that</w:t>
      </w:r>
      <w:r w:rsidR="00E740D5" w:rsidRPr="00FF3D15">
        <w:rPr>
          <w:spacing w:val="-3"/>
        </w:rPr>
        <w:t xml:space="preserve"> </w:t>
      </w:r>
      <w:r w:rsidR="00742A3C" w:rsidRPr="00FF3D15">
        <w:t>the</w:t>
      </w:r>
      <w:r w:rsidR="00742A3C" w:rsidRPr="00FF3D15">
        <w:rPr>
          <w:spacing w:val="-6"/>
        </w:rPr>
        <w:t xml:space="preserve"> </w:t>
      </w:r>
      <w:r w:rsidR="00742A3C" w:rsidRPr="00FF3D15">
        <w:t>need</w:t>
      </w:r>
      <w:r w:rsidR="00742A3C" w:rsidRPr="00FF3D15">
        <w:rPr>
          <w:spacing w:val="-6"/>
        </w:rPr>
        <w:t xml:space="preserve"> </w:t>
      </w:r>
      <w:r w:rsidR="00742A3C" w:rsidRPr="00FF3D15">
        <w:t>for</w:t>
      </w:r>
      <w:r w:rsidR="00742A3C" w:rsidRPr="00FF3D15">
        <w:rPr>
          <w:spacing w:val="-5"/>
        </w:rPr>
        <w:t xml:space="preserve"> </w:t>
      </w:r>
      <w:r w:rsidR="00742A3C" w:rsidRPr="00FF3D15">
        <w:t>two</w:t>
      </w:r>
      <w:r w:rsidR="00742A3C" w:rsidRPr="00FF3D15">
        <w:rPr>
          <w:spacing w:val="-6"/>
        </w:rPr>
        <w:t xml:space="preserve"> </w:t>
      </w:r>
      <w:r w:rsidR="00742A3C" w:rsidRPr="00FF3D15">
        <w:t>staff</w:t>
      </w:r>
      <w:r w:rsidR="00742A3C" w:rsidRPr="00FF3D15">
        <w:rPr>
          <w:spacing w:val="32"/>
          <w:w w:val="99"/>
        </w:rPr>
        <w:t xml:space="preserve"> </w:t>
      </w:r>
      <w:r w:rsidR="00742A3C" w:rsidRPr="00FF3D15">
        <w:rPr>
          <w:spacing w:val="-1"/>
        </w:rPr>
        <w:t>to</w:t>
      </w:r>
      <w:r w:rsidR="00742A3C" w:rsidRPr="00FF3D15">
        <w:rPr>
          <w:spacing w:val="-6"/>
        </w:rPr>
        <w:t xml:space="preserve"> </w:t>
      </w:r>
      <w:r w:rsidR="00742A3C" w:rsidRPr="00FF3D15">
        <w:rPr>
          <w:spacing w:val="-1"/>
        </w:rPr>
        <w:t>effectively</w:t>
      </w:r>
      <w:r w:rsidR="00742A3C" w:rsidRPr="00FF3D15">
        <w:rPr>
          <w:spacing w:val="-6"/>
        </w:rPr>
        <w:t xml:space="preserve"> </w:t>
      </w:r>
      <w:r w:rsidR="00742A3C" w:rsidRPr="00FF3D15">
        <w:t>deliver</w:t>
      </w:r>
      <w:r w:rsidR="00742A3C" w:rsidRPr="00FF3D15">
        <w:rPr>
          <w:spacing w:val="-6"/>
        </w:rPr>
        <w:t xml:space="preserve"> </w:t>
      </w:r>
      <w:r w:rsidR="00742A3C" w:rsidRPr="00FF3D15">
        <w:t>TWES</w:t>
      </w:r>
      <w:r w:rsidR="00742A3C" w:rsidRPr="00FF3D15">
        <w:rPr>
          <w:spacing w:val="-2"/>
        </w:rPr>
        <w:t xml:space="preserve"> </w:t>
      </w:r>
      <w:r w:rsidR="00742A3C" w:rsidRPr="00FF3D15">
        <w:t>–</w:t>
      </w:r>
      <w:r w:rsidR="00742A3C" w:rsidRPr="00FF3D15">
        <w:rPr>
          <w:spacing w:val="-6"/>
        </w:rPr>
        <w:t xml:space="preserve"> </w:t>
      </w:r>
      <w:r w:rsidR="00742A3C" w:rsidRPr="00FF3D15">
        <w:t>one</w:t>
      </w:r>
      <w:r w:rsidR="00742A3C" w:rsidRPr="00FF3D15">
        <w:rPr>
          <w:spacing w:val="-6"/>
        </w:rPr>
        <w:t xml:space="preserve"> </w:t>
      </w:r>
      <w:r w:rsidR="00742A3C" w:rsidRPr="00FF3D15">
        <w:rPr>
          <w:spacing w:val="-1"/>
        </w:rPr>
        <w:t>male</w:t>
      </w:r>
      <w:r w:rsidR="00742A3C" w:rsidRPr="00FF3D15">
        <w:rPr>
          <w:spacing w:val="-4"/>
        </w:rPr>
        <w:t xml:space="preserve"> </w:t>
      </w:r>
      <w:r w:rsidR="00742A3C" w:rsidRPr="00FF3D15">
        <w:t>and</w:t>
      </w:r>
      <w:r w:rsidR="00742A3C" w:rsidRPr="00FF3D15">
        <w:rPr>
          <w:spacing w:val="-6"/>
        </w:rPr>
        <w:t xml:space="preserve"> </w:t>
      </w:r>
      <w:r w:rsidR="00742A3C" w:rsidRPr="00FF3D15">
        <w:t>one</w:t>
      </w:r>
      <w:r w:rsidR="00742A3C" w:rsidRPr="00FF3D15">
        <w:rPr>
          <w:spacing w:val="-6"/>
        </w:rPr>
        <w:t xml:space="preserve"> </w:t>
      </w:r>
      <w:r w:rsidR="00742A3C" w:rsidRPr="00FF3D15">
        <w:t>female</w:t>
      </w:r>
      <w:r w:rsidR="00742A3C" w:rsidRPr="00FF3D15">
        <w:rPr>
          <w:spacing w:val="-2"/>
        </w:rPr>
        <w:t xml:space="preserve"> </w:t>
      </w:r>
      <w:r w:rsidR="00742A3C" w:rsidRPr="00FF3D15">
        <w:t>–</w:t>
      </w:r>
      <w:r w:rsidR="00742A3C" w:rsidRPr="00FF3D15">
        <w:rPr>
          <w:spacing w:val="-6"/>
        </w:rPr>
        <w:t xml:space="preserve"> </w:t>
      </w:r>
      <w:r w:rsidR="00742A3C" w:rsidRPr="00FF3D15">
        <w:t>further</w:t>
      </w:r>
      <w:r w:rsidR="00742A3C" w:rsidRPr="00FF3D15">
        <w:rPr>
          <w:spacing w:val="-6"/>
        </w:rPr>
        <w:t xml:space="preserve"> </w:t>
      </w:r>
      <w:r w:rsidR="00742A3C" w:rsidRPr="00FF3D15">
        <w:t>stretches</w:t>
      </w:r>
      <w:r w:rsidR="00742A3C" w:rsidRPr="00FF3D15">
        <w:rPr>
          <w:spacing w:val="-5"/>
        </w:rPr>
        <w:t xml:space="preserve"> </w:t>
      </w:r>
      <w:r w:rsidR="00742A3C" w:rsidRPr="00FF3D15">
        <w:t>funding</w:t>
      </w:r>
      <w:r w:rsidR="00BF5DA5" w:rsidRPr="00FF3D15">
        <w:t>.</w:t>
      </w:r>
    </w:p>
    <w:p w14:paraId="2B7B174A" w14:textId="77777777" w:rsidR="00C37B02" w:rsidRDefault="00C37B02" w:rsidP="00305B4B">
      <w:pPr>
        <w:pStyle w:val="Bulletedlist"/>
        <w:numPr>
          <w:ilvl w:val="0"/>
          <w:numId w:val="0"/>
        </w:numPr>
        <w:ind w:right="3"/>
      </w:pPr>
      <w:r>
        <w:rPr>
          <w:noProof/>
          <w:lang w:eastAsia="en-AU"/>
        </w:rPr>
        <mc:AlternateContent>
          <mc:Choice Requires="wps">
            <w:drawing>
              <wp:inline distT="0" distB="0" distL="0" distR="0" wp14:anchorId="2F288F01" wp14:editId="7EE569D3">
                <wp:extent cx="6294146" cy="1308847"/>
                <wp:effectExtent l="0" t="0" r="5080" b="0"/>
                <wp:docPr id="63" name="Rectangle: Rounded Corners 63"/>
                <wp:cNvGraphicFramePr/>
                <a:graphic xmlns:a="http://schemas.openxmlformats.org/drawingml/2006/main">
                  <a:graphicData uri="http://schemas.microsoft.com/office/word/2010/wordprocessingShape">
                    <wps:wsp>
                      <wps:cNvSpPr/>
                      <wps:spPr>
                        <a:xfrm>
                          <a:off x="0" y="0"/>
                          <a:ext cx="6294146" cy="1308847"/>
                        </a:xfrm>
                        <a:prstGeom prst="roundRect">
                          <a:avLst/>
                        </a:prstGeom>
                        <a:solidFill>
                          <a:srgbClr val="58B6E7">
                            <a:lumMod val="20000"/>
                            <a:lumOff val="80000"/>
                          </a:srgbClr>
                        </a:solidFill>
                        <a:ln w="25400" cap="flat" cmpd="sng" algn="ctr">
                          <a:noFill/>
                          <a:prstDash val="solid"/>
                        </a:ln>
                        <a:effectLst/>
                      </wps:spPr>
                      <wps:txbx>
                        <w:txbxContent>
                          <w:p w14:paraId="06ACF84A" w14:textId="77777777" w:rsidR="000B1DD2" w:rsidRPr="00C37B02" w:rsidRDefault="000B1DD2" w:rsidP="00E06C4B">
                            <w:pPr>
                              <w:pStyle w:val="QuoteNoafterspace"/>
                            </w:pPr>
                            <w:r w:rsidRPr="00C37B02">
                              <w:t>The funding doesn't fund a single salary, so it is hard to adequately resource. The servicing guidelines suggest 3 visits, but some participants need more to build the relationship and get the information needed to develop a transition plan. In terms of numbers and funding, other activities (like CDP) are a higher business priority.</w:t>
                            </w:r>
                          </w:p>
                          <w:p w14:paraId="34BDEC06" w14:textId="0A8CF31A" w:rsidR="000B1DD2" w:rsidRPr="00C37B02" w:rsidRDefault="000B1DD2" w:rsidP="00E06C4B">
                            <w:pPr>
                              <w:pStyle w:val="QuoteNoafterspace"/>
                              <w:jc w:val="right"/>
                              <w:rPr>
                                <w:b/>
                                <w:bCs/>
                              </w:rPr>
                            </w:pPr>
                            <w:r w:rsidRPr="00C37B02">
                              <w:rPr>
                                <w:b/>
                                <w:bCs/>
                              </w:rPr>
                              <w:t>- Government stakeholder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288F01" id="Rectangle: Rounded Corners 63" o:spid="_x0000_s1047" style="width:495.6pt;height:103.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" fillcolor="#def0fa" stroked="f" strokeweight="2pt">
                <v:textbox inset="0,0,0,0">
                  <w:txbxContent>
                    <w:p w14:paraId="06ACF84A" w14:textId="77777777" w:rsidR="000B1DD2" w:rsidRPr="00C37B02" w:rsidRDefault="000B1DD2" w:rsidP="00E06C4B">
                      <w:pPr>
                        <w:pStyle w:val="QuoteNoafterspace"/>
                      </w:pPr>
                      <w:r w:rsidRPr="00C37B02">
                        <w:t>The funding doesn't fund a single salary, so it is hard to adequately resource. The servicing guidelines suggest 3 visits, but some participants need more to build the relationship and get the information needed to develop a transition plan. In terms of numbers and funding, other activities (like CDP) are a higher business priority.</w:t>
                      </w:r>
                    </w:p>
                    <w:p w14:paraId="34BDEC06" w14:textId="0A8CF31A" w:rsidR="000B1DD2" w:rsidRPr="00C37B02" w:rsidRDefault="000B1DD2" w:rsidP="00E06C4B">
                      <w:pPr>
                        <w:pStyle w:val="QuoteNoafterspace"/>
                        <w:jc w:val="right"/>
                        <w:rPr>
                          <w:b/>
                          <w:bCs/>
                        </w:rPr>
                      </w:pPr>
                      <w:r w:rsidRPr="00C37B02">
                        <w:rPr>
                          <w:b/>
                          <w:bCs/>
                        </w:rPr>
                        <w:t>- Government stakeholder</w:t>
                      </w:r>
                    </w:p>
                  </w:txbxContent>
                </v:textbox>
                <w10:anchorlock/>
              </v:roundrect>
            </w:pict>
          </mc:Fallback>
        </mc:AlternateContent>
      </w:r>
    </w:p>
    <w:p w14:paraId="60C9A0BC" w14:textId="1285A0EB" w:rsidR="00404623" w:rsidRPr="00FF3D15" w:rsidRDefault="00C37B02" w:rsidP="00305B4B">
      <w:pPr>
        <w:pStyle w:val="Bulletedlist"/>
        <w:numPr>
          <w:ilvl w:val="0"/>
          <w:numId w:val="0"/>
        </w:numPr>
        <w:ind w:right="3"/>
      </w:pPr>
      <w:r>
        <w:rPr>
          <w:noProof/>
          <w:lang w:eastAsia="en-AU"/>
        </w:rPr>
        <mc:AlternateContent>
          <mc:Choice Requires="wps">
            <w:drawing>
              <wp:inline distT="0" distB="0" distL="0" distR="0" wp14:anchorId="05CC8B7E" wp14:editId="58323FD3">
                <wp:extent cx="6294120" cy="1290918"/>
                <wp:effectExtent l="0" t="0" r="5080" b="5080"/>
                <wp:docPr id="62" name="Rectangle: Rounded Corners 62"/>
                <wp:cNvGraphicFramePr/>
                <a:graphic xmlns:a="http://schemas.openxmlformats.org/drawingml/2006/main">
                  <a:graphicData uri="http://schemas.microsoft.com/office/word/2010/wordprocessingShape">
                    <wps:wsp>
                      <wps:cNvSpPr/>
                      <wps:spPr>
                        <a:xfrm>
                          <a:off x="0" y="0"/>
                          <a:ext cx="6294120" cy="1290918"/>
                        </a:xfrm>
                        <a:prstGeom prst="roundRect">
                          <a:avLst/>
                        </a:prstGeom>
                        <a:solidFill>
                          <a:srgbClr val="58B6E7">
                            <a:lumMod val="20000"/>
                            <a:lumOff val="80000"/>
                          </a:srgbClr>
                        </a:solidFill>
                        <a:ln w="25400" cap="flat" cmpd="sng" algn="ctr">
                          <a:noFill/>
                          <a:prstDash val="solid"/>
                        </a:ln>
                        <a:effectLst/>
                      </wps:spPr>
                      <wps:txbx>
                        <w:txbxContent>
                          <w:p w14:paraId="218AD207" w14:textId="77777777" w:rsidR="00C37B02" w:rsidRDefault="00C37B02" w:rsidP="00E06C4B">
                            <w:pPr>
                              <w:pStyle w:val="QuoteNoafterspace"/>
                            </w:pPr>
                            <w:r w:rsidRPr="00404623">
                              <w:t>The window of opportunity engagement with the prisoners is too hard. 3 months is too small, you can’t build rapport. Normally it takes 3 months just to have a job seeker have trust in you. You would need more touchpoints and therefore would need a full</w:t>
                            </w:r>
                            <w:r>
                              <w:t>-</w:t>
                            </w:r>
                            <w:r w:rsidRPr="00404623">
                              <w:t>time consultant. And for TWES to liaise more with wraparound services would require a dedicated resource.</w:t>
                            </w:r>
                          </w:p>
                          <w:p w14:paraId="65A80FB6" w14:textId="77777777" w:rsidR="00C37B02" w:rsidRPr="006D6DBD" w:rsidRDefault="00C37B02" w:rsidP="00E06C4B">
                            <w:pPr>
                              <w:pStyle w:val="QuoteNoafterspace"/>
                              <w:jc w:val="right"/>
                              <w:rPr>
                                <w:b/>
                                <w:bCs/>
                              </w:rPr>
                            </w:pPr>
                            <w:r w:rsidRPr="006D6DBD">
                              <w:rPr>
                                <w:b/>
                                <w:bCs/>
                              </w:rPr>
                              <w:t xml:space="preserve">- </w:t>
                            </w:r>
                            <w:r>
                              <w:rPr>
                                <w:b/>
                                <w:bCs/>
                              </w:rPr>
                              <w:t>TWES provider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CC8B7E" id="Rectangle: Rounded Corners 62" o:spid="_x0000_s1048" style="width:495.6pt;height:10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" fillcolor="#def0fa" stroked="f" strokeweight="2pt">
                <v:textbox inset="0,0,0,0">
                  <w:txbxContent>
                    <w:p w14:paraId="218AD207" w14:textId="77777777" w:rsidR="00C37B02" w:rsidRDefault="00C37B02" w:rsidP="00E06C4B">
                      <w:pPr>
                        <w:pStyle w:val="QuoteNoafterspace"/>
                      </w:pPr>
                      <w:r w:rsidRPr="00404623">
                        <w:t>The window of opportunity engagement with the prisoners is too hard. 3 months is too small, you can’t build rapport. Normally it takes 3 months just to have a job seeker have trust in you. You would need more touchpoints and therefore would need a full</w:t>
                      </w:r>
                      <w:r>
                        <w:t>-</w:t>
                      </w:r>
                      <w:r w:rsidRPr="00404623">
                        <w:t>time consultant. And for TWES to liaise more with wraparound services would require a dedicated resource.</w:t>
                      </w:r>
                    </w:p>
                    <w:p w14:paraId="65A80FB6" w14:textId="77777777" w:rsidR="00C37B02" w:rsidRPr="006D6DBD" w:rsidRDefault="00C37B02" w:rsidP="00E06C4B">
                      <w:pPr>
                        <w:pStyle w:val="QuoteNoafterspace"/>
                        <w:jc w:val="right"/>
                        <w:rPr>
                          <w:b/>
                          <w:bCs/>
                        </w:rPr>
                      </w:pPr>
                      <w:r w:rsidRPr="006D6DBD">
                        <w:rPr>
                          <w:b/>
                          <w:bCs/>
                        </w:rPr>
                        <w:t xml:space="preserve">- </w:t>
                      </w:r>
                      <w:r>
                        <w:rPr>
                          <w:b/>
                          <w:bCs/>
                        </w:rPr>
                        <w:t>TWES provider</w:t>
                      </w:r>
                    </w:p>
                  </w:txbxContent>
                </v:textbox>
                <w10:anchorlock/>
              </v:roundrect>
            </w:pict>
          </mc:Fallback>
        </mc:AlternateContent>
      </w:r>
    </w:p>
    <w:p w14:paraId="5DE4915D" w14:textId="74E170FA" w:rsidR="00D97348" w:rsidRPr="00FF3D15" w:rsidRDefault="00C023E6" w:rsidP="00305B4B">
      <w:pPr>
        <w:pStyle w:val="BodyText"/>
        <w:ind w:right="3"/>
      </w:pPr>
      <w:r w:rsidRPr="00C37B02">
        <w:t>Government</w:t>
      </w:r>
      <w:r w:rsidRPr="00FF3D15">
        <w:rPr>
          <w:spacing w:val="-10"/>
        </w:rPr>
        <w:t xml:space="preserve"> </w:t>
      </w:r>
      <w:r w:rsidRPr="00FF3D15">
        <w:t>stakeholders’</w:t>
      </w:r>
      <w:r w:rsidRPr="00FF3D15">
        <w:rPr>
          <w:spacing w:val="-7"/>
        </w:rPr>
        <w:t xml:space="preserve"> </w:t>
      </w:r>
      <w:r w:rsidRPr="00FF3D15">
        <w:rPr>
          <w:spacing w:val="-1"/>
        </w:rPr>
        <w:t>p</w:t>
      </w:r>
      <w:r w:rsidR="00C5684B" w:rsidRPr="00FF3D15">
        <w:rPr>
          <w:spacing w:val="-1"/>
        </w:rPr>
        <w:t>erspectives</w:t>
      </w:r>
      <w:r w:rsidR="00C5684B" w:rsidRPr="00FF3D15">
        <w:rPr>
          <w:spacing w:val="-7"/>
        </w:rPr>
        <w:t xml:space="preserve"> </w:t>
      </w:r>
      <w:r w:rsidR="00EF1BE7" w:rsidRPr="00FF3D15">
        <w:t>on</w:t>
      </w:r>
      <w:r w:rsidR="00EF1BE7" w:rsidRPr="00FF3D15">
        <w:rPr>
          <w:spacing w:val="-9"/>
        </w:rPr>
        <w:t xml:space="preserve"> </w:t>
      </w:r>
      <w:r w:rsidR="00EF1BE7" w:rsidRPr="00FF3D15">
        <w:t>costs</w:t>
      </w:r>
      <w:r w:rsidR="00EF1BE7" w:rsidRPr="00FF3D15">
        <w:rPr>
          <w:spacing w:val="-8"/>
        </w:rPr>
        <w:t xml:space="preserve"> </w:t>
      </w:r>
      <w:r w:rsidRPr="00FF3D15">
        <w:rPr>
          <w:spacing w:val="-1"/>
        </w:rPr>
        <w:t>also</w:t>
      </w:r>
      <w:r w:rsidRPr="00FF3D15">
        <w:rPr>
          <w:spacing w:val="-6"/>
        </w:rPr>
        <w:t xml:space="preserve"> </w:t>
      </w:r>
      <w:r w:rsidRPr="00FF3D15">
        <w:rPr>
          <w:spacing w:val="-1"/>
        </w:rPr>
        <w:t>varied.</w:t>
      </w:r>
      <w:r w:rsidRPr="00FF3D15">
        <w:rPr>
          <w:spacing w:val="-9"/>
        </w:rPr>
        <w:t xml:space="preserve"> </w:t>
      </w:r>
      <w:r w:rsidR="00EF5FE7" w:rsidRPr="00FF3D15">
        <w:t>Comments</w:t>
      </w:r>
      <w:r w:rsidR="00EF5FE7" w:rsidRPr="00FF3D15">
        <w:rPr>
          <w:spacing w:val="-8"/>
        </w:rPr>
        <w:t xml:space="preserve"> </w:t>
      </w:r>
      <w:r w:rsidR="00EF5FE7" w:rsidRPr="00FF3D15">
        <w:t>offered</w:t>
      </w:r>
      <w:r w:rsidR="00EF5FE7" w:rsidRPr="00FF3D15">
        <w:rPr>
          <w:spacing w:val="-9"/>
        </w:rPr>
        <w:t xml:space="preserve"> </w:t>
      </w:r>
      <w:r w:rsidR="00EF5FE7" w:rsidRPr="00FF3D15">
        <w:t>included:</w:t>
      </w:r>
    </w:p>
    <w:p w14:paraId="5673B275" w14:textId="38EDB347" w:rsidR="00AE0048" w:rsidRPr="00FF3D15" w:rsidRDefault="005D1F9A" w:rsidP="00305B4B">
      <w:pPr>
        <w:pStyle w:val="Bulletedlist"/>
        <w:ind w:right="3"/>
      </w:pPr>
      <w:r>
        <w:t xml:space="preserve">Payment levels may never be large enough to fund a full-time position in smaller prisons with </w:t>
      </w:r>
      <w:r w:rsidR="00C3085F">
        <w:t xml:space="preserve">a smaller population of eligible </w:t>
      </w:r>
      <w:r w:rsidR="002262E6" w:rsidRPr="00FF3D15">
        <w:t>Aboriginal</w:t>
      </w:r>
      <w:r w:rsidR="002262E6" w:rsidRPr="00FF3D15">
        <w:rPr>
          <w:spacing w:val="-7"/>
        </w:rPr>
        <w:t xml:space="preserve"> </w:t>
      </w:r>
      <w:r w:rsidR="002262E6" w:rsidRPr="00FF3D15">
        <w:t>and</w:t>
      </w:r>
      <w:r w:rsidR="002262E6" w:rsidRPr="00FF3D15">
        <w:rPr>
          <w:spacing w:val="-6"/>
        </w:rPr>
        <w:t xml:space="preserve"> </w:t>
      </w:r>
      <w:r w:rsidR="002262E6" w:rsidRPr="00FF3D15">
        <w:t>Torres</w:t>
      </w:r>
      <w:r w:rsidR="002262E6" w:rsidRPr="00FF3D15">
        <w:rPr>
          <w:spacing w:val="-4"/>
        </w:rPr>
        <w:t xml:space="preserve"> </w:t>
      </w:r>
      <w:r w:rsidR="002262E6" w:rsidRPr="00FF3D15">
        <w:rPr>
          <w:spacing w:val="-1"/>
        </w:rPr>
        <w:t>Strait</w:t>
      </w:r>
      <w:r w:rsidR="002262E6" w:rsidRPr="00FF3D15">
        <w:rPr>
          <w:spacing w:val="-4"/>
        </w:rPr>
        <w:t xml:space="preserve"> </w:t>
      </w:r>
      <w:r w:rsidR="002262E6" w:rsidRPr="00FF3D15">
        <w:t>Islander</w:t>
      </w:r>
      <w:r w:rsidR="002262E6" w:rsidRPr="00FF3D15">
        <w:rPr>
          <w:spacing w:val="-6"/>
        </w:rPr>
        <w:t xml:space="preserve"> </w:t>
      </w:r>
      <w:r w:rsidR="00C3085F">
        <w:rPr>
          <w:spacing w:val="-6"/>
        </w:rPr>
        <w:t>prisons, so the expectation that funding could cover a full-time position in these prisons is not realistic</w:t>
      </w:r>
      <w:r w:rsidR="00143E10">
        <w:rPr>
          <w:spacing w:val="-6"/>
        </w:rPr>
        <w:t>.</w:t>
      </w:r>
    </w:p>
    <w:p w14:paraId="38783036" w14:textId="12038C5A" w:rsidR="00B41C13" w:rsidRPr="00FF3D15" w:rsidRDefault="00B26B3F" w:rsidP="00305B4B">
      <w:pPr>
        <w:pStyle w:val="Bulletedlist"/>
        <w:ind w:right="3"/>
      </w:pPr>
      <w:r>
        <w:t xml:space="preserve">Payment levels were determined </w:t>
      </w:r>
      <w:r w:rsidR="00274465">
        <w:t>by DESE and NIAA through analysis prior to the tender process</w:t>
      </w:r>
      <w:r w:rsidR="00143E10">
        <w:t>.</w:t>
      </w:r>
    </w:p>
    <w:p w14:paraId="2060ADBE" w14:textId="2A6C810E" w:rsidR="007103B8" w:rsidRPr="00C37B02" w:rsidRDefault="007103B8" w:rsidP="00305B4B">
      <w:pPr>
        <w:pStyle w:val="BodyText"/>
        <w:ind w:right="3"/>
      </w:pPr>
      <w:r w:rsidRPr="00C37B02">
        <w:t>However</w:t>
      </w:r>
      <w:r w:rsidR="00CF40F7" w:rsidRPr="00C37B02">
        <w:t>,</w:t>
      </w:r>
      <w:r w:rsidRPr="00C37B02">
        <w:t xml:space="preserve"> some government stakeholders did express concerns about payment</w:t>
      </w:r>
      <w:r w:rsidR="00D234F8" w:rsidRPr="00C37B02">
        <w:t>s</w:t>
      </w:r>
      <w:r w:rsidR="00CF40F7" w:rsidRPr="00C37B02">
        <w:t>. These included</w:t>
      </w:r>
      <w:r w:rsidRPr="00C37B02">
        <w:t>:</w:t>
      </w:r>
    </w:p>
    <w:p w14:paraId="14B0B781" w14:textId="36075D43" w:rsidR="007103B8" w:rsidRPr="005C3737" w:rsidRDefault="00E45C43" w:rsidP="00305B4B">
      <w:pPr>
        <w:pStyle w:val="Bulletedlist"/>
        <w:ind w:right="3"/>
      </w:pPr>
      <w:r w:rsidRPr="005C3737">
        <w:t xml:space="preserve">That some </w:t>
      </w:r>
      <w:r w:rsidR="00B73C9A" w:rsidRPr="005C3737">
        <w:t xml:space="preserve">TWES </w:t>
      </w:r>
      <w:r w:rsidR="00467A51" w:rsidRPr="005C3737">
        <w:t>provider</w:t>
      </w:r>
      <w:r w:rsidRPr="005C3737">
        <w:t xml:space="preserve">s perceived </w:t>
      </w:r>
      <w:r w:rsidR="00DB2124" w:rsidRPr="005C3737">
        <w:t xml:space="preserve">that </w:t>
      </w:r>
      <w:r w:rsidRPr="005C3737">
        <w:t xml:space="preserve">they </w:t>
      </w:r>
      <w:r w:rsidR="004B5EDB" w:rsidRPr="005C3737">
        <w:t xml:space="preserve">were not getting sufficient funding to deliver TWES, to cover the </w:t>
      </w:r>
      <w:r w:rsidR="00900D3A" w:rsidRPr="005C3737">
        <w:t xml:space="preserve">initial set up costs including </w:t>
      </w:r>
      <w:r w:rsidR="007103B8" w:rsidRPr="005C3737">
        <w:t>conducting police checks for staff, building relationship</w:t>
      </w:r>
      <w:r w:rsidR="00C75FA5" w:rsidRPr="005C3737">
        <w:t>s with</w:t>
      </w:r>
      <w:r w:rsidR="007103B8" w:rsidRPr="005C3737">
        <w:t xml:space="preserve"> prisons</w:t>
      </w:r>
      <w:r w:rsidR="00900D3A" w:rsidRPr="005C3737">
        <w:t xml:space="preserve"> and recruiting </w:t>
      </w:r>
      <w:r w:rsidR="007103B8" w:rsidRPr="005C3737">
        <w:t>the right staff with a unique skill set (particularly in remote areas)</w:t>
      </w:r>
      <w:r w:rsidR="00143E10" w:rsidRPr="005C3737">
        <w:t>.</w:t>
      </w:r>
    </w:p>
    <w:p w14:paraId="1F5D1E96" w14:textId="4FEB59BE" w:rsidR="00AA3924" w:rsidRPr="005C3737" w:rsidRDefault="007103B8" w:rsidP="00305B4B">
      <w:pPr>
        <w:pStyle w:val="Bulletedlist"/>
        <w:ind w:right="3"/>
      </w:pPr>
      <w:r w:rsidRPr="005C3737">
        <w:lastRenderedPageBreak/>
        <w:t xml:space="preserve">The relative weighting of the Transition Plan Fee in non-remote areas </w:t>
      </w:r>
      <w:r w:rsidR="00442FA4" w:rsidRPr="005C3737">
        <w:t>should be considered</w:t>
      </w:r>
      <w:r w:rsidR="006A7777" w:rsidRPr="005C3737">
        <w:t xml:space="preserve"> – because this </w:t>
      </w:r>
      <w:r w:rsidR="00AA3924" w:rsidRPr="005C3737">
        <w:t>f</w:t>
      </w:r>
      <w:r w:rsidR="006A7777" w:rsidRPr="005C3737">
        <w:t xml:space="preserve">ee is </w:t>
      </w:r>
      <w:r w:rsidR="00AA3924" w:rsidRPr="005C3737">
        <w:t xml:space="preserve">significantly </w:t>
      </w:r>
      <w:r w:rsidR="006A7777" w:rsidRPr="005C3737">
        <w:t>smaller than the upfront payment</w:t>
      </w:r>
      <w:r w:rsidR="00AA3924" w:rsidRPr="005C3737">
        <w:t xml:space="preserve">, the financial incentive for getting a participant to the point of an Approved Transition Plan may be seen as insufficient for some TWES </w:t>
      </w:r>
      <w:r w:rsidR="00467A51" w:rsidRPr="005C3737">
        <w:t>provider</w:t>
      </w:r>
      <w:r w:rsidR="00AA3924" w:rsidRPr="005C3737">
        <w:t xml:space="preserve">s (interviews with TWES </w:t>
      </w:r>
      <w:r w:rsidR="00D61836" w:rsidRPr="005C3737">
        <w:t xml:space="preserve">providers </w:t>
      </w:r>
      <w:r w:rsidR="00AA3924" w:rsidRPr="005C3737">
        <w:t>did not gather sufficient data to test this specific point).</w:t>
      </w:r>
      <w:r w:rsidR="00DC1EBE" w:rsidRPr="005C3737">
        <w:t xml:space="preserve"> This </w:t>
      </w:r>
      <w:r w:rsidR="004F5818" w:rsidRPr="005C3737">
        <w:t>may</w:t>
      </w:r>
      <w:r w:rsidR="00DC1EBE" w:rsidRPr="005C3737">
        <w:t xml:space="preserve"> help explain why</w:t>
      </w:r>
      <w:r w:rsidR="00516041" w:rsidRPr="005C3737">
        <w:t xml:space="preserve"> fewer TWES participants in non-remote areas receive Approved Transition Plans than those in remote areas (</w:t>
      </w:r>
      <w:r w:rsidR="003965EE" w:rsidRPr="005C3737">
        <w:t xml:space="preserve">39% vs 50% of TWES participants, respectively </w:t>
      </w:r>
      <w:r w:rsidR="00FA1627" w:rsidRPr="005C3737">
        <w:t xml:space="preserve">see </w:t>
      </w:r>
      <w:hyperlink w:anchor="bookmark21" w:history="1">
        <w:r w:rsidR="006B1509" w:rsidRPr="005C3737">
          <w:rPr>
            <w:rStyle w:val="Hyperlink"/>
            <w:b/>
            <w:bCs/>
            <w:color w:val="000000" w:themeColor="text1"/>
            <w:u w:val="none"/>
          </w:rPr>
          <w:t>Table 11</w:t>
        </w:r>
      </w:hyperlink>
      <w:r w:rsidR="00FA1627" w:rsidRPr="005C3737">
        <w:rPr>
          <w:b/>
          <w:bCs/>
          <w:color w:val="000000" w:themeColor="text1"/>
        </w:rPr>
        <w:t>)</w:t>
      </w:r>
      <w:r w:rsidR="00143E10" w:rsidRPr="005C3737">
        <w:t>.</w:t>
      </w:r>
    </w:p>
    <w:p w14:paraId="063F9757" w14:textId="3B956962" w:rsidR="006B67AA" w:rsidRPr="005C3737" w:rsidRDefault="008D68F8" w:rsidP="00305B4B">
      <w:pPr>
        <w:pStyle w:val="Bulletedlist"/>
        <w:ind w:right="3"/>
      </w:pPr>
      <w:r w:rsidRPr="005C3737">
        <w:t xml:space="preserve">Two government stakeholders </w:t>
      </w:r>
      <w:r w:rsidR="007103B8" w:rsidRPr="005C3737">
        <w:t xml:space="preserve">shared </w:t>
      </w:r>
      <w:r w:rsidR="00E279A7" w:rsidRPr="005C3737">
        <w:t xml:space="preserve">some </w:t>
      </w:r>
      <w:r w:rsidR="007103B8" w:rsidRPr="005C3737">
        <w:t xml:space="preserve">TWES </w:t>
      </w:r>
      <w:r w:rsidR="00D61836" w:rsidRPr="005C3737">
        <w:t xml:space="preserve">providers’ </w:t>
      </w:r>
      <w:r w:rsidR="007103B8" w:rsidRPr="005C3737">
        <w:t>concerns about the time</w:t>
      </w:r>
      <w:r w:rsidR="00CC7B4C" w:rsidRPr="005C3737">
        <w:t>frame and number of meetings</w:t>
      </w:r>
      <w:r w:rsidR="007103B8" w:rsidRPr="005C3737">
        <w:t xml:space="preserve"> required to build a good relationship with participants</w:t>
      </w:r>
      <w:r w:rsidR="00CC7B4C" w:rsidRPr="005C3737">
        <w:t>, as well as concerns over</w:t>
      </w:r>
      <w:r w:rsidR="0086008E" w:rsidRPr="005C3737">
        <w:t xml:space="preserve"> funding levels being insufficient to cover </w:t>
      </w:r>
      <w:r w:rsidR="00BF5DA5" w:rsidRPr="005C3737">
        <w:t xml:space="preserve">a </w:t>
      </w:r>
      <w:r w:rsidR="0086008E" w:rsidRPr="005C3737">
        <w:t>full</w:t>
      </w:r>
      <w:r w:rsidR="00793EE1" w:rsidRPr="005C3737">
        <w:t>-</w:t>
      </w:r>
      <w:r w:rsidR="0086008E" w:rsidRPr="005C3737">
        <w:t>time position.</w:t>
      </w:r>
    </w:p>
    <w:p w14:paraId="4033BE59" w14:textId="04ADAAF0" w:rsidR="007035E5" w:rsidRPr="00FF3D15" w:rsidRDefault="005C3737" w:rsidP="000710CA">
      <w:pPr>
        <w:pStyle w:val="Bulletedlist"/>
        <w:numPr>
          <w:ilvl w:val="0"/>
          <w:numId w:val="0"/>
        </w:numPr>
        <w:ind w:right="3"/>
      </w:pPr>
      <w:r w:rsidRPr="005C3737">
        <w:rPr>
          <w:noProof/>
          <w:lang w:eastAsia="en-AU"/>
        </w:rPr>
        <mc:AlternateContent>
          <mc:Choice Requires="wps">
            <w:drawing>
              <wp:inline distT="0" distB="0" distL="0" distR="0" wp14:anchorId="15836792" wp14:editId="3005C9DD">
                <wp:extent cx="6232849" cy="896471"/>
                <wp:effectExtent l="0" t="0" r="3175" b="5715"/>
                <wp:docPr id="64" name="Rectangle: Rounded Corners 64"/>
                <wp:cNvGraphicFramePr/>
                <a:graphic xmlns:a="http://schemas.openxmlformats.org/drawingml/2006/main">
                  <a:graphicData uri="http://schemas.microsoft.com/office/word/2010/wordprocessingShape">
                    <wps:wsp>
                      <wps:cNvSpPr/>
                      <wps:spPr>
                        <a:xfrm>
                          <a:off x="0" y="0"/>
                          <a:ext cx="6232849" cy="896471"/>
                        </a:xfrm>
                        <a:prstGeom prst="roundRect">
                          <a:avLst/>
                        </a:prstGeom>
                        <a:solidFill>
                          <a:srgbClr val="58B6E7">
                            <a:lumMod val="20000"/>
                            <a:lumOff val="80000"/>
                          </a:srgbClr>
                        </a:solidFill>
                        <a:ln w="25400" cap="flat" cmpd="sng" algn="ctr">
                          <a:noFill/>
                          <a:prstDash val="solid"/>
                        </a:ln>
                        <a:effectLst/>
                      </wps:spPr>
                      <wps:txbx>
                        <w:txbxContent>
                          <w:p w14:paraId="6DF8ACF1" w14:textId="77777777" w:rsidR="005C3737" w:rsidRPr="005C3737" w:rsidRDefault="005C3737" w:rsidP="00E06C4B">
                            <w:pPr>
                              <w:pStyle w:val="QuoteNoafterspace"/>
                            </w:pPr>
                            <w:r w:rsidRPr="005C3737">
                              <w:t>TWES providers can miss out on the Approved Transition Plan fee – they can put a lot of effort into a person, and then they're transferred to another prison, and we don't know where.</w:t>
                            </w:r>
                          </w:p>
                          <w:p w14:paraId="780F794E" w14:textId="77777777" w:rsidR="005C3737" w:rsidRPr="005C3737" w:rsidRDefault="005C3737" w:rsidP="00E06C4B">
                            <w:pPr>
                              <w:pStyle w:val="QuoteNoafterspace"/>
                              <w:jc w:val="right"/>
                              <w:rPr>
                                <w:b/>
                                <w:bCs/>
                              </w:rPr>
                            </w:pPr>
                            <w:r w:rsidRPr="005C3737">
                              <w:rPr>
                                <w:b/>
                                <w:bCs/>
                              </w:rPr>
                              <w:t>- Government stakeholder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836792" id="Rectangle: Rounded Corners 64" o:spid="_x0000_s1049" style="width:490.8pt;height:70.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" fillcolor="#def0fa" stroked="f" strokeweight="2pt">
                <v:textbox inset="0,0,0,0">
                  <w:txbxContent>
                    <w:p w14:paraId="6DF8ACF1" w14:textId="77777777" w:rsidR="005C3737" w:rsidRPr="005C3737" w:rsidRDefault="005C3737" w:rsidP="00E06C4B">
                      <w:pPr>
                        <w:pStyle w:val="QuoteNoafterspace"/>
                      </w:pPr>
                      <w:r w:rsidRPr="005C3737">
                        <w:t>TWES providers can miss out on the Approved Transition Plan fee – they can put a lot of effort into a person, and then they're transferred to another prison, and we don't know where.</w:t>
                      </w:r>
                    </w:p>
                    <w:p w14:paraId="780F794E" w14:textId="77777777" w:rsidR="005C3737" w:rsidRPr="005C3737" w:rsidRDefault="005C3737" w:rsidP="00E06C4B">
                      <w:pPr>
                        <w:pStyle w:val="QuoteNoafterspace"/>
                        <w:jc w:val="right"/>
                        <w:rPr>
                          <w:b/>
                          <w:bCs/>
                        </w:rPr>
                      </w:pPr>
                      <w:r w:rsidRPr="005C3737">
                        <w:rPr>
                          <w:b/>
                          <w:bCs/>
                        </w:rPr>
                        <w:t>- Government stakeholder</w:t>
                      </w:r>
                    </w:p>
                  </w:txbxContent>
                </v:textbox>
                <w10:anchorlock/>
              </v:roundrect>
            </w:pict>
          </mc:Fallback>
        </mc:AlternateContent>
      </w:r>
    </w:p>
    <w:p w14:paraId="176D0A1A" w14:textId="436F0869" w:rsidR="006E6A1C" w:rsidRPr="005C3737" w:rsidRDefault="00555AA5" w:rsidP="00305B4B">
      <w:pPr>
        <w:pStyle w:val="BodyText"/>
        <w:ind w:right="3"/>
      </w:pPr>
      <w:r w:rsidRPr="005C3737">
        <w:t xml:space="preserve">The evaluation did not gather </w:t>
      </w:r>
      <w:r w:rsidR="001C5432" w:rsidRPr="005C3737">
        <w:t xml:space="preserve">financial </w:t>
      </w:r>
      <w:r w:rsidRPr="005C3737">
        <w:t xml:space="preserve">data from TWES </w:t>
      </w:r>
      <w:r w:rsidR="00D61836" w:rsidRPr="005C3737">
        <w:t xml:space="preserve">providers </w:t>
      </w:r>
      <w:r w:rsidR="001C5432" w:rsidRPr="005C3737">
        <w:t xml:space="preserve">to </w:t>
      </w:r>
      <w:r w:rsidR="00A433C7" w:rsidRPr="005C3737">
        <w:t xml:space="preserve">analyse </w:t>
      </w:r>
      <w:r w:rsidR="000635AF" w:rsidRPr="005C3737">
        <w:t xml:space="preserve">and compare </w:t>
      </w:r>
      <w:r w:rsidR="00A433C7" w:rsidRPr="005C3737">
        <w:t>the</w:t>
      </w:r>
      <w:r w:rsidR="00037A22" w:rsidRPr="005C3737">
        <w:t xml:space="preserve"> actual operational and overhead costs </w:t>
      </w:r>
      <w:r w:rsidR="000635AF" w:rsidRPr="005C3737">
        <w:t xml:space="preserve">that they have incurred to deliver the service. However, </w:t>
      </w:r>
      <w:r w:rsidR="001C1E12" w:rsidRPr="005C3737">
        <w:t xml:space="preserve">interview findings do provide some indication that delivering TWES </w:t>
      </w:r>
      <w:r w:rsidR="001F7602" w:rsidRPr="005C3737">
        <w:t>successfully</w:t>
      </w:r>
      <w:r w:rsidR="000B3768" w:rsidRPr="005C3737">
        <w:t>,</w:t>
      </w:r>
      <w:r w:rsidR="001F7602" w:rsidRPr="005C3737">
        <w:t xml:space="preserve"> in </w:t>
      </w:r>
      <w:r w:rsidR="000B3768" w:rsidRPr="005C3737">
        <w:t xml:space="preserve">the </w:t>
      </w:r>
      <w:r w:rsidR="001F7602" w:rsidRPr="005C3737">
        <w:t>complex</w:t>
      </w:r>
      <w:r w:rsidR="000B3768" w:rsidRPr="005C3737">
        <w:t xml:space="preserve"> prison environment, </w:t>
      </w:r>
      <w:r w:rsidR="00BA74F9" w:rsidRPr="005C3737">
        <w:t xml:space="preserve">and </w:t>
      </w:r>
      <w:r w:rsidR="000B3768" w:rsidRPr="005C3737">
        <w:t xml:space="preserve">with a </w:t>
      </w:r>
      <w:r w:rsidR="00DA1A1B" w:rsidRPr="005C3737">
        <w:t xml:space="preserve">participant cohort where building </w:t>
      </w:r>
      <w:r w:rsidR="00BA74F9" w:rsidRPr="005C3737">
        <w:t>relationships is key to succes</w:t>
      </w:r>
      <w:r w:rsidR="00EE18B5" w:rsidRPr="005C3737">
        <w:t xml:space="preserve">s, involves unexpected costs </w:t>
      </w:r>
      <w:r w:rsidR="00A95A36" w:rsidRPr="005C3737">
        <w:t xml:space="preserve">that some TWES </w:t>
      </w:r>
      <w:r w:rsidR="00D61836" w:rsidRPr="005C3737">
        <w:t xml:space="preserve">providers </w:t>
      </w:r>
      <w:r w:rsidR="00A95A36" w:rsidRPr="005C3737">
        <w:t xml:space="preserve">feel are not covered under the current payment levels. </w:t>
      </w:r>
    </w:p>
    <w:p w14:paraId="2B4D725C" w14:textId="77777777" w:rsidR="00922035" w:rsidRPr="00407946" w:rsidRDefault="00BB2E9E" w:rsidP="00305B4B">
      <w:pPr>
        <w:pStyle w:val="Heading3"/>
        <w:ind w:right="3"/>
      </w:pPr>
      <w:r w:rsidRPr="00407946">
        <w:t>Summary</w:t>
      </w:r>
    </w:p>
    <w:p w14:paraId="1DBDB91F" w14:textId="1793850A" w:rsidR="00E00F57" w:rsidRDefault="005812DE" w:rsidP="00305B4B">
      <w:pPr>
        <w:pStyle w:val="BodyText"/>
        <w:ind w:right="3"/>
      </w:pPr>
      <w:r w:rsidRPr="00A12BDD">
        <w:t xml:space="preserve">TWES was designed to </w:t>
      </w:r>
      <w:r w:rsidR="00776D0B" w:rsidRPr="00A12BDD">
        <w:t xml:space="preserve">improve the supports provided to </w:t>
      </w:r>
      <w:r w:rsidR="00E702F0" w:rsidRPr="00A12BDD">
        <w:t>Aboriginal and Torres Strait Islan</w:t>
      </w:r>
      <w:r w:rsidR="006364A8" w:rsidRPr="00A12BDD">
        <w:t>d</w:t>
      </w:r>
      <w:r w:rsidR="00E702F0" w:rsidRPr="00A12BDD">
        <w:t>er prisoners</w:t>
      </w:r>
      <w:r w:rsidR="006364A8" w:rsidRPr="00A12BDD">
        <w:t>. It was designed following extensive consultation with Aboriginal and Torres Strait Islander stakeholder</w:t>
      </w:r>
      <w:r w:rsidR="00A22B57" w:rsidRPr="00A12BDD">
        <w:t>s</w:t>
      </w:r>
      <w:r w:rsidR="006364A8" w:rsidRPr="00A12BDD">
        <w:t xml:space="preserve"> and experts</w:t>
      </w:r>
      <w:r w:rsidR="00A22B57" w:rsidRPr="00A12BDD">
        <w:t xml:space="preserve"> conducted through the </w:t>
      </w:r>
      <w:r w:rsidR="00A22B57" w:rsidRPr="00A12BDD">
        <w:rPr>
          <w:i/>
          <w:iCs/>
        </w:rPr>
        <w:t>Prison to Work</w:t>
      </w:r>
      <w:r w:rsidR="00A22B57" w:rsidRPr="00A12BDD">
        <w:t xml:space="preserve"> report. </w:t>
      </w:r>
      <w:r w:rsidR="0006045F" w:rsidRPr="00A12BDD">
        <w:t xml:space="preserve">Overall, </w:t>
      </w:r>
      <w:r w:rsidR="002C0561" w:rsidRPr="00A12BDD">
        <w:t>TWES was implemented well and is delivering services nationally in prisons in remote and non-remote locations</w:t>
      </w:r>
      <w:r w:rsidR="00DE5CDC" w:rsidRPr="00A12BDD">
        <w:t>, despite s</w:t>
      </w:r>
      <w:r w:rsidR="00D3674D" w:rsidRPr="00A12BDD">
        <w:t xml:space="preserve">ervice delivery </w:t>
      </w:r>
      <w:r w:rsidR="00DE5CDC" w:rsidRPr="00A12BDD">
        <w:t xml:space="preserve">being </w:t>
      </w:r>
      <w:r w:rsidR="00D3674D" w:rsidRPr="00A12BDD">
        <w:t>heavily impacted by COVID-19</w:t>
      </w:r>
      <w:r w:rsidR="00DE5CDC" w:rsidRPr="00A12BDD">
        <w:t xml:space="preserve"> in 2020. </w:t>
      </w:r>
      <w:r w:rsidR="00C73187" w:rsidRPr="00A12BDD">
        <w:t xml:space="preserve">The evaluation found indications that </w:t>
      </w:r>
      <w:r w:rsidR="002C0561" w:rsidRPr="00A12BDD">
        <w:t xml:space="preserve">TWES is </w:t>
      </w:r>
      <w:r w:rsidR="00C73187" w:rsidRPr="00A12BDD">
        <w:t xml:space="preserve">complementing other in-prison services that focus on employment by providing </w:t>
      </w:r>
      <w:r w:rsidR="00EA49E4" w:rsidRPr="00A12BDD">
        <w:t>a service that is particularly valuable for highly disadvantaged prisoners</w:t>
      </w:r>
      <w:r w:rsidR="00AF4DF8" w:rsidRPr="00A12BDD">
        <w:t xml:space="preserve">. </w:t>
      </w:r>
      <w:r w:rsidR="00B62076">
        <w:t xml:space="preserve">The findings </w:t>
      </w:r>
      <w:r w:rsidR="00B07C6E">
        <w:t xml:space="preserve">presented above identify opportunities for NIAA, DESE, Services Australia and </w:t>
      </w:r>
      <w:r w:rsidR="00B63B84">
        <w:t>state</w:t>
      </w:r>
      <w:r w:rsidR="00B07C6E">
        <w:t>/</w:t>
      </w:r>
      <w:r w:rsidR="00B63B84">
        <w:t xml:space="preserve">territory </w:t>
      </w:r>
      <w:r w:rsidR="005510DE">
        <w:t>g</w:t>
      </w:r>
      <w:r w:rsidR="00B07C6E">
        <w:t xml:space="preserve">overnments </w:t>
      </w:r>
      <w:r w:rsidR="00F37731">
        <w:t>to improve the design and implementation of TWES and future similar programs.</w:t>
      </w:r>
      <w:r w:rsidR="00E00F57">
        <w:br w:type="page"/>
      </w:r>
    </w:p>
    <w:p w14:paraId="4D295106" w14:textId="2E1BE453" w:rsidR="002E0DB7" w:rsidRPr="00A64A41" w:rsidRDefault="00D7285F" w:rsidP="00305B4B">
      <w:pPr>
        <w:pStyle w:val="Heading2"/>
        <w:ind w:right="3"/>
      </w:pPr>
      <w:bookmarkStart w:id="106" w:name="bookmark28"/>
      <w:bookmarkStart w:id="107" w:name="_Ref72757637"/>
      <w:bookmarkStart w:id="108" w:name="_Ref72757641"/>
      <w:bookmarkStart w:id="109" w:name="_Toc74911619"/>
      <w:bookmarkStart w:id="110" w:name="_Toc75959322"/>
      <w:bookmarkStart w:id="111" w:name="_Ref69375036"/>
      <w:bookmarkStart w:id="112" w:name="_Ref69379065"/>
      <w:bookmarkStart w:id="113" w:name="_Toc69718840"/>
      <w:bookmarkEnd w:id="106"/>
      <w:r w:rsidRPr="00A64A41">
        <w:lastRenderedPageBreak/>
        <w:t xml:space="preserve">4.2 </w:t>
      </w:r>
      <w:r w:rsidR="00077E9B" w:rsidRPr="00A64A41">
        <w:t>Objective 2: Understand the impact of TWES</w:t>
      </w:r>
      <w:bookmarkEnd w:id="107"/>
      <w:bookmarkEnd w:id="108"/>
      <w:bookmarkEnd w:id="109"/>
      <w:bookmarkEnd w:id="110"/>
      <w:r w:rsidR="00077E9B" w:rsidRPr="00A64A41">
        <w:t xml:space="preserve"> </w:t>
      </w:r>
      <w:bookmarkEnd w:id="111"/>
      <w:bookmarkEnd w:id="112"/>
      <w:bookmarkEnd w:id="113"/>
    </w:p>
    <w:p w14:paraId="37700049" w14:textId="02E8FA50" w:rsidR="00BB684E" w:rsidRPr="00A64A41" w:rsidRDefault="00D622A2" w:rsidP="00305B4B">
      <w:pPr>
        <w:pStyle w:val="BodyText"/>
        <w:ind w:right="3"/>
      </w:pPr>
      <w:r w:rsidRPr="00A64A41">
        <w:t xml:space="preserve">This section presents findings on </w:t>
      </w:r>
      <w:r w:rsidR="008C1836" w:rsidRPr="00A64A41">
        <w:t xml:space="preserve">whether TWES achieved </w:t>
      </w:r>
      <w:r w:rsidR="00B96B73" w:rsidRPr="00A64A41">
        <w:t>priority outcomes for TWES participants and employment service providers. The</w:t>
      </w:r>
      <w:r w:rsidR="00A305B3" w:rsidRPr="00A64A41">
        <w:t>se priority outcomes are identified in the</w:t>
      </w:r>
      <w:r w:rsidR="00B96B73" w:rsidRPr="00A64A41">
        <w:t xml:space="preserve"> </w:t>
      </w:r>
      <w:r w:rsidR="008F5C28" w:rsidRPr="00A64A41">
        <w:t xml:space="preserve">TWES program logic </w:t>
      </w:r>
      <w:r w:rsidR="00346B6C" w:rsidRPr="00A64A41">
        <w:t>(</w:t>
      </w:r>
      <w:r w:rsidR="00AB6EA7" w:rsidRPr="00A64A41">
        <w:rPr>
          <w:b/>
          <w:bCs/>
        </w:rPr>
        <w:t xml:space="preserve">Section </w:t>
      </w:r>
      <w:r w:rsidR="00AB6EA7" w:rsidRPr="00A64A41">
        <w:rPr>
          <w:b/>
          <w:bCs/>
        </w:rPr>
        <w:fldChar w:fldCharType="begin"/>
      </w:r>
      <w:r w:rsidR="00AB6EA7" w:rsidRPr="00A64A41">
        <w:rPr>
          <w:b/>
          <w:bCs/>
        </w:rPr>
        <w:instrText xml:space="preserve"> REF _Ref75010590 \r \h  \* MERGEFORMAT </w:instrText>
      </w:r>
      <w:r w:rsidR="00AB6EA7" w:rsidRPr="00A64A41">
        <w:rPr>
          <w:b/>
          <w:bCs/>
        </w:rPr>
      </w:r>
      <w:r w:rsidR="00AB6EA7" w:rsidRPr="00A64A41">
        <w:rPr>
          <w:b/>
          <w:bCs/>
        </w:rPr>
        <w:fldChar w:fldCharType="separate"/>
      </w:r>
      <w:r w:rsidR="00B624F4" w:rsidRPr="00A64A41">
        <w:rPr>
          <w:b/>
          <w:bCs/>
        </w:rPr>
        <w:t>3</w:t>
      </w:r>
      <w:r w:rsidR="00AB6EA7" w:rsidRPr="00A64A41">
        <w:rPr>
          <w:b/>
          <w:bCs/>
        </w:rPr>
        <w:fldChar w:fldCharType="end"/>
      </w:r>
      <w:r w:rsidR="00346B6C" w:rsidRPr="00A64A41">
        <w:t>)</w:t>
      </w:r>
      <w:r w:rsidR="003B1077" w:rsidRPr="00A64A41">
        <w:t xml:space="preserve">. </w:t>
      </w:r>
      <w:r w:rsidR="009B5672" w:rsidRPr="00A64A41">
        <w:t>Findings in this section come from interviews with</w:t>
      </w:r>
      <w:r w:rsidR="002B7AF0" w:rsidRPr="00A64A41">
        <w:t xml:space="preserve"> TWES</w:t>
      </w:r>
      <w:r w:rsidR="009B5672" w:rsidRPr="00A64A41">
        <w:t xml:space="preserve"> participant</w:t>
      </w:r>
      <w:r w:rsidR="002B7AF0" w:rsidRPr="00A64A41">
        <w:t>s</w:t>
      </w:r>
      <w:r w:rsidR="009B5672" w:rsidRPr="00A64A41">
        <w:t xml:space="preserve"> (current and past)</w:t>
      </w:r>
      <w:r w:rsidR="00EF0479" w:rsidRPr="00A64A41">
        <w:t>,</w:t>
      </w:r>
      <w:r w:rsidR="001E3500" w:rsidRPr="00A64A41">
        <w:t xml:space="preserve"> </w:t>
      </w:r>
      <w:r w:rsidR="002B7AF0" w:rsidRPr="00A64A41">
        <w:t xml:space="preserve">TWES stakeholders, </w:t>
      </w:r>
      <w:r w:rsidR="001E3500" w:rsidRPr="00A64A41">
        <w:t>and analysis of ESS data.</w:t>
      </w:r>
    </w:p>
    <w:p w14:paraId="603B7B90" w14:textId="1D072F1F" w:rsidR="005D0C0A" w:rsidRPr="00A64A41" w:rsidRDefault="005D0C0A" w:rsidP="00305B4B">
      <w:pPr>
        <w:pStyle w:val="BodyText"/>
        <w:ind w:right="3"/>
      </w:pPr>
      <w:r w:rsidRPr="00A64A41">
        <w:t xml:space="preserve">Findings </w:t>
      </w:r>
      <w:r w:rsidR="007021CB" w:rsidRPr="00A64A41">
        <w:t xml:space="preserve">on Objective 2 are presented </w:t>
      </w:r>
      <w:r w:rsidR="00487D89" w:rsidRPr="00A64A41">
        <w:t xml:space="preserve">under </w:t>
      </w:r>
      <w:r w:rsidR="00367FD2" w:rsidRPr="00A64A41">
        <w:t>four</w:t>
      </w:r>
      <w:r w:rsidR="00487D89" w:rsidRPr="00A64A41">
        <w:t xml:space="preserve"> questions: </w:t>
      </w:r>
    </w:p>
    <w:p w14:paraId="784538D4" w14:textId="17E96805" w:rsidR="00487D89" w:rsidRPr="00D519D6" w:rsidRDefault="00487D89" w:rsidP="000C3506">
      <w:pPr>
        <w:pStyle w:val="Numberedlist"/>
        <w:numPr>
          <w:ilvl w:val="0"/>
          <w:numId w:val="40"/>
        </w:numPr>
        <w:ind w:left="709"/>
      </w:pPr>
      <w:r w:rsidRPr="00D519D6">
        <w:t>To what extent do participants feel that the TWES services are culturally and gender appropriate?</w:t>
      </w:r>
    </w:p>
    <w:p w14:paraId="787A6E04" w14:textId="427F61B0" w:rsidR="00487D89" w:rsidRPr="00D519D6" w:rsidRDefault="00487D89" w:rsidP="007F09E7">
      <w:pPr>
        <w:pStyle w:val="Numberedlist"/>
      </w:pPr>
      <w:r w:rsidRPr="00D519D6">
        <w:t xml:space="preserve">To what extent </w:t>
      </w:r>
      <w:r w:rsidR="00CC3C88" w:rsidRPr="00D519D6">
        <w:t xml:space="preserve">has TWES </w:t>
      </w:r>
      <w:r w:rsidR="001D346B" w:rsidRPr="00D519D6">
        <w:t xml:space="preserve">strengthened the connection between participants </w:t>
      </w:r>
      <w:r w:rsidR="00C01C56" w:rsidRPr="00D519D6">
        <w:t xml:space="preserve">and </w:t>
      </w:r>
      <w:r w:rsidR="00763189" w:rsidRPr="00D519D6">
        <w:t xml:space="preserve">post-release </w:t>
      </w:r>
      <w:r w:rsidR="00C01C56" w:rsidRPr="00D519D6">
        <w:t xml:space="preserve">employment service providers? </w:t>
      </w:r>
    </w:p>
    <w:p w14:paraId="36F443E7" w14:textId="7FE3BC9A" w:rsidR="006768A6" w:rsidRPr="00D519D6" w:rsidRDefault="006768A6" w:rsidP="007F09E7">
      <w:pPr>
        <w:pStyle w:val="Numberedlist"/>
      </w:pPr>
      <w:r w:rsidRPr="00D519D6">
        <w:t>What evidence is there that TWES contributes to longer-term outcomes for participants, including improved employment outcomes and reduced rates of recidivism?</w:t>
      </w:r>
    </w:p>
    <w:p w14:paraId="2BFFC324" w14:textId="0DEE09B5" w:rsidR="00367FD2" w:rsidRPr="00D519D6" w:rsidRDefault="00367FD2" w:rsidP="007F09E7">
      <w:pPr>
        <w:pStyle w:val="Numberedlist"/>
      </w:pPr>
      <w:r w:rsidRPr="00D519D6">
        <w:t>Do the underlying assumptions in the program logic hold?</w:t>
      </w:r>
    </w:p>
    <w:p w14:paraId="75614406" w14:textId="3D424CB9" w:rsidR="00B3165D" w:rsidRPr="00A64A41" w:rsidRDefault="00B3165D" w:rsidP="00305B4B">
      <w:pPr>
        <w:pStyle w:val="Heading3"/>
        <w:ind w:right="3"/>
      </w:pPr>
      <w:bookmarkStart w:id="114" w:name="_Ref75197712"/>
      <w:r w:rsidRPr="00A64A41">
        <w:t>To what extent do participants feel that the TWES services are culturally and gender appropriate?</w:t>
      </w:r>
      <w:bookmarkEnd w:id="114"/>
    </w:p>
    <w:p w14:paraId="6E1FBC4D" w14:textId="0908AC15" w:rsidR="00F05CAD" w:rsidRPr="00A64A41" w:rsidRDefault="00F05CAD" w:rsidP="00305B4B">
      <w:pPr>
        <w:pStyle w:val="BodyText"/>
        <w:ind w:right="3"/>
      </w:pPr>
      <w:r>
        <w:rPr>
          <w:noProof/>
        </w:rPr>
        <mc:AlternateContent>
          <mc:Choice Requires="wps">
            <w:drawing>
              <wp:inline distT="0" distB="0" distL="0" distR="0" wp14:anchorId="2CBE667D" wp14:editId="75646BDD">
                <wp:extent cx="6303010" cy="2752090"/>
                <wp:effectExtent l="0" t="0" r="0" b="3810"/>
                <wp:docPr id="1623174864" name="Text Box 1623174864"/>
                <wp:cNvGraphicFramePr/>
                <a:graphic xmlns:a="http://schemas.openxmlformats.org/drawingml/2006/main">
                  <a:graphicData uri="http://schemas.microsoft.com/office/word/2010/wordprocessingShape">
                    <wps:wsp>
                      <wps:cNvSpPr txBox="1"/>
                      <wps:spPr>
                        <a:xfrm>
                          <a:off x="0" y="0"/>
                          <a:ext cx="6303010" cy="2752090"/>
                        </a:xfrm>
                        <a:prstGeom prst="rect">
                          <a:avLst/>
                        </a:prstGeom>
                        <a:solidFill>
                          <a:schemeClr val="accent4">
                            <a:lumMod val="20000"/>
                            <a:lumOff val="80000"/>
                          </a:schemeClr>
                        </a:solidFill>
                        <a:ln w="6350">
                          <a:noFill/>
                        </a:ln>
                      </wps:spPr>
                      <wps:txbx>
                        <w:txbxContent>
                          <w:p w14:paraId="75732496" w14:textId="77777777" w:rsidR="00F05CAD" w:rsidRPr="00A64A41" w:rsidRDefault="00F05CAD" w:rsidP="00F05CAD">
                            <w:pPr>
                              <w:pStyle w:val="BodyText"/>
                              <w:ind w:right="3"/>
                            </w:pPr>
                            <w:r w:rsidRPr="00A64A41">
                              <w:rPr>
                                <w:b/>
                                <w:bCs/>
                              </w:rPr>
                              <w:t>Key Finding #7:</w:t>
                            </w:r>
                            <w:r w:rsidRPr="00A64A41">
                              <w:t xml:space="preserve"> TWES providers could strengthen cultural appropriateness by improving how the program is communicated and delivered to participants including through an increased role of Aboriginal and Torres Strait Islander prison staff. </w:t>
                            </w:r>
                          </w:p>
                          <w:p w14:paraId="5D4F7A63" w14:textId="77777777" w:rsidR="00F05CAD" w:rsidRPr="00D519D6" w:rsidRDefault="00F05CAD" w:rsidP="00F05CAD">
                            <w:pPr>
                              <w:pStyle w:val="BodyText"/>
                            </w:pPr>
                            <w:r w:rsidRPr="00A64A41">
                              <w:t xml:space="preserve">Options for </w:t>
                            </w:r>
                            <w:r w:rsidRPr="00D519D6">
                              <w:t xml:space="preserve">consideration: </w:t>
                            </w:r>
                          </w:p>
                          <w:p w14:paraId="4D171762" w14:textId="77777777" w:rsidR="00F05CAD" w:rsidRPr="00D519D6" w:rsidRDefault="00F05CAD" w:rsidP="00F05CAD">
                            <w:pPr>
                              <w:pStyle w:val="Numberedlist"/>
                            </w:pPr>
                            <w:r w:rsidRPr="00D519D6">
                              <w:t>NIAA and DESE to review requirements in funding agreements with TWES providers to prioritise the recruitment of Aboriginal and Torres Strait Islander staff to deliver TWES where possible, demonstrate how they will invest in the cultural competence and awareness of their staff, and build the skills of their staff to build positive working relationships with prisons, and rapport with prisoners.</w:t>
                            </w:r>
                          </w:p>
                          <w:p w14:paraId="0BF9CBB6" w14:textId="09E8E844" w:rsidR="00F05CAD" w:rsidRPr="004A7973" w:rsidRDefault="00F05CAD" w:rsidP="00F05CAD">
                            <w:pPr>
                              <w:pStyle w:val="Numberedlist"/>
                            </w:pPr>
                            <w:r w:rsidRPr="00D519D6">
                              <w:t>NIAA, DESE and state/territory governments to explore opportunities to formalise the involvement of ALOs in TWES (in jurisdictions where ALOs operate) to help support promotion of the service and to build rapport with participants. This should include consideration of whether NIAA and DESE should fund ALOs to support delivery of the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BE667D" id="Text Box 1623174864" o:spid="_x0000_s1050" type="#_x0000_t202" style="width:496.3pt;height:21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" fillcolor="#f1ede4 [663]" stroked="f" strokeweight=".5pt">
                <v:textbox>
                  <w:txbxContent>
                    <w:p w14:paraId="75732496" w14:textId="77777777" w:rsidR="00F05CAD" w:rsidRPr="00A64A41" w:rsidRDefault="00F05CAD" w:rsidP="00F05CAD">
                      <w:pPr>
                        <w:pStyle w:val="BodyText"/>
                        <w:ind w:right="3"/>
                      </w:pPr>
                      <w:r w:rsidRPr="00A64A41">
                        <w:rPr>
                          <w:b/>
                          <w:bCs/>
                        </w:rPr>
                        <w:t>Key Finding #7:</w:t>
                      </w:r>
                      <w:r w:rsidRPr="00A64A41">
                        <w:t xml:space="preserve"> TWES providers could strengthen cultural appropriateness by improving how the program is communicated and delivered to participants including through an increased role of Aboriginal and Torres Strait Islander prison staff. </w:t>
                      </w:r>
                    </w:p>
                    <w:p w14:paraId="5D4F7A63" w14:textId="77777777" w:rsidR="00F05CAD" w:rsidRPr="00D519D6" w:rsidRDefault="00F05CAD" w:rsidP="00F05CAD">
                      <w:pPr>
                        <w:pStyle w:val="BodyText"/>
                      </w:pPr>
                      <w:r w:rsidRPr="00A64A41">
                        <w:t xml:space="preserve">Options for </w:t>
                      </w:r>
                      <w:r w:rsidRPr="00D519D6">
                        <w:t xml:space="preserve">consideration: </w:t>
                      </w:r>
                    </w:p>
                    <w:p w14:paraId="4D171762" w14:textId="77777777" w:rsidR="00F05CAD" w:rsidRPr="00D519D6" w:rsidRDefault="00F05CAD" w:rsidP="00F05CAD">
                      <w:pPr>
                        <w:pStyle w:val="Numberedlist"/>
                      </w:pPr>
                      <w:r w:rsidRPr="00D519D6">
                        <w:t>NIAA and DESE to review requirements in funding agreements with TWES providers to prioritise the recruitment of Aboriginal and Torres Strait Islander staff to deliver TWES where possible, demonstrate how they will invest in the cultural competence and awareness of their staff, and build the skills of their staff to build positive working relationships with prisons, and rapport with prisoners.</w:t>
                      </w:r>
                    </w:p>
                    <w:p w14:paraId="0BF9CBB6" w14:textId="09E8E844" w:rsidR="00F05CAD" w:rsidRPr="004A7973" w:rsidRDefault="00F05CAD" w:rsidP="00F05CAD">
                      <w:pPr>
                        <w:pStyle w:val="Numberedlist"/>
                      </w:pPr>
                      <w:r w:rsidRPr="00D519D6">
                        <w:t>NIAA, DESE and state/territory governments to explore opportunities to formalise the involvement of ALOs in TWES (in jurisdictions where ALOs operate) to help support promotion of the service and to build rapport with participants. This should include consideration of whether NIAA and DESE should fund ALOs to support delivery of the program.</w:t>
                      </w:r>
                    </w:p>
                  </w:txbxContent>
                </v:textbox>
                <w10:anchorlock/>
              </v:shape>
            </w:pict>
          </mc:Fallback>
        </mc:AlternateContent>
      </w:r>
    </w:p>
    <w:p w14:paraId="50BEA0E5" w14:textId="398FDB84" w:rsidR="00BF6707" w:rsidRPr="00A64A41" w:rsidRDefault="00BF6707" w:rsidP="00305B4B">
      <w:pPr>
        <w:pStyle w:val="BodyText"/>
        <w:ind w:right="3"/>
      </w:pPr>
      <w:r w:rsidRPr="00A64A41">
        <w:t xml:space="preserve">The TWES program logic </w:t>
      </w:r>
      <w:r w:rsidR="00B0668E" w:rsidRPr="00A64A41">
        <w:t>includes the priority outcome ‘</w:t>
      </w:r>
      <w:r w:rsidR="002D248C" w:rsidRPr="00A64A41">
        <w:t>p</w:t>
      </w:r>
      <w:r w:rsidR="00B0668E" w:rsidRPr="00A64A41">
        <w:t>articipants feel that the TWES services are culturally and gender appropriate’</w:t>
      </w:r>
      <w:r w:rsidR="00F711A0" w:rsidRPr="00A64A41">
        <w:t xml:space="preserve">. </w:t>
      </w:r>
      <w:r w:rsidR="007B1B89" w:rsidRPr="00A64A41">
        <w:t xml:space="preserve">According to the program logic, this outcome leads to participants feeling more comfortable to answer the questions </w:t>
      </w:r>
      <w:r w:rsidR="00EB06CB" w:rsidRPr="00A64A41">
        <w:t>included in the JSCI and ESAt assessments,</w:t>
      </w:r>
      <w:r w:rsidR="008C4192" w:rsidRPr="00A64A41">
        <w:t xml:space="preserve"> which leads to more accurate assessments that help participants receive the right level of support </w:t>
      </w:r>
      <w:r w:rsidR="00571D20" w:rsidRPr="00A64A41">
        <w:t>after they leave prison (see</w:t>
      </w:r>
      <w:r w:rsidR="00AB6EA7" w:rsidRPr="00A64A41">
        <w:t xml:space="preserve"> </w:t>
      </w:r>
      <w:r w:rsidR="00AB6EA7" w:rsidRPr="00A64A41">
        <w:rPr>
          <w:b/>
          <w:bCs/>
        </w:rPr>
        <w:t xml:space="preserve">Section </w:t>
      </w:r>
      <w:r w:rsidR="00AB6EA7" w:rsidRPr="00A64A41">
        <w:rPr>
          <w:b/>
          <w:bCs/>
        </w:rPr>
        <w:fldChar w:fldCharType="begin"/>
      </w:r>
      <w:r w:rsidR="00AB6EA7" w:rsidRPr="00A64A41">
        <w:rPr>
          <w:b/>
          <w:bCs/>
        </w:rPr>
        <w:instrText xml:space="preserve"> REF _Ref75010590 \r \h  \* MERGEFORMAT </w:instrText>
      </w:r>
      <w:r w:rsidR="00AB6EA7" w:rsidRPr="00A64A41">
        <w:rPr>
          <w:b/>
          <w:bCs/>
        </w:rPr>
      </w:r>
      <w:r w:rsidR="00AB6EA7" w:rsidRPr="00A64A41">
        <w:rPr>
          <w:b/>
          <w:bCs/>
        </w:rPr>
        <w:fldChar w:fldCharType="separate"/>
      </w:r>
      <w:r w:rsidR="00B624F4" w:rsidRPr="00A64A41">
        <w:rPr>
          <w:b/>
          <w:bCs/>
        </w:rPr>
        <w:t>3</w:t>
      </w:r>
      <w:r w:rsidR="00AB6EA7" w:rsidRPr="00A64A41">
        <w:rPr>
          <w:b/>
          <w:bCs/>
        </w:rPr>
        <w:fldChar w:fldCharType="end"/>
      </w:r>
      <w:r w:rsidR="00571D20" w:rsidRPr="00A64A41">
        <w:t xml:space="preserve">). </w:t>
      </w:r>
    </w:p>
    <w:p w14:paraId="07C7EF0B" w14:textId="14B0A48C" w:rsidR="00EA18E8" w:rsidRPr="00A64A41" w:rsidRDefault="00DB410E" w:rsidP="00305B4B">
      <w:pPr>
        <w:pStyle w:val="BodyText"/>
        <w:ind w:right="3"/>
      </w:pPr>
      <w:r w:rsidRPr="00A64A41">
        <w:t>None of the</w:t>
      </w:r>
      <w:r w:rsidR="005B1C93" w:rsidRPr="00A64A41">
        <w:t xml:space="preserve"> </w:t>
      </w:r>
      <w:r w:rsidRPr="00A64A41">
        <w:t xml:space="preserve">participants interviewed for the evaluation reported that their TWES </w:t>
      </w:r>
      <w:r w:rsidR="00D61836" w:rsidRPr="00A64A41">
        <w:t xml:space="preserve">provider </w:t>
      </w:r>
      <w:r w:rsidRPr="00A64A41">
        <w:t>demonstrated disrespectful or inappropriate behaviour or attitudes in terms of gender or cultural respect</w:t>
      </w:r>
      <w:r w:rsidR="005B1C93" w:rsidRPr="00A64A41">
        <w:t xml:space="preserve"> (57 participants were interviewed)</w:t>
      </w:r>
      <w:r w:rsidRPr="00A64A41">
        <w:t>.</w:t>
      </w:r>
      <w:r w:rsidR="00516086" w:rsidRPr="00A64A41">
        <w:t xml:space="preserve"> </w:t>
      </w:r>
      <w:r w:rsidRPr="00A64A41">
        <w:t>However, there was evidence that higher levels of cultural competency would improve the communication of program intent, improve participants</w:t>
      </w:r>
      <w:r w:rsidR="00C80106" w:rsidRPr="00A64A41">
        <w:t>’</w:t>
      </w:r>
      <w:r w:rsidRPr="00A64A41">
        <w:t xml:space="preserve"> trust in the process and capacity to engage. </w:t>
      </w:r>
      <w:r w:rsidR="00546326" w:rsidRPr="00A64A41">
        <w:t xml:space="preserve">Feedback from participants included: </w:t>
      </w:r>
    </w:p>
    <w:p w14:paraId="79FBA60B" w14:textId="773A099F" w:rsidR="00946794" w:rsidRPr="00FF3D15" w:rsidRDefault="00946794" w:rsidP="00305B4B">
      <w:pPr>
        <w:pStyle w:val="Bulletedlist"/>
        <w:ind w:right="3"/>
      </w:pPr>
      <w:r w:rsidRPr="00FF3D15">
        <w:t>Three</w:t>
      </w:r>
      <w:r w:rsidRPr="00FF3D15">
        <w:rPr>
          <w:spacing w:val="-7"/>
        </w:rPr>
        <w:t xml:space="preserve"> </w:t>
      </w:r>
      <w:r w:rsidRPr="00FF3D15">
        <w:t>participants</w:t>
      </w:r>
      <w:r w:rsidRPr="00FF3D15">
        <w:rPr>
          <w:spacing w:val="-2"/>
        </w:rPr>
        <w:t xml:space="preserve"> </w:t>
      </w:r>
      <w:r w:rsidR="00546326">
        <w:rPr>
          <w:spacing w:val="-2"/>
        </w:rPr>
        <w:t>stated</w:t>
      </w:r>
      <w:r w:rsidRPr="00FF3D15">
        <w:rPr>
          <w:spacing w:val="-5"/>
        </w:rPr>
        <w:t xml:space="preserve"> </w:t>
      </w:r>
      <w:r w:rsidRPr="00FF3D15">
        <w:rPr>
          <w:spacing w:val="-1"/>
        </w:rPr>
        <w:t>that</w:t>
      </w:r>
      <w:r w:rsidRPr="00FF3D15">
        <w:rPr>
          <w:spacing w:val="-6"/>
        </w:rPr>
        <w:t xml:space="preserve"> </w:t>
      </w:r>
      <w:r w:rsidRPr="00FF3D15">
        <w:t>they</w:t>
      </w:r>
      <w:r w:rsidRPr="00FF3D15">
        <w:rPr>
          <w:spacing w:val="-4"/>
        </w:rPr>
        <w:t xml:space="preserve"> </w:t>
      </w:r>
      <w:r w:rsidRPr="00FF3D15">
        <w:t>found</w:t>
      </w:r>
      <w:r w:rsidRPr="00FF3D15">
        <w:rPr>
          <w:spacing w:val="-6"/>
        </w:rPr>
        <w:t xml:space="preserve"> </w:t>
      </w:r>
      <w:r w:rsidRPr="00FF3D15">
        <w:rPr>
          <w:spacing w:val="-1"/>
        </w:rPr>
        <w:t>it</w:t>
      </w:r>
      <w:r w:rsidRPr="00FF3D15">
        <w:rPr>
          <w:spacing w:val="-4"/>
        </w:rPr>
        <w:t xml:space="preserve"> </w:t>
      </w:r>
      <w:r w:rsidRPr="00FF3D15">
        <w:rPr>
          <w:spacing w:val="-1"/>
        </w:rPr>
        <w:t>difficult</w:t>
      </w:r>
      <w:r w:rsidRPr="00FF3D15">
        <w:rPr>
          <w:spacing w:val="-6"/>
        </w:rPr>
        <w:t xml:space="preserve"> </w:t>
      </w:r>
      <w:r w:rsidRPr="00FF3D15">
        <w:t>to</w:t>
      </w:r>
      <w:r w:rsidRPr="00FF3D15">
        <w:rPr>
          <w:spacing w:val="-4"/>
        </w:rPr>
        <w:t xml:space="preserve"> </w:t>
      </w:r>
      <w:r w:rsidRPr="00FF3D15">
        <w:t>understand</w:t>
      </w:r>
      <w:r w:rsidRPr="00FF3D15">
        <w:rPr>
          <w:spacing w:val="-6"/>
        </w:rPr>
        <w:t xml:space="preserve"> </w:t>
      </w:r>
      <w:r w:rsidRPr="00FF3D15">
        <w:t>the</w:t>
      </w:r>
      <w:r w:rsidRPr="00FF3D15">
        <w:rPr>
          <w:spacing w:val="-7"/>
        </w:rPr>
        <w:t xml:space="preserve"> </w:t>
      </w:r>
      <w:r w:rsidRPr="00FF3D15">
        <w:t>TWES</w:t>
      </w:r>
      <w:r w:rsidRPr="00FF3D15">
        <w:rPr>
          <w:spacing w:val="-5"/>
        </w:rPr>
        <w:t xml:space="preserve"> </w:t>
      </w:r>
      <w:r w:rsidR="00467A51">
        <w:rPr>
          <w:spacing w:val="-1"/>
        </w:rPr>
        <w:t>provider</w:t>
      </w:r>
      <w:r w:rsidRPr="00FF3D15">
        <w:t xml:space="preserve"> and</w:t>
      </w:r>
      <w:r>
        <w:t xml:space="preserve"> that</w:t>
      </w:r>
      <w:r w:rsidRPr="00FF3D15">
        <w:rPr>
          <w:spacing w:val="-6"/>
        </w:rPr>
        <w:t xml:space="preserve"> </w:t>
      </w:r>
      <w:r w:rsidRPr="00FF3D15">
        <w:t>the</w:t>
      </w:r>
      <w:r w:rsidRPr="00FF3D15">
        <w:rPr>
          <w:spacing w:val="-6"/>
        </w:rPr>
        <w:t xml:space="preserve"> </w:t>
      </w:r>
      <w:r w:rsidRPr="00FF3D15">
        <w:t>worker</w:t>
      </w:r>
      <w:r w:rsidRPr="00FF3D15">
        <w:rPr>
          <w:spacing w:val="-5"/>
        </w:rPr>
        <w:t xml:space="preserve"> </w:t>
      </w:r>
      <w:r w:rsidRPr="00FF3D15">
        <w:t>did</w:t>
      </w:r>
      <w:r w:rsidRPr="00FF3D15">
        <w:rPr>
          <w:spacing w:val="-5"/>
        </w:rPr>
        <w:t xml:space="preserve"> </w:t>
      </w:r>
      <w:r w:rsidRPr="00FF3D15">
        <w:t>not</w:t>
      </w:r>
      <w:r w:rsidRPr="00FF3D15">
        <w:rPr>
          <w:spacing w:val="-6"/>
        </w:rPr>
        <w:t xml:space="preserve"> </w:t>
      </w:r>
      <w:r w:rsidRPr="00FF3D15">
        <w:t>explain</w:t>
      </w:r>
      <w:r w:rsidRPr="00FF3D15">
        <w:rPr>
          <w:spacing w:val="-4"/>
        </w:rPr>
        <w:t xml:space="preserve"> </w:t>
      </w:r>
      <w:r w:rsidRPr="00FF3D15">
        <w:rPr>
          <w:spacing w:val="-1"/>
        </w:rPr>
        <w:t>the</w:t>
      </w:r>
      <w:r w:rsidRPr="00FF3D15">
        <w:rPr>
          <w:spacing w:val="-6"/>
        </w:rPr>
        <w:t xml:space="preserve"> </w:t>
      </w:r>
      <w:r w:rsidRPr="00FF3D15">
        <w:t>TWES</w:t>
      </w:r>
      <w:r w:rsidRPr="00FF3D15">
        <w:rPr>
          <w:spacing w:val="-5"/>
        </w:rPr>
        <w:t xml:space="preserve"> </w:t>
      </w:r>
      <w:r w:rsidRPr="00FF3D15">
        <w:t>process</w:t>
      </w:r>
      <w:r w:rsidRPr="00FF3D15">
        <w:rPr>
          <w:spacing w:val="-5"/>
        </w:rPr>
        <w:t xml:space="preserve"> </w:t>
      </w:r>
      <w:r w:rsidRPr="00FF3D15">
        <w:t>or</w:t>
      </w:r>
      <w:r w:rsidRPr="00FF3D15">
        <w:rPr>
          <w:spacing w:val="-6"/>
        </w:rPr>
        <w:t xml:space="preserve"> </w:t>
      </w:r>
      <w:r w:rsidRPr="00FF3D15">
        <w:t>purpose</w:t>
      </w:r>
      <w:r w:rsidRPr="00FF3D15">
        <w:rPr>
          <w:spacing w:val="-6"/>
        </w:rPr>
        <w:t xml:space="preserve"> </w:t>
      </w:r>
      <w:r w:rsidRPr="00FF3D15">
        <w:rPr>
          <w:spacing w:val="-1"/>
        </w:rPr>
        <w:t>of</w:t>
      </w:r>
      <w:r w:rsidRPr="00FF3D15">
        <w:rPr>
          <w:spacing w:val="-4"/>
        </w:rPr>
        <w:t xml:space="preserve"> </w:t>
      </w:r>
      <w:r w:rsidRPr="00FF3D15">
        <w:t>meetings</w:t>
      </w:r>
      <w:r w:rsidRPr="00FF3D15">
        <w:rPr>
          <w:spacing w:val="-5"/>
        </w:rPr>
        <w:t xml:space="preserve"> </w:t>
      </w:r>
      <w:r w:rsidRPr="00FF3D15">
        <w:t>clearly</w:t>
      </w:r>
      <w:r w:rsidRPr="00FF3D15">
        <w:rPr>
          <w:spacing w:val="-3"/>
        </w:rPr>
        <w:t xml:space="preserve"> </w:t>
      </w:r>
      <w:r w:rsidRPr="00FF3D15">
        <w:t>enough,</w:t>
      </w:r>
      <w:r w:rsidRPr="00FF3D15">
        <w:rPr>
          <w:spacing w:val="-4"/>
        </w:rPr>
        <w:t xml:space="preserve"> </w:t>
      </w:r>
      <w:r w:rsidRPr="00FF3D15">
        <w:rPr>
          <w:spacing w:val="-1"/>
        </w:rPr>
        <w:t>and</w:t>
      </w:r>
      <w:r>
        <w:rPr>
          <w:spacing w:val="-1"/>
        </w:rPr>
        <w:t xml:space="preserve"> </w:t>
      </w:r>
      <w:r w:rsidRPr="00FF3D15">
        <w:rPr>
          <w:spacing w:val="-1"/>
        </w:rPr>
        <w:t>one</w:t>
      </w:r>
      <w:r w:rsidRPr="00FF3D15">
        <w:rPr>
          <w:spacing w:val="-5"/>
        </w:rPr>
        <w:t xml:space="preserve"> </w:t>
      </w:r>
      <w:r w:rsidRPr="00FF3D15">
        <w:rPr>
          <w:spacing w:val="-1"/>
        </w:rPr>
        <w:t>other</w:t>
      </w:r>
      <w:r w:rsidRPr="00FF3D15">
        <w:rPr>
          <w:spacing w:val="-3"/>
        </w:rPr>
        <w:t xml:space="preserve"> </w:t>
      </w:r>
      <w:r w:rsidRPr="00FF3D15">
        <w:t>participant</w:t>
      </w:r>
      <w:r w:rsidRPr="00FF3D15">
        <w:rPr>
          <w:spacing w:val="-6"/>
        </w:rPr>
        <w:t xml:space="preserve"> </w:t>
      </w:r>
      <w:r w:rsidR="00C929BC" w:rsidRPr="00FF3D15">
        <w:t>found</w:t>
      </w:r>
      <w:r w:rsidR="00C929BC" w:rsidRPr="00FF3D15">
        <w:rPr>
          <w:spacing w:val="-4"/>
        </w:rPr>
        <w:t xml:space="preserve"> </w:t>
      </w:r>
      <w:r w:rsidR="00C929BC" w:rsidRPr="00FF3D15">
        <w:rPr>
          <w:spacing w:val="-1"/>
        </w:rPr>
        <w:t>it</w:t>
      </w:r>
      <w:r w:rsidR="00C929BC" w:rsidRPr="00FF3D15">
        <w:rPr>
          <w:spacing w:val="-6"/>
        </w:rPr>
        <w:t xml:space="preserve"> </w:t>
      </w:r>
      <w:r w:rsidR="00C929BC" w:rsidRPr="00FF3D15">
        <w:rPr>
          <w:spacing w:val="-1"/>
        </w:rPr>
        <w:t>difficult</w:t>
      </w:r>
      <w:r w:rsidR="00C929BC" w:rsidRPr="00FF3D15">
        <w:rPr>
          <w:spacing w:val="-4"/>
        </w:rPr>
        <w:t xml:space="preserve"> </w:t>
      </w:r>
      <w:r w:rsidR="00C929BC" w:rsidRPr="00FF3D15">
        <w:t>to</w:t>
      </w:r>
      <w:r w:rsidR="00C929BC" w:rsidRPr="00FF3D15">
        <w:rPr>
          <w:spacing w:val="-7"/>
        </w:rPr>
        <w:t xml:space="preserve"> </w:t>
      </w:r>
      <w:r w:rsidR="00C929BC" w:rsidRPr="00FF3D15">
        <w:t>understand</w:t>
      </w:r>
      <w:r w:rsidR="00C929BC" w:rsidRPr="00FF3D15">
        <w:rPr>
          <w:spacing w:val="-5"/>
        </w:rPr>
        <w:t xml:space="preserve"> </w:t>
      </w:r>
      <w:r w:rsidR="00C929BC" w:rsidRPr="00FF3D15">
        <w:t>because</w:t>
      </w:r>
      <w:r w:rsidR="00C929BC" w:rsidRPr="00FF3D15">
        <w:rPr>
          <w:spacing w:val="-6"/>
        </w:rPr>
        <w:t xml:space="preserve"> </w:t>
      </w:r>
      <w:r w:rsidR="00C929BC" w:rsidRPr="00FF3D15">
        <w:t>English</w:t>
      </w:r>
      <w:r w:rsidR="00C929BC" w:rsidRPr="00FF3D15">
        <w:rPr>
          <w:spacing w:val="-4"/>
        </w:rPr>
        <w:t xml:space="preserve"> </w:t>
      </w:r>
      <w:r w:rsidR="00C929BC" w:rsidRPr="00FF3D15">
        <w:t>was</w:t>
      </w:r>
      <w:r w:rsidR="00C929BC" w:rsidRPr="00FF3D15">
        <w:rPr>
          <w:spacing w:val="-6"/>
        </w:rPr>
        <w:t xml:space="preserve"> </w:t>
      </w:r>
      <w:r w:rsidR="00C929BC" w:rsidRPr="00FF3D15">
        <w:t>not</w:t>
      </w:r>
      <w:r w:rsidR="00C929BC" w:rsidRPr="00FF3D15">
        <w:rPr>
          <w:spacing w:val="-6"/>
        </w:rPr>
        <w:t xml:space="preserve"> </w:t>
      </w:r>
      <w:r w:rsidR="00C929BC" w:rsidRPr="00FF3D15">
        <w:rPr>
          <w:spacing w:val="-1"/>
        </w:rPr>
        <w:t>their</w:t>
      </w:r>
      <w:r w:rsidR="00C929BC" w:rsidRPr="00FF3D15">
        <w:rPr>
          <w:spacing w:val="-4"/>
        </w:rPr>
        <w:t xml:space="preserve"> </w:t>
      </w:r>
      <w:r w:rsidR="00C929BC" w:rsidRPr="00FF3D15">
        <w:t>first</w:t>
      </w:r>
      <w:r w:rsidR="00C929BC">
        <w:t xml:space="preserve"> </w:t>
      </w:r>
      <w:r w:rsidR="00C929BC" w:rsidRPr="00FF3D15">
        <w:t>language</w:t>
      </w:r>
      <w:r w:rsidR="00133044">
        <w:t>.</w:t>
      </w:r>
    </w:p>
    <w:p w14:paraId="643FE326" w14:textId="0505A8B0" w:rsidR="00C929BC" w:rsidRPr="00FF3D15" w:rsidRDefault="00C929BC" w:rsidP="00305B4B">
      <w:pPr>
        <w:pStyle w:val="Bulletedlist"/>
        <w:ind w:right="3"/>
      </w:pPr>
      <w:r w:rsidRPr="00FF3D15">
        <w:lastRenderedPageBreak/>
        <w:t>Two</w:t>
      </w:r>
      <w:r w:rsidRPr="00FF3D15">
        <w:rPr>
          <w:spacing w:val="-6"/>
        </w:rPr>
        <w:t xml:space="preserve"> </w:t>
      </w:r>
      <w:r w:rsidRPr="00FF3D15">
        <w:t>participants</w:t>
      </w:r>
      <w:r w:rsidRPr="00FF3D15">
        <w:rPr>
          <w:spacing w:val="-5"/>
        </w:rPr>
        <w:t xml:space="preserve"> </w:t>
      </w:r>
      <w:r w:rsidRPr="00FF3D15">
        <w:t>stated</w:t>
      </w:r>
      <w:r w:rsidRPr="00FF3D15">
        <w:rPr>
          <w:spacing w:val="-6"/>
        </w:rPr>
        <w:t xml:space="preserve"> </w:t>
      </w:r>
      <w:r w:rsidRPr="00FF3D15">
        <w:t>that</w:t>
      </w:r>
      <w:r w:rsidRPr="00FF3D15">
        <w:rPr>
          <w:spacing w:val="-4"/>
        </w:rPr>
        <w:t xml:space="preserve"> </w:t>
      </w:r>
      <w:r w:rsidRPr="00FF3D15">
        <w:t>an</w:t>
      </w:r>
      <w:r w:rsidRPr="00FF3D15">
        <w:rPr>
          <w:spacing w:val="-4"/>
        </w:rPr>
        <w:t xml:space="preserve"> </w:t>
      </w:r>
      <w:r w:rsidRPr="00FF3D15">
        <w:t>Aboriginal</w:t>
      </w:r>
      <w:r w:rsidRPr="00FF3D15">
        <w:rPr>
          <w:spacing w:val="-7"/>
        </w:rPr>
        <w:t xml:space="preserve"> </w:t>
      </w:r>
      <w:r w:rsidRPr="00FF3D15">
        <w:t>Liaison</w:t>
      </w:r>
      <w:r w:rsidRPr="00FF3D15">
        <w:rPr>
          <w:spacing w:val="-6"/>
        </w:rPr>
        <w:t xml:space="preserve"> </w:t>
      </w:r>
      <w:r w:rsidRPr="00FF3D15">
        <w:t>Officer</w:t>
      </w:r>
      <w:r w:rsidR="0062714D" w:rsidRPr="00FF3D15">
        <w:rPr>
          <w:spacing w:val="-2"/>
        </w:rPr>
        <w:t xml:space="preserve"> </w:t>
      </w:r>
      <w:r w:rsidR="0062714D" w:rsidRPr="00FF3D15">
        <w:rPr>
          <w:spacing w:val="-1"/>
        </w:rPr>
        <w:t>(</w:t>
      </w:r>
      <w:r w:rsidRPr="00FF3D15">
        <w:rPr>
          <w:spacing w:val="-1"/>
        </w:rPr>
        <w:t>ALO</w:t>
      </w:r>
      <w:r w:rsidR="0062714D" w:rsidRPr="00FF3D15">
        <w:rPr>
          <w:spacing w:val="-1"/>
        </w:rPr>
        <w:t>)</w:t>
      </w:r>
      <w:r w:rsidRPr="00FF3D15">
        <w:rPr>
          <w:spacing w:val="-6"/>
        </w:rPr>
        <w:t xml:space="preserve"> </w:t>
      </w:r>
      <w:r w:rsidR="00B962EE" w:rsidRPr="00FF3D15">
        <w:t>was</w:t>
      </w:r>
      <w:r w:rsidR="00B962EE" w:rsidRPr="00FF3D15">
        <w:rPr>
          <w:spacing w:val="-3"/>
        </w:rPr>
        <w:t xml:space="preserve"> </w:t>
      </w:r>
      <w:r w:rsidRPr="00FF3D15">
        <w:t>able</w:t>
      </w:r>
      <w:r w:rsidRPr="00FF3D15">
        <w:rPr>
          <w:spacing w:val="-6"/>
        </w:rPr>
        <w:t xml:space="preserve"> </w:t>
      </w:r>
      <w:r w:rsidRPr="00FF3D15">
        <w:rPr>
          <w:spacing w:val="-1"/>
        </w:rPr>
        <w:t>to</w:t>
      </w:r>
      <w:r w:rsidRPr="00FF3D15">
        <w:rPr>
          <w:spacing w:val="-3"/>
        </w:rPr>
        <w:t xml:space="preserve"> </w:t>
      </w:r>
      <w:r w:rsidR="004B67BD">
        <w:rPr>
          <w:spacing w:val="-3"/>
        </w:rPr>
        <w:t>attend</w:t>
      </w:r>
      <w:r w:rsidRPr="00FF3D15">
        <w:rPr>
          <w:spacing w:val="-5"/>
        </w:rPr>
        <w:t xml:space="preserve"> </w:t>
      </w:r>
      <w:r w:rsidRPr="00FF3D15">
        <w:t>meetings</w:t>
      </w:r>
      <w:r w:rsidRPr="00FF3D15">
        <w:rPr>
          <w:spacing w:val="26"/>
          <w:w w:val="99"/>
        </w:rPr>
        <w:t xml:space="preserve"> </w:t>
      </w:r>
      <w:r w:rsidRPr="00FF3D15">
        <w:rPr>
          <w:spacing w:val="-1"/>
        </w:rPr>
        <w:t>with</w:t>
      </w:r>
      <w:r w:rsidRPr="00FF3D15">
        <w:rPr>
          <w:spacing w:val="-5"/>
        </w:rPr>
        <w:t xml:space="preserve"> </w:t>
      </w:r>
      <w:r w:rsidRPr="00FF3D15">
        <w:t>the</w:t>
      </w:r>
      <w:r w:rsidRPr="00FF3D15">
        <w:rPr>
          <w:spacing w:val="-6"/>
        </w:rPr>
        <w:t xml:space="preserve"> </w:t>
      </w:r>
      <w:r w:rsidRPr="00FF3D15">
        <w:t>TWES</w:t>
      </w:r>
      <w:r w:rsidRPr="00FF3D15">
        <w:rPr>
          <w:spacing w:val="-5"/>
        </w:rPr>
        <w:t xml:space="preserve"> </w:t>
      </w:r>
      <w:r w:rsidR="00D61836">
        <w:rPr>
          <w:spacing w:val="-1"/>
        </w:rPr>
        <w:t>p</w:t>
      </w:r>
      <w:r w:rsidR="00D61836" w:rsidRPr="00FF3D15">
        <w:rPr>
          <w:spacing w:val="-1"/>
        </w:rPr>
        <w:t>rovider</w:t>
      </w:r>
      <w:r w:rsidR="00D61836" w:rsidRPr="00FF3D15">
        <w:rPr>
          <w:spacing w:val="-6"/>
        </w:rPr>
        <w:t xml:space="preserve"> </w:t>
      </w:r>
      <w:r w:rsidRPr="00FF3D15">
        <w:t>to</w:t>
      </w:r>
      <w:r w:rsidRPr="00FF3D15">
        <w:rPr>
          <w:spacing w:val="-4"/>
        </w:rPr>
        <w:t xml:space="preserve"> </w:t>
      </w:r>
      <w:r w:rsidRPr="00FF3D15">
        <w:t>assist</w:t>
      </w:r>
      <w:r w:rsidRPr="00FF3D15">
        <w:rPr>
          <w:spacing w:val="-7"/>
        </w:rPr>
        <w:t xml:space="preserve"> </w:t>
      </w:r>
      <w:r w:rsidRPr="00FF3D15">
        <w:rPr>
          <w:spacing w:val="-1"/>
        </w:rPr>
        <w:t>and</w:t>
      </w:r>
      <w:r w:rsidRPr="00FF3D15">
        <w:rPr>
          <w:spacing w:val="-4"/>
        </w:rPr>
        <w:t xml:space="preserve"> </w:t>
      </w:r>
      <w:r w:rsidRPr="00FF3D15">
        <w:t>provide</w:t>
      </w:r>
      <w:r w:rsidRPr="00FF3D15">
        <w:rPr>
          <w:spacing w:val="-6"/>
        </w:rPr>
        <w:t xml:space="preserve"> </w:t>
      </w:r>
      <w:r w:rsidRPr="00FF3D15">
        <w:t>an</w:t>
      </w:r>
      <w:r w:rsidRPr="00FF3D15">
        <w:rPr>
          <w:spacing w:val="-5"/>
        </w:rPr>
        <w:t xml:space="preserve"> </w:t>
      </w:r>
      <w:r w:rsidR="00B962EE" w:rsidRPr="00FF3D15">
        <w:t>additional</w:t>
      </w:r>
      <w:r w:rsidRPr="00FF3D15">
        <w:rPr>
          <w:spacing w:val="-6"/>
        </w:rPr>
        <w:t xml:space="preserve"> </w:t>
      </w:r>
      <w:r w:rsidRPr="00FF3D15">
        <w:t>layer</w:t>
      </w:r>
      <w:r w:rsidRPr="00FF3D15">
        <w:rPr>
          <w:spacing w:val="-6"/>
        </w:rPr>
        <w:t xml:space="preserve"> </w:t>
      </w:r>
      <w:r w:rsidRPr="00FF3D15">
        <w:t>of</w:t>
      </w:r>
      <w:r w:rsidRPr="00FF3D15">
        <w:rPr>
          <w:spacing w:val="-6"/>
        </w:rPr>
        <w:t xml:space="preserve"> </w:t>
      </w:r>
      <w:r w:rsidRPr="00FF3D15">
        <w:t>cultural</w:t>
      </w:r>
      <w:r w:rsidRPr="00FF3D15">
        <w:rPr>
          <w:spacing w:val="-7"/>
        </w:rPr>
        <w:t xml:space="preserve"> </w:t>
      </w:r>
      <w:r w:rsidRPr="00FF3D15">
        <w:t>security,</w:t>
      </w:r>
      <w:r w:rsidRPr="00FF3D15">
        <w:rPr>
          <w:spacing w:val="-7"/>
        </w:rPr>
        <w:t xml:space="preserve"> </w:t>
      </w:r>
      <w:r w:rsidRPr="00FF3D15">
        <w:rPr>
          <w:spacing w:val="-1"/>
        </w:rPr>
        <w:t>which</w:t>
      </w:r>
      <w:r>
        <w:rPr>
          <w:spacing w:val="-1"/>
        </w:rPr>
        <w:t xml:space="preserve"> </w:t>
      </w:r>
      <w:r w:rsidRPr="00FF3D15">
        <w:rPr>
          <w:spacing w:val="-1"/>
        </w:rPr>
        <w:t>may</w:t>
      </w:r>
      <w:r w:rsidRPr="00FF3D15">
        <w:rPr>
          <w:spacing w:val="-6"/>
        </w:rPr>
        <w:t xml:space="preserve"> </w:t>
      </w:r>
      <w:r w:rsidR="004B67BD">
        <w:rPr>
          <w:spacing w:val="-6"/>
        </w:rPr>
        <w:t xml:space="preserve">offer </w:t>
      </w:r>
      <w:r w:rsidRPr="00FF3D15">
        <w:t>support</w:t>
      </w:r>
      <w:r w:rsidRPr="00FF3D15">
        <w:rPr>
          <w:spacing w:val="-6"/>
        </w:rPr>
        <w:t xml:space="preserve"> </w:t>
      </w:r>
      <w:r w:rsidRPr="00FF3D15">
        <w:t>where</w:t>
      </w:r>
      <w:r w:rsidRPr="00FF3D15">
        <w:rPr>
          <w:spacing w:val="-7"/>
        </w:rPr>
        <w:t xml:space="preserve"> </w:t>
      </w:r>
      <w:r w:rsidRPr="00FF3D15">
        <w:t>a</w:t>
      </w:r>
      <w:r w:rsidRPr="00FF3D15">
        <w:rPr>
          <w:spacing w:val="-6"/>
        </w:rPr>
        <w:t xml:space="preserve"> </w:t>
      </w:r>
      <w:r w:rsidRPr="00FF3D15">
        <w:rPr>
          <w:spacing w:val="1"/>
        </w:rPr>
        <w:t>TWES</w:t>
      </w:r>
      <w:r w:rsidRPr="00FF3D15">
        <w:rPr>
          <w:spacing w:val="-7"/>
        </w:rPr>
        <w:t xml:space="preserve"> </w:t>
      </w:r>
      <w:r w:rsidR="00D61836">
        <w:rPr>
          <w:spacing w:val="-7"/>
        </w:rPr>
        <w:t>p</w:t>
      </w:r>
      <w:r w:rsidR="00D61836" w:rsidRPr="00FF3D15">
        <w:t>rovider</w:t>
      </w:r>
      <w:r w:rsidR="00D61836" w:rsidRPr="00FF3D15">
        <w:rPr>
          <w:spacing w:val="-4"/>
        </w:rPr>
        <w:t xml:space="preserve"> </w:t>
      </w:r>
      <w:r w:rsidRPr="00FF3D15">
        <w:rPr>
          <w:spacing w:val="-1"/>
        </w:rPr>
        <w:t>is</w:t>
      </w:r>
      <w:r w:rsidRPr="00FF3D15">
        <w:rPr>
          <w:spacing w:val="-6"/>
        </w:rPr>
        <w:t xml:space="preserve"> </w:t>
      </w:r>
      <w:r w:rsidRPr="00FF3D15">
        <w:t>non-Indigenous</w:t>
      </w:r>
      <w:r w:rsidR="0046387B" w:rsidRPr="00FF3D15">
        <w:t>.</w:t>
      </w:r>
      <w:r w:rsidR="0046387B" w:rsidRPr="00FF3D15">
        <w:rPr>
          <w:spacing w:val="-7"/>
        </w:rPr>
        <w:t xml:space="preserve"> </w:t>
      </w:r>
      <w:r w:rsidR="008764A6" w:rsidRPr="00FF3D15">
        <w:rPr>
          <w:spacing w:val="-1"/>
        </w:rPr>
        <w:t>Six</w:t>
      </w:r>
      <w:r w:rsidR="008764A6" w:rsidRPr="00FF3D15">
        <w:rPr>
          <w:spacing w:val="-5"/>
        </w:rPr>
        <w:t xml:space="preserve"> </w:t>
      </w:r>
      <w:r w:rsidR="008764A6" w:rsidRPr="00FF3D15">
        <w:t>participants</w:t>
      </w:r>
      <w:r w:rsidR="008764A6" w:rsidRPr="00FF3D15">
        <w:rPr>
          <w:spacing w:val="-4"/>
        </w:rPr>
        <w:t xml:space="preserve"> </w:t>
      </w:r>
      <w:r w:rsidR="008764A6" w:rsidRPr="00FF3D15">
        <w:t>noted</w:t>
      </w:r>
      <w:r w:rsidR="008764A6" w:rsidRPr="00FF3D15">
        <w:rPr>
          <w:spacing w:val="-7"/>
        </w:rPr>
        <w:t xml:space="preserve"> </w:t>
      </w:r>
      <w:r w:rsidR="008764A6" w:rsidRPr="00FF3D15">
        <w:t>that</w:t>
      </w:r>
      <w:r w:rsidR="008764A6" w:rsidRPr="00FF3D15">
        <w:rPr>
          <w:spacing w:val="-5"/>
        </w:rPr>
        <w:t xml:space="preserve"> </w:t>
      </w:r>
      <w:r w:rsidR="008764A6" w:rsidRPr="00FF3D15">
        <w:t>there</w:t>
      </w:r>
      <w:r w:rsidR="008764A6" w:rsidRPr="00FF3D15">
        <w:rPr>
          <w:spacing w:val="-7"/>
        </w:rPr>
        <w:t xml:space="preserve"> </w:t>
      </w:r>
      <w:r w:rsidR="008764A6" w:rsidRPr="00FF3D15">
        <w:t>was</w:t>
      </w:r>
      <w:r w:rsidR="008764A6" w:rsidRPr="00FF3D15">
        <w:rPr>
          <w:spacing w:val="28"/>
          <w:w w:val="99"/>
        </w:rPr>
        <w:t xml:space="preserve"> </w:t>
      </w:r>
      <w:r w:rsidR="008764A6" w:rsidRPr="00FF3D15">
        <w:t>no</w:t>
      </w:r>
      <w:r w:rsidR="008764A6" w:rsidRPr="00FF3D15">
        <w:rPr>
          <w:spacing w:val="-6"/>
        </w:rPr>
        <w:t xml:space="preserve"> </w:t>
      </w:r>
      <w:r w:rsidR="008764A6" w:rsidRPr="00FF3D15">
        <w:t>ALO</w:t>
      </w:r>
      <w:r w:rsidR="008764A6" w:rsidRPr="00FF3D15">
        <w:rPr>
          <w:spacing w:val="-5"/>
        </w:rPr>
        <w:t xml:space="preserve"> </w:t>
      </w:r>
      <w:r w:rsidR="008764A6" w:rsidRPr="00FF3D15">
        <w:t>involvement</w:t>
      </w:r>
      <w:r w:rsidR="008764A6" w:rsidRPr="00FF3D15">
        <w:rPr>
          <w:spacing w:val="-4"/>
        </w:rPr>
        <w:t xml:space="preserve"> </w:t>
      </w:r>
      <w:r w:rsidR="008764A6" w:rsidRPr="00FF3D15">
        <w:rPr>
          <w:spacing w:val="-1"/>
        </w:rPr>
        <w:t>in</w:t>
      </w:r>
      <w:r w:rsidR="008764A6" w:rsidRPr="00FF3D15">
        <w:rPr>
          <w:spacing w:val="-2"/>
        </w:rPr>
        <w:t xml:space="preserve"> </w:t>
      </w:r>
      <w:r w:rsidR="00B962EE" w:rsidRPr="00FF3D15">
        <w:t>the</w:t>
      </w:r>
      <w:r w:rsidR="00B962EE" w:rsidRPr="00FF3D15">
        <w:rPr>
          <w:spacing w:val="-2"/>
        </w:rPr>
        <w:t xml:space="preserve"> </w:t>
      </w:r>
      <w:r w:rsidR="008764A6" w:rsidRPr="00FF3D15">
        <w:t>TWES</w:t>
      </w:r>
      <w:r w:rsidR="008764A6" w:rsidRPr="00FF3D15">
        <w:rPr>
          <w:spacing w:val="-6"/>
        </w:rPr>
        <w:t xml:space="preserve"> </w:t>
      </w:r>
      <w:r w:rsidR="008764A6" w:rsidRPr="00FF3D15">
        <w:t>process</w:t>
      </w:r>
      <w:r w:rsidR="0046387B" w:rsidRPr="00FF3D15">
        <w:t>,</w:t>
      </w:r>
      <w:r w:rsidR="0046387B" w:rsidRPr="00FF3D15">
        <w:rPr>
          <w:spacing w:val="-6"/>
        </w:rPr>
        <w:t xml:space="preserve"> </w:t>
      </w:r>
      <w:r w:rsidR="0046387B" w:rsidRPr="00FF3D15">
        <w:t>and</w:t>
      </w:r>
      <w:r w:rsidR="0046387B" w:rsidRPr="00FF3D15">
        <w:rPr>
          <w:spacing w:val="-6"/>
        </w:rPr>
        <w:t xml:space="preserve"> </w:t>
      </w:r>
      <w:r w:rsidR="0046387B" w:rsidRPr="00FF3D15">
        <w:t>that</w:t>
      </w:r>
      <w:r w:rsidR="0046387B" w:rsidRPr="00FF3D15">
        <w:rPr>
          <w:spacing w:val="-4"/>
        </w:rPr>
        <w:t xml:space="preserve"> </w:t>
      </w:r>
      <w:r w:rsidR="0046387B" w:rsidRPr="00FF3D15">
        <w:t>this</w:t>
      </w:r>
      <w:r w:rsidR="0046387B" w:rsidRPr="00FF3D15">
        <w:rPr>
          <w:spacing w:val="-3"/>
        </w:rPr>
        <w:t xml:space="preserve"> </w:t>
      </w:r>
      <w:r w:rsidR="0046387B" w:rsidRPr="00FF3D15">
        <w:t>would</w:t>
      </w:r>
      <w:r w:rsidR="0046387B" w:rsidRPr="00FF3D15">
        <w:rPr>
          <w:spacing w:val="-6"/>
        </w:rPr>
        <w:t xml:space="preserve"> </w:t>
      </w:r>
      <w:r w:rsidR="0046387B" w:rsidRPr="00FF3D15">
        <w:rPr>
          <w:spacing w:val="-1"/>
        </w:rPr>
        <w:t>have</w:t>
      </w:r>
      <w:r w:rsidR="0046387B" w:rsidRPr="00FF3D15">
        <w:rPr>
          <w:spacing w:val="-3"/>
        </w:rPr>
        <w:t xml:space="preserve"> </w:t>
      </w:r>
      <w:r w:rsidR="0046387B" w:rsidRPr="00FF3D15">
        <w:t>be</w:t>
      </w:r>
      <w:r w:rsidR="00F6275F" w:rsidRPr="00FF3D15">
        <w:t>e</w:t>
      </w:r>
      <w:r w:rsidR="0046387B" w:rsidRPr="00FF3D15">
        <w:t>n</w:t>
      </w:r>
      <w:r w:rsidR="0046387B" w:rsidRPr="00FF3D15">
        <w:rPr>
          <w:spacing w:val="-4"/>
        </w:rPr>
        <w:t xml:space="preserve"> </w:t>
      </w:r>
      <w:r w:rsidR="0046387B" w:rsidRPr="00FF3D15">
        <w:t>helpful</w:t>
      </w:r>
      <w:r w:rsidR="00133044">
        <w:t>.</w:t>
      </w:r>
    </w:p>
    <w:p w14:paraId="58EF7EEC" w14:textId="0AE6CDA5" w:rsidR="0046387B" w:rsidRPr="00FF3D15" w:rsidRDefault="0046387B" w:rsidP="00305B4B">
      <w:pPr>
        <w:pStyle w:val="Bulletedlist"/>
        <w:ind w:right="3"/>
      </w:pPr>
      <w:r w:rsidRPr="00FF3D15">
        <w:t>Two</w:t>
      </w:r>
      <w:r w:rsidRPr="00FF3D15">
        <w:rPr>
          <w:spacing w:val="-7"/>
        </w:rPr>
        <w:t xml:space="preserve"> </w:t>
      </w:r>
      <w:r w:rsidRPr="00FF3D15">
        <w:t>participants</w:t>
      </w:r>
      <w:r w:rsidRPr="00FF3D15">
        <w:rPr>
          <w:spacing w:val="-6"/>
        </w:rPr>
        <w:t xml:space="preserve"> </w:t>
      </w:r>
      <w:r w:rsidRPr="00FF3D15">
        <w:t>stated</w:t>
      </w:r>
      <w:r w:rsidRPr="00FF3D15">
        <w:rPr>
          <w:spacing w:val="-7"/>
        </w:rPr>
        <w:t xml:space="preserve"> </w:t>
      </w:r>
      <w:r w:rsidRPr="00FF3D15">
        <w:t>that</w:t>
      </w:r>
      <w:r w:rsidRPr="00FF3D15">
        <w:rPr>
          <w:spacing w:val="-4"/>
        </w:rPr>
        <w:t xml:space="preserve"> </w:t>
      </w:r>
      <w:r w:rsidRPr="00FF3D15">
        <w:rPr>
          <w:spacing w:val="-1"/>
        </w:rPr>
        <w:t>they</w:t>
      </w:r>
      <w:r w:rsidRPr="00FF3D15">
        <w:rPr>
          <w:spacing w:val="-6"/>
        </w:rPr>
        <w:t xml:space="preserve"> </w:t>
      </w:r>
      <w:r w:rsidRPr="00FF3D15">
        <w:t>were</w:t>
      </w:r>
      <w:r w:rsidRPr="00FF3D15">
        <w:rPr>
          <w:spacing w:val="-4"/>
        </w:rPr>
        <w:t xml:space="preserve"> </w:t>
      </w:r>
      <w:r w:rsidRPr="00FF3D15">
        <w:t>glad</w:t>
      </w:r>
      <w:r w:rsidRPr="00FF3D15">
        <w:rPr>
          <w:spacing w:val="-7"/>
        </w:rPr>
        <w:t xml:space="preserve"> </w:t>
      </w:r>
      <w:r w:rsidRPr="00FF3D15">
        <w:t>that</w:t>
      </w:r>
      <w:r w:rsidRPr="00FF3D15">
        <w:rPr>
          <w:spacing w:val="-5"/>
        </w:rPr>
        <w:t xml:space="preserve"> </w:t>
      </w:r>
      <w:r w:rsidRPr="00FF3D15">
        <w:rPr>
          <w:spacing w:val="-1"/>
        </w:rPr>
        <w:t>their</w:t>
      </w:r>
      <w:r w:rsidRPr="00FF3D15">
        <w:rPr>
          <w:spacing w:val="-5"/>
        </w:rPr>
        <w:t xml:space="preserve"> </w:t>
      </w:r>
      <w:r w:rsidRPr="00FF3D15">
        <w:t>TWES</w:t>
      </w:r>
      <w:r w:rsidRPr="00FF3D15">
        <w:rPr>
          <w:spacing w:val="-6"/>
        </w:rPr>
        <w:t xml:space="preserve"> </w:t>
      </w:r>
      <w:r w:rsidR="00D61836">
        <w:t>p</w:t>
      </w:r>
      <w:r w:rsidR="00D61836" w:rsidRPr="00FF3D15">
        <w:t>rovider</w:t>
      </w:r>
      <w:r w:rsidR="00D61836" w:rsidRPr="00FF3D15">
        <w:rPr>
          <w:spacing w:val="-6"/>
        </w:rPr>
        <w:t xml:space="preserve"> </w:t>
      </w:r>
      <w:r w:rsidRPr="00FF3D15">
        <w:t>was</w:t>
      </w:r>
      <w:r w:rsidRPr="00FF3D15">
        <w:rPr>
          <w:spacing w:val="-6"/>
        </w:rPr>
        <w:t xml:space="preserve"> </w:t>
      </w:r>
      <w:r w:rsidRPr="00FF3D15">
        <w:t>Indigenous</w:t>
      </w:r>
      <w:r w:rsidR="00133044">
        <w:t>.</w:t>
      </w:r>
    </w:p>
    <w:p w14:paraId="5D82B72D" w14:textId="3A1294C5" w:rsidR="00241E50" w:rsidRPr="00A64A41" w:rsidRDefault="00AF31AF" w:rsidP="00305B4B">
      <w:pPr>
        <w:pStyle w:val="BodyText"/>
        <w:ind w:right="3"/>
      </w:pPr>
      <w:r w:rsidRPr="00A64A41">
        <w:t>The q</w:t>
      </w:r>
      <w:r w:rsidR="00241E50" w:rsidRPr="00A64A41">
        <w:t>uotes</w:t>
      </w:r>
      <w:r w:rsidR="00B74E87" w:rsidRPr="00A64A41">
        <w:t xml:space="preserve"> </w:t>
      </w:r>
      <w:r w:rsidR="00241E50" w:rsidRPr="00A64A41">
        <w:t xml:space="preserve">below illustrate some of the </w:t>
      </w:r>
      <w:r w:rsidR="004202F7" w:rsidRPr="00A64A41">
        <w:t xml:space="preserve">challenges that some TWES participants faced in understanding </w:t>
      </w:r>
      <w:r w:rsidR="003C2626" w:rsidRPr="00A64A41">
        <w:t>different aspects of the service</w:t>
      </w:r>
      <w:r w:rsidR="00B74E87" w:rsidRPr="00A64A41">
        <w:t>.</w:t>
      </w:r>
    </w:p>
    <w:p w14:paraId="47EEA040" w14:textId="101642A6" w:rsidR="00605F6F" w:rsidRDefault="0076366C" w:rsidP="00305B4B">
      <w:pPr>
        <w:pStyle w:val="BodyText"/>
        <w:ind w:right="3"/>
      </w:pPr>
      <w:r>
        <w:rPr>
          <w:noProof/>
        </w:rPr>
        <mc:AlternateContent>
          <mc:Choice Requires="wps">
            <w:drawing>
              <wp:inline distT="0" distB="0" distL="0" distR="0" wp14:anchorId="75899702" wp14:editId="5D7C6EB7">
                <wp:extent cx="6324600" cy="1219200"/>
                <wp:effectExtent l="0" t="0" r="0" b="0"/>
                <wp:docPr id="65" name="Rectangle: Rounded Corners 65"/>
                <wp:cNvGraphicFramePr/>
                <a:graphic xmlns:a="http://schemas.openxmlformats.org/drawingml/2006/main">
                  <a:graphicData uri="http://schemas.microsoft.com/office/word/2010/wordprocessingShape">
                    <wps:wsp>
                      <wps:cNvSpPr/>
                      <wps:spPr>
                        <a:xfrm>
                          <a:off x="0" y="0"/>
                          <a:ext cx="6324600" cy="1219200"/>
                        </a:xfrm>
                        <a:prstGeom prst="roundRect">
                          <a:avLst/>
                        </a:prstGeom>
                        <a:solidFill>
                          <a:srgbClr val="58B6E7">
                            <a:lumMod val="20000"/>
                            <a:lumOff val="80000"/>
                          </a:srgbClr>
                        </a:solidFill>
                        <a:ln w="25400" cap="flat" cmpd="sng" algn="ctr">
                          <a:noFill/>
                          <a:prstDash val="solid"/>
                        </a:ln>
                        <a:effectLst/>
                      </wps:spPr>
                      <wps:txbx>
                        <w:txbxContent>
                          <w:p w14:paraId="35C9741B" w14:textId="43BC7B3B" w:rsidR="000B1DD2" w:rsidRDefault="000B1DD2" w:rsidP="00E06C4B">
                            <w:pPr>
                              <w:pStyle w:val="QuoteNoafterspace"/>
                            </w:pPr>
                            <w:r w:rsidRPr="00605F6F">
                              <w:t xml:space="preserve">I wasn’t sure what it [TWES] was about, I was just trying to do everything I could to set me up for when I get out, so I said yes. He [the </w:t>
                            </w:r>
                            <w:r>
                              <w:t>provider</w:t>
                            </w:r>
                            <w:r w:rsidRPr="00605F6F">
                              <w:t>] talked fast and like he was reading off a list… he didn’t give enough information or explain what would happen … I’m quite shame [shy] so I am often not comfortable asking other people questions</w:t>
                            </w:r>
                            <w:r w:rsidRPr="007035E5">
                              <w:t>.</w:t>
                            </w:r>
                          </w:p>
                          <w:p w14:paraId="0C77F32C" w14:textId="5F5F305A" w:rsidR="000B1DD2" w:rsidRPr="006D6DBD" w:rsidRDefault="000B1DD2" w:rsidP="00E06C4B">
                            <w:pPr>
                              <w:pStyle w:val="QuoteNoafterspace"/>
                              <w:jc w:val="right"/>
                              <w:rPr>
                                <w:b/>
                                <w:bCs/>
                              </w:rPr>
                            </w:pPr>
                            <w:r w:rsidRPr="006D6DBD">
                              <w:rPr>
                                <w:b/>
                                <w:bCs/>
                              </w:rPr>
                              <w:t xml:space="preserve">- </w:t>
                            </w:r>
                            <w:r>
                              <w:rPr>
                                <w:b/>
                                <w:bCs/>
                              </w:rPr>
                              <w:t>Participant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899702" id="Rectangle: Rounded Corners 65" o:spid="_x0000_s1051" style="width:498pt;height:9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" fillcolor="#def0fa" stroked="f" strokeweight="2pt">
                <v:textbox inset="0,0,0,0">
                  <w:txbxContent>
                    <w:p w14:paraId="35C9741B" w14:textId="43BC7B3B" w:rsidR="000B1DD2" w:rsidRDefault="000B1DD2" w:rsidP="00E06C4B">
                      <w:pPr>
                        <w:pStyle w:val="QuoteNoafterspace"/>
                      </w:pPr>
                      <w:r w:rsidRPr="00605F6F">
                        <w:t xml:space="preserve">I wasn’t sure what it [TWES] was about, I was just trying to do everything I could to set me up for when I get out, so I said yes. He [the </w:t>
                      </w:r>
                      <w:r>
                        <w:t>provider</w:t>
                      </w:r>
                      <w:r w:rsidRPr="00605F6F">
                        <w:t>] talked fast and like he was reading off a list… he didn’t give enough information or explain what would happen … I’m quite shame [shy] so I am often not comfortable asking other people questions</w:t>
                      </w:r>
                      <w:r w:rsidRPr="007035E5">
                        <w:t>.</w:t>
                      </w:r>
                    </w:p>
                    <w:p w14:paraId="0C77F32C" w14:textId="5F5F305A" w:rsidR="000B1DD2" w:rsidRPr="006D6DBD" w:rsidRDefault="000B1DD2" w:rsidP="00E06C4B">
                      <w:pPr>
                        <w:pStyle w:val="QuoteNoafterspace"/>
                        <w:jc w:val="right"/>
                        <w:rPr>
                          <w:b/>
                          <w:bCs/>
                        </w:rPr>
                      </w:pPr>
                      <w:r w:rsidRPr="006D6DBD">
                        <w:rPr>
                          <w:b/>
                          <w:bCs/>
                        </w:rPr>
                        <w:t xml:space="preserve">- </w:t>
                      </w:r>
                      <w:r>
                        <w:rPr>
                          <w:b/>
                          <w:bCs/>
                        </w:rPr>
                        <w:t>Participant</w:t>
                      </w:r>
                    </w:p>
                  </w:txbxContent>
                </v:textbox>
                <w10:anchorlock/>
              </v:roundrect>
            </w:pict>
          </mc:Fallback>
        </mc:AlternateContent>
      </w:r>
    </w:p>
    <w:p w14:paraId="56C33924" w14:textId="5A8044DD" w:rsidR="006B1509" w:rsidRDefault="00892DCB" w:rsidP="00305B4B">
      <w:pPr>
        <w:pStyle w:val="BodyText"/>
        <w:ind w:right="3"/>
      </w:pPr>
      <w:r>
        <w:rPr>
          <w:noProof/>
        </w:rPr>
        <mc:AlternateContent>
          <mc:Choice Requires="wps">
            <w:drawing>
              <wp:inline distT="0" distB="0" distL="0" distR="0" wp14:anchorId="220BF6A1" wp14:editId="0F1F62A5">
                <wp:extent cx="6324600" cy="869577"/>
                <wp:effectExtent l="0" t="0" r="0" b="0"/>
                <wp:docPr id="66" name="Rectangle: Rounded Corners 66"/>
                <wp:cNvGraphicFramePr/>
                <a:graphic xmlns:a="http://schemas.openxmlformats.org/drawingml/2006/main">
                  <a:graphicData uri="http://schemas.microsoft.com/office/word/2010/wordprocessingShape">
                    <wps:wsp>
                      <wps:cNvSpPr/>
                      <wps:spPr>
                        <a:xfrm>
                          <a:off x="0" y="0"/>
                          <a:ext cx="6324600" cy="869577"/>
                        </a:xfrm>
                        <a:prstGeom prst="roundRect">
                          <a:avLst/>
                        </a:prstGeom>
                        <a:solidFill>
                          <a:srgbClr val="58B6E7">
                            <a:lumMod val="20000"/>
                            <a:lumOff val="80000"/>
                          </a:srgbClr>
                        </a:solidFill>
                        <a:ln w="25400" cap="flat" cmpd="sng" algn="ctr">
                          <a:noFill/>
                          <a:prstDash val="solid"/>
                        </a:ln>
                        <a:effectLst/>
                      </wps:spPr>
                      <wps:txbx>
                        <w:txbxContent>
                          <w:p w14:paraId="0D343227" w14:textId="746CDF6A" w:rsidR="000B1DD2" w:rsidRDefault="000B1DD2" w:rsidP="00E06C4B">
                            <w:pPr>
                              <w:pStyle w:val="QuoteNoafterspace"/>
                            </w:pPr>
                            <w:r w:rsidRPr="00892DCB">
                              <w:t>I wasn’t sure what would be the benefit [of the program], I just played along in case it could be beneficial</w:t>
                            </w:r>
                            <w:r w:rsidRPr="007035E5">
                              <w:t>.</w:t>
                            </w:r>
                          </w:p>
                          <w:p w14:paraId="2674B007" w14:textId="77777777" w:rsidR="000B1DD2" w:rsidRPr="006D6DBD" w:rsidRDefault="000B1DD2" w:rsidP="00E06C4B">
                            <w:pPr>
                              <w:pStyle w:val="QuoteNoafterspace"/>
                              <w:jc w:val="right"/>
                              <w:rPr>
                                <w:b/>
                                <w:bCs/>
                              </w:rPr>
                            </w:pPr>
                            <w:r w:rsidRPr="006D6DBD">
                              <w:rPr>
                                <w:b/>
                                <w:bCs/>
                              </w:rPr>
                              <w:t xml:space="preserve">- </w:t>
                            </w:r>
                            <w:r>
                              <w:rPr>
                                <w:b/>
                                <w:bCs/>
                              </w:rPr>
                              <w:t>Participant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0BF6A1" id="Rectangle: Rounded Corners 66" o:spid="_x0000_s1052" style="width:498pt;height:68.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" fillcolor="#def0fa" stroked="f" strokeweight="2pt">
                <v:textbox inset="0,0,0,0">
                  <w:txbxContent>
                    <w:p w14:paraId="0D343227" w14:textId="746CDF6A" w:rsidR="000B1DD2" w:rsidRDefault="000B1DD2" w:rsidP="00E06C4B">
                      <w:pPr>
                        <w:pStyle w:val="QuoteNoafterspace"/>
                      </w:pPr>
                      <w:r w:rsidRPr="00892DCB">
                        <w:t>I wasn’t sure what would be the benefit [of the program], I just played along in case it could be beneficial</w:t>
                      </w:r>
                      <w:r w:rsidRPr="007035E5">
                        <w:t>.</w:t>
                      </w:r>
                    </w:p>
                    <w:p w14:paraId="2674B007" w14:textId="77777777" w:rsidR="000B1DD2" w:rsidRPr="006D6DBD" w:rsidRDefault="000B1DD2" w:rsidP="00E06C4B">
                      <w:pPr>
                        <w:pStyle w:val="QuoteNoafterspace"/>
                        <w:jc w:val="right"/>
                        <w:rPr>
                          <w:b/>
                          <w:bCs/>
                        </w:rPr>
                      </w:pPr>
                      <w:r w:rsidRPr="006D6DBD">
                        <w:rPr>
                          <w:b/>
                          <w:bCs/>
                        </w:rPr>
                        <w:t xml:space="preserve">- </w:t>
                      </w:r>
                      <w:r>
                        <w:rPr>
                          <w:b/>
                          <w:bCs/>
                        </w:rPr>
                        <w:t>Participant</w:t>
                      </w:r>
                    </w:p>
                  </w:txbxContent>
                </v:textbox>
                <w10:anchorlock/>
              </v:roundrect>
            </w:pict>
          </mc:Fallback>
        </mc:AlternateContent>
      </w:r>
    </w:p>
    <w:p w14:paraId="1D577224" w14:textId="085E987A" w:rsidR="00892DCB" w:rsidRDefault="00892DCB" w:rsidP="00305B4B">
      <w:pPr>
        <w:pStyle w:val="BodyText"/>
        <w:ind w:right="3"/>
      </w:pPr>
      <w:r>
        <w:rPr>
          <w:noProof/>
        </w:rPr>
        <mc:AlternateContent>
          <mc:Choice Requires="wps">
            <w:drawing>
              <wp:inline distT="0" distB="0" distL="0" distR="0" wp14:anchorId="06F1651A" wp14:editId="56B087F0">
                <wp:extent cx="6324600" cy="842682"/>
                <wp:effectExtent l="0" t="0" r="0" b="0"/>
                <wp:docPr id="67" name="Rectangle: Rounded Corners 67"/>
                <wp:cNvGraphicFramePr/>
                <a:graphic xmlns:a="http://schemas.openxmlformats.org/drawingml/2006/main">
                  <a:graphicData uri="http://schemas.microsoft.com/office/word/2010/wordprocessingShape">
                    <wps:wsp>
                      <wps:cNvSpPr/>
                      <wps:spPr>
                        <a:xfrm>
                          <a:off x="0" y="0"/>
                          <a:ext cx="6324600" cy="842682"/>
                        </a:xfrm>
                        <a:prstGeom prst="roundRect">
                          <a:avLst/>
                        </a:prstGeom>
                        <a:solidFill>
                          <a:srgbClr val="58B6E7">
                            <a:lumMod val="20000"/>
                            <a:lumOff val="80000"/>
                          </a:srgbClr>
                        </a:solidFill>
                        <a:ln w="25400" cap="flat" cmpd="sng" algn="ctr">
                          <a:noFill/>
                          <a:prstDash val="solid"/>
                        </a:ln>
                        <a:effectLst/>
                      </wps:spPr>
                      <wps:txbx>
                        <w:txbxContent>
                          <w:p w14:paraId="36AEB5FA" w14:textId="649D1841" w:rsidR="000B1DD2" w:rsidRDefault="000B1DD2" w:rsidP="00E06C4B">
                            <w:pPr>
                              <w:pStyle w:val="QuoteNoafterspace"/>
                            </w:pPr>
                            <w:r w:rsidRPr="00892DCB">
                              <w:t>I couldn’t understand the person [ESAt assessor] because of their foreign accent. So I just said yes to everything</w:t>
                            </w:r>
                            <w:r w:rsidRPr="007035E5">
                              <w:t>.</w:t>
                            </w:r>
                          </w:p>
                          <w:p w14:paraId="6788109C" w14:textId="77777777" w:rsidR="000B1DD2" w:rsidRPr="006D6DBD" w:rsidRDefault="000B1DD2" w:rsidP="00E06C4B">
                            <w:pPr>
                              <w:pStyle w:val="QuoteNoafterspace"/>
                              <w:jc w:val="right"/>
                              <w:rPr>
                                <w:b/>
                                <w:bCs/>
                              </w:rPr>
                            </w:pPr>
                            <w:r w:rsidRPr="006D6DBD">
                              <w:rPr>
                                <w:b/>
                                <w:bCs/>
                              </w:rPr>
                              <w:t xml:space="preserve">- </w:t>
                            </w:r>
                            <w:r>
                              <w:rPr>
                                <w:b/>
                                <w:bCs/>
                              </w:rPr>
                              <w:t>Participant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F1651A" id="Rectangle: Rounded Corners 67" o:spid="_x0000_s1053" style="width:498pt;height:66.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" fillcolor="#def0fa" stroked="f" strokeweight="2pt">
                <v:textbox inset="0,0,0,0">
                  <w:txbxContent>
                    <w:p w14:paraId="36AEB5FA" w14:textId="649D1841" w:rsidR="000B1DD2" w:rsidRDefault="000B1DD2" w:rsidP="00E06C4B">
                      <w:pPr>
                        <w:pStyle w:val="QuoteNoafterspace"/>
                      </w:pPr>
                      <w:r w:rsidRPr="00892DCB">
                        <w:t>I couldn’t understand the person [</w:t>
                      </w:r>
                      <w:proofErr w:type="spellStart"/>
                      <w:r w:rsidRPr="00892DCB">
                        <w:t>ESAt</w:t>
                      </w:r>
                      <w:proofErr w:type="spellEnd"/>
                      <w:r w:rsidRPr="00892DCB">
                        <w:t xml:space="preserve"> assessor] because of their foreign accent. </w:t>
                      </w:r>
                      <w:proofErr w:type="gramStart"/>
                      <w:r w:rsidRPr="00892DCB">
                        <w:t>So</w:t>
                      </w:r>
                      <w:proofErr w:type="gramEnd"/>
                      <w:r w:rsidRPr="00892DCB">
                        <w:t xml:space="preserve"> I just said yes to everything</w:t>
                      </w:r>
                      <w:r w:rsidRPr="007035E5">
                        <w:t>.</w:t>
                      </w:r>
                    </w:p>
                    <w:p w14:paraId="6788109C" w14:textId="77777777" w:rsidR="000B1DD2" w:rsidRPr="006D6DBD" w:rsidRDefault="000B1DD2" w:rsidP="00E06C4B">
                      <w:pPr>
                        <w:pStyle w:val="QuoteNoafterspace"/>
                        <w:jc w:val="right"/>
                        <w:rPr>
                          <w:b/>
                          <w:bCs/>
                        </w:rPr>
                      </w:pPr>
                      <w:r w:rsidRPr="006D6DBD">
                        <w:rPr>
                          <w:b/>
                          <w:bCs/>
                        </w:rPr>
                        <w:t xml:space="preserve">- </w:t>
                      </w:r>
                      <w:r>
                        <w:rPr>
                          <w:b/>
                          <w:bCs/>
                        </w:rPr>
                        <w:t>Participant</w:t>
                      </w:r>
                    </w:p>
                  </w:txbxContent>
                </v:textbox>
                <w10:anchorlock/>
              </v:roundrect>
            </w:pict>
          </mc:Fallback>
        </mc:AlternateContent>
      </w:r>
    </w:p>
    <w:p w14:paraId="5EF11726" w14:textId="16DA2152" w:rsidR="00892DCB" w:rsidRDefault="00892DCB" w:rsidP="00305B4B">
      <w:pPr>
        <w:pStyle w:val="BodyText"/>
        <w:ind w:right="3"/>
      </w:pPr>
      <w:r>
        <w:rPr>
          <w:noProof/>
        </w:rPr>
        <mc:AlternateContent>
          <mc:Choice Requires="wps">
            <w:drawing>
              <wp:inline distT="0" distB="0" distL="0" distR="0" wp14:anchorId="0097EF1F" wp14:editId="4508D13E">
                <wp:extent cx="6324600" cy="878541"/>
                <wp:effectExtent l="0" t="0" r="0" b="0"/>
                <wp:docPr id="68" name="Rectangle: Rounded Corners 68"/>
                <wp:cNvGraphicFramePr/>
                <a:graphic xmlns:a="http://schemas.openxmlformats.org/drawingml/2006/main">
                  <a:graphicData uri="http://schemas.microsoft.com/office/word/2010/wordprocessingShape">
                    <wps:wsp>
                      <wps:cNvSpPr/>
                      <wps:spPr>
                        <a:xfrm>
                          <a:off x="0" y="0"/>
                          <a:ext cx="6324600" cy="878541"/>
                        </a:xfrm>
                        <a:prstGeom prst="roundRect">
                          <a:avLst/>
                        </a:prstGeom>
                        <a:solidFill>
                          <a:srgbClr val="58B6E7">
                            <a:lumMod val="20000"/>
                            <a:lumOff val="80000"/>
                          </a:srgbClr>
                        </a:solidFill>
                        <a:ln w="25400" cap="flat" cmpd="sng" algn="ctr">
                          <a:noFill/>
                          <a:prstDash val="solid"/>
                        </a:ln>
                        <a:effectLst/>
                      </wps:spPr>
                      <wps:txbx>
                        <w:txbxContent>
                          <w:p w14:paraId="7D3F2D3B" w14:textId="2484DAE3" w:rsidR="000B1DD2" w:rsidRDefault="000B1DD2" w:rsidP="00E06C4B">
                            <w:pPr>
                              <w:pStyle w:val="QuoteNoafterspace"/>
                            </w:pPr>
                            <w:r w:rsidRPr="00892DCB">
                              <w:t>Prisoners also lose interest because the process is not client friendly – they get bored of it because it's too process driven</w:t>
                            </w:r>
                            <w:r>
                              <w:t>.</w:t>
                            </w:r>
                            <w:r w:rsidRPr="00892DCB">
                              <w:t xml:space="preserve"> </w:t>
                            </w:r>
                          </w:p>
                          <w:p w14:paraId="1A99C4F6" w14:textId="4249EEC9" w:rsidR="000B1DD2" w:rsidRPr="006D6DBD" w:rsidRDefault="000B1DD2" w:rsidP="00E06C4B">
                            <w:pPr>
                              <w:pStyle w:val="QuoteNoafterspace"/>
                              <w:jc w:val="right"/>
                              <w:rPr>
                                <w:b/>
                                <w:bCs/>
                              </w:rPr>
                            </w:pPr>
                            <w:r w:rsidRPr="006D6DBD">
                              <w:rPr>
                                <w:b/>
                                <w:bCs/>
                              </w:rPr>
                              <w:t xml:space="preserve">- </w:t>
                            </w:r>
                            <w:r>
                              <w:rPr>
                                <w:b/>
                                <w:bCs/>
                              </w:rPr>
                              <w:t>TWES provider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097EF1F" id="Rectangle: Rounded Corners 68" o:spid="_x0000_s1054" style="width:498pt;height:6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" fillcolor="#def0fa" stroked="f" strokeweight="2pt">
                <v:textbox inset="0,0,0,0">
                  <w:txbxContent>
                    <w:p w14:paraId="7D3F2D3B" w14:textId="2484DAE3" w:rsidR="000B1DD2" w:rsidRDefault="000B1DD2" w:rsidP="00E06C4B">
                      <w:pPr>
                        <w:pStyle w:val="QuoteNoafterspace"/>
                      </w:pPr>
                      <w:r w:rsidRPr="00892DCB">
                        <w:t>Prisoners also lose interest because the process is not client friendly – they get bored of it because it's too process driven</w:t>
                      </w:r>
                      <w:r>
                        <w:t>.</w:t>
                      </w:r>
                      <w:r w:rsidRPr="00892DCB">
                        <w:t xml:space="preserve"> </w:t>
                      </w:r>
                    </w:p>
                    <w:p w14:paraId="1A99C4F6" w14:textId="4249EEC9" w:rsidR="000B1DD2" w:rsidRPr="006D6DBD" w:rsidRDefault="000B1DD2" w:rsidP="00E06C4B">
                      <w:pPr>
                        <w:pStyle w:val="QuoteNoafterspace"/>
                        <w:jc w:val="right"/>
                        <w:rPr>
                          <w:b/>
                          <w:bCs/>
                        </w:rPr>
                      </w:pPr>
                      <w:r w:rsidRPr="006D6DBD">
                        <w:rPr>
                          <w:b/>
                          <w:bCs/>
                        </w:rPr>
                        <w:t xml:space="preserve">- </w:t>
                      </w:r>
                      <w:r>
                        <w:rPr>
                          <w:b/>
                          <w:bCs/>
                        </w:rPr>
                        <w:t>TWES provider</w:t>
                      </w:r>
                    </w:p>
                  </w:txbxContent>
                </v:textbox>
                <w10:anchorlock/>
              </v:roundrect>
            </w:pict>
          </mc:Fallback>
        </mc:AlternateContent>
      </w:r>
    </w:p>
    <w:p w14:paraId="3CEED6D4" w14:textId="28873131" w:rsidR="00413C0C" w:rsidRPr="00A64A41" w:rsidRDefault="00241E50" w:rsidP="00305B4B">
      <w:pPr>
        <w:pStyle w:val="BodyText"/>
        <w:ind w:right="3"/>
      </w:pPr>
      <w:r w:rsidRPr="00A64A41">
        <w:t xml:space="preserve">One TWES </w:t>
      </w:r>
      <w:r w:rsidR="00D61836" w:rsidRPr="00A64A41">
        <w:t xml:space="preserve">provider </w:t>
      </w:r>
      <w:r w:rsidR="007414F0" w:rsidRPr="00A64A41">
        <w:t xml:space="preserve">also </w:t>
      </w:r>
      <w:r w:rsidRPr="00A64A41">
        <w:t>noted that any eligible prisoners abiding by strict cultural practices would have been less likely to participate in TWES in the first place if the</w:t>
      </w:r>
      <w:r w:rsidR="00C90803" w:rsidRPr="00A64A41">
        <w:t xml:space="preserve"> TWES </w:t>
      </w:r>
      <w:r w:rsidR="00D61836" w:rsidRPr="00A64A41">
        <w:t xml:space="preserve">provider </w:t>
      </w:r>
      <w:r w:rsidR="00C90803" w:rsidRPr="00A64A41">
        <w:t>staff was the opposite gender</w:t>
      </w:r>
      <w:r w:rsidRPr="00A64A41">
        <w:t xml:space="preserve">. Similarly, it is likely that eligible prisoners who were not comfortable speaking English are likely to have not signed up for TWES in the first place where </w:t>
      </w:r>
      <w:r w:rsidR="00D61836" w:rsidRPr="00A64A41">
        <w:t xml:space="preserve">provider </w:t>
      </w:r>
      <w:r w:rsidRPr="00A64A41">
        <w:t>staff are unable to accommodate them.</w:t>
      </w:r>
      <w:r w:rsidR="007414F0" w:rsidRPr="00A64A41">
        <w:t xml:space="preserve"> </w:t>
      </w:r>
      <w:r w:rsidR="00413C0C" w:rsidRPr="00A64A41">
        <w:t xml:space="preserve">It is also important to note that </w:t>
      </w:r>
      <w:r w:rsidR="006871E9" w:rsidRPr="00A64A41">
        <w:t xml:space="preserve">participants </w:t>
      </w:r>
      <w:r w:rsidR="00413C0C" w:rsidRPr="00A64A41">
        <w:t xml:space="preserve">may have not felt comfortable telling </w:t>
      </w:r>
      <w:r w:rsidR="006871E9" w:rsidRPr="00A64A41">
        <w:t xml:space="preserve">the </w:t>
      </w:r>
      <w:r w:rsidR="006F233E" w:rsidRPr="00A64A41">
        <w:t>Evaluation Team</w:t>
      </w:r>
      <w:r w:rsidR="006871E9" w:rsidRPr="00A64A41">
        <w:t xml:space="preserve"> </w:t>
      </w:r>
      <w:r w:rsidR="00413C0C" w:rsidRPr="00A64A41">
        <w:t>if they did</w:t>
      </w:r>
      <w:r w:rsidR="006871E9" w:rsidRPr="00A64A41">
        <w:t xml:space="preserve"> find TWES </w:t>
      </w:r>
      <w:r w:rsidR="00E723D9" w:rsidRPr="00A64A41">
        <w:t xml:space="preserve">services were not culturally or gender appropriate, </w:t>
      </w:r>
      <w:r w:rsidR="00413C0C" w:rsidRPr="00A64A41">
        <w:t xml:space="preserve">given </w:t>
      </w:r>
      <w:r w:rsidR="001353E5" w:rsidRPr="00A64A41">
        <w:t xml:space="preserve">the interview </w:t>
      </w:r>
      <w:r w:rsidR="00E723D9" w:rsidRPr="00A64A41">
        <w:t>was a one</w:t>
      </w:r>
      <w:r w:rsidR="001353E5" w:rsidRPr="00A64A41">
        <w:t>-</w:t>
      </w:r>
      <w:r w:rsidR="00E723D9" w:rsidRPr="00A64A41">
        <w:t xml:space="preserve">off </w:t>
      </w:r>
      <w:r w:rsidR="001353E5" w:rsidRPr="00A64A41">
        <w:t>conversation.</w:t>
      </w:r>
    </w:p>
    <w:p w14:paraId="03653870" w14:textId="77777777" w:rsidR="007414F0" w:rsidRPr="00A64A41" w:rsidRDefault="007414F0" w:rsidP="00305B4B">
      <w:pPr>
        <w:pStyle w:val="BodyText"/>
        <w:ind w:right="3"/>
      </w:pPr>
      <w:r w:rsidRPr="00A64A41">
        <w:t>Taking the time to carefully communicate, describe the purpose and processes of TWES, and build a relationship with participants, is particularly important given that many participants have a low level of trust in the prison system, and in the prison context they lack a lot of information and control over their own lives.</w:t>
      </w:r>
    </w:p>
    <w:p w14:paraId="309B07D9" w14:textId="10F5DFA3" w:rsidR="008B35D1" w:rsidRPr="00A64A41" w:rsidRDefault="00B00106" w:rsidP="00305B4B">
      <w:pPr>
        <w:pStyle w:val="BodyText"/>
        <w:ind w:right="3"/>
      </w:pPr>
      <w:r w:rsidRPr="00A64A41">
        <w:t xml:space="preserve">These findings suggest that increasing the </w:t>
      </w:r>
      <w:r w:rsidR="008B35D1" w:rsidRPr="00A64A41">
        <w:t xml:space="preserve">involvement of Aboriginal or Torres Strait Islander staff in delivering TWES </w:t>
      </w:r>
      <w:r w:rsidR="00C8193E" w:rsidRPr="00A64A41">
        <w:t>c</w:t>
      </w:r>
      <w:r w:rsidR="008B35D1" w:rsidRPr="00A64A41">
        <w:t xml:space="preserve">ould </w:t>
      </w:r>
      <w:r w:rsidRPr="00A64A41">
        <w:t>strengthen the cultural appropriateness of the service</w:t>
      </w:r>
      <w:r w:rsidR="00261DCA" w:rsidRPr="00A64A41">
        <w:t>.</w:t>
      </w:r>
      <w:r w:rsidR="00615D6C" w:rsidRPr="00A64A41">
        <w:rPr>
          <w:rStyle w:val="FootnoteReference"/>
          <w:rFonts w:ascii="Arial" w:hAnsi="Arial" w:cs="Arial"/>
        </w:rPr>
        <w:footnoteReference w:id="26"/>
      </w:r>
      <w:r w:rsidR="00261DCA" w:rsidRPr="00A64A41">
        <w:t xml:space="preserve"> This includes increasing and supporting the recruitment of Aboriginal and Torres </w:t>
      </w:r>
      <w:r w:rsidR="00B97B97" w:rsidRPr="00A64A41">
        <w:t>Strait Islander</w:t>
      </w:r>
      <w:r w:rsidR="00261DCA" w:rsidRPr="00A64A41">
        <w:t xml:space="preserve"> </w:t>
      </w:r>
      <w:r w:rsidR="00B97B97" w:rsidRPr="00A64A41">
        <w:t>s</w:t>
      </w:r>
      <w:r w:rsidR="00261DCA" w:rsidRPr="00A64A41">
        <w:t xml:space="preserve">taff among TWES </w:t>
      </w:r>
      <w:r w:rsidR="00D61836" w:rsidRPr="00A64A41">
        <w:t>providers</w:t>
      </w:r>
      <w:r w:rsidR="00261DCA" w:rsidRPr="00A64A41">
        <w:t xml:space="preserve">, and </w:t>
      </w:r>
      <w:r w:rsidR="00F057BA" w:rsidRPr="00A64A41">
        <w:t xml:space="preserve">considering options to </w:t>
      </w:r>
      <w:r w:rsidR="00F057BA" w:rsidRPr="00A64A41">
        <w:lastRenderedPageBreak/>
        <w:t>formalise (and fund) the involvement of ALOs in supporting the promotion and delivery of TWES, in jurisdictions and prisons where ALOs are available</w:t>
      </w:r>
      <w:r w:rsidR="008B35D1" w:rsidRPr="00A64A41">
        <w:t xml:space="preserve">. </w:t>
      </w:r>
    </w:p>
    <w:p w14:paraId="0983FCC9" w14:textId="26F8BA6E" w:rsidR="00763189" w:rsidRPr="00A64A41" w:rsidRDefault="00763189" w:rsidP="00305B4B">
      <w:pPr>
        <w:pStyle w:val="Heading3"/>
        <w:ind w:right="3"/>
      </w:pPr>
      <w:r w:rsidRPr="00A64A41">
        <w:t xml:space="preserve">To what extent has TWES strengthened the connection between participants and post-release employment service providers? </w:t>
      </w:r>
    </w:p>
    <w:p w14:paraId="158A6D2D" w14:textId="4C3EC907" w:rsidR="00154604" w:rsidRPr="00A64A41" w:rsidRDefault="007D55BE" w:rsidP="00305B4B">
      <w:pPr>
        <w:pStyle w:val="BodyText"/>
        <w:ind w:right="3"/>
      </w:pPr>
      <w:r w:rsidRPr="00A64A41">
        <w:t>The TWES program logic assumes that</w:t>
      </w:r>
      <w:r w:rsidR="002B54EF" w:rsidRPr="00A64A41">
        <w:t xml:space="preserve"> </w:t>
      </w:r>
      <w:r w:rsidR="00F55286" w:rsidRPr="00A64A41">
        <w:t>the core servicing activities</w:t>
      </w:r>
      <w:r w:rsidR="007023D4" w:rsidRPr="00A64A41">
        <w:t xml:space="preserve"> </w:t>
      </w:r>
      <w:r w:rsidR="009E2D9F" w:rsidRPr="00A64A41">
        <w:t>are</w:t>
      </w:r>
      <w:r w:rsidR="001D24D7" w:rsidRPr="00A64A41">
        <w:t xml:space="preserve"> </w:t>
      </w:r>
      <w:r w:rsidR="0001703E" w:rsidRPr="00A64A41">
        <w:t>important</w:t>
      </w:r>
      <w:r w:rsidR="001D24D7" w:rsidRPr="00A64A41">
        <w:t xml:space="preserve"> </w:t>
      </w:r>
      <w:r w:rsidR="00154604" w:rsidRPr="00A64A41">
        <w:t>to achiev</w:t>
      </w:r>
      <w:r w:rsidR="002B54EF" w:rsidRPr="00A64A41">
        <w:t>ing</w:t>
      </w:r>
      <w:r w:rsidR="00154604" w:rsidRPr="00A64A41">
        <w:t xml:space="preserve"> </w:t>
      </w:r>
      <w:r w:rsidR="00D4550C" w:rsidRPr="00A64A41">
        <w:t xml:space="preserve">subsequent </w:t>
      </w:r>
      <w:r w:rsidR="00154604" w:rsidRPr="00A64A41">
        <w:t>outcomes for TWES participants and employment service providers</w:t>
      </w:r>
      <w:r w:rsidR="006E174A" w:rsidRPr="00A64A41">
        <w:t xml:space="preserve"> </w:t>
      </w:r>
      <w:r w:rsidR="00D4550C" w:rsidRPr="00A64A41">
        <w:t>(</w:t>
      </w:r>
      <w:r w:rsidR="00E64D60" w:rsidRPr="00A64A41">
        <w:t xml:space="preserve">see </w:t>
      </w:r>
      <w:r w:rsidR="00AB6EA7" w:rsidRPr="00A64A41">
        <w:rPr>
          <w:b/>
          <w:bCs/>
        </w:rPr>
        <w:t xml:space="preserve">Section </w:t>
      </w:r>
      <w:r w:rsidR="00AB6EA7" w:rsidRPr="00A64A41">
        <w:rPr>
          <w:b/>
          <w:bCs/>
        </w:rPr>
        <w:fldChar w:fldCharType="begin"/>
      </w:r>
      <w:r w:rsidR="00AB6EA7" w:rsidRPr="00A64A41">
        <w:rPr>
          <w:b/>
          <w:bCs/>
        </w:rPr>
        <w:instrText xml:space="preserve"> REF _Ref75010590 \r \h  \* MERGEFORMAT </w:instrText>
      </w:r>
      <w:r w:rsidR="00AB6EA7" w:rsidRPr="00A64A41">
        <w:rPr>
          <w:b/>
          <w:bCs/>
        </w:rPr>
      </w:r>
      <w:r w:rsidR="00AB6EA7" w:rsidRPr="00A64A41">
        <w:rPr>
          <w:b/>
          <w:bCs/>
        </w:rPr>
        <w:fldChar w:fldCharType="separate"/>
      </w:r>
      <w:r w:rsidR="00B624F4" w:rsidRPr="00A64A41">
        <w:rPr>
          <w:b/>
          <w:bCs/>
        </w:rPr>
        <w:t>3</w:t>
      </w:r>
      <w:r w:rsidR="00AB6EA7" w:rsidRPr="00A64A41">
        <w:rPr>
          <w:b/>
          <w:bCs/>
        </w:rPr>
        <w:fldChar w:fldCharType="end"/>
      </w:r>
      <w:r w:rsidR="00E64D60" w:rsidRPr="00A64A41">
        <w:t>)</w:t>
      </w:r>
      <w:r w:rsidR="00A754D3" w:rsidRPr="00A64A41">
        <w:t>.</w:t>
      </w:r>
      <w:r w:rsidR="002C55F1" w:rsidRPr="00A64A41">
        <w:t xml:space="preserve"> </w:t>
      </w:r>
      <w:r w:rsidR="007023D4" w:rsidRPr="00A64A41">
        <w:t xml:space="preserve">In particular, the Facilitated Transfer Meeting </w:t>
      </w:r>
      <w:r w:rsidR="0064473B" w:rsidRPr="00A64A41">
        <w:t>is an important opportunity for participants to meet their referred employment service provider</w:t>
      </w:r>
      <w:r w:rsidR="004128ED" w:rsidRPr="00A64A41">
        <w:t xml:space="preserve"> a</w:t>
      </w:r>
      <w:r w:rsidR="0064473B" w:rsidRPr="00A64A41">
        <w:t>nd understand their next steps after they leave prison</w:t>
      </w:r>
      <w:r w:rsidR="002C55F1" w:rsidRPr="00A64A41">
        <w:t xml:space="preserve">, and an </w:t>
      </w:r>
      <w:r w:rsidR="0082037F" w:rsidRPr="00A64A41">
        <w:t xml:space="preserve">opportunity </w:t>
      </w:r>
      <w:r w:rsidR="002C55F1" w:rsidRPr="00A64A41">
        <w:t xml:space="preserve">for employment service providers </w:t>
      </w:r>
      <w:r w:rsidR="0082037F" w:rsidRPr="00A64A41">
        <w:t xml:space="preserve">to </w:t>
      </w:r>
      <w:r w:rsidR="0064473B" w:rsidRPr="00A64A41">
        <w:t xml:space="preserve">build a connection with participants and understand their </w:t>
      </w:r>
      <w:r w:rsidR="006F6E48" w:rsidRPr="00A64A41">
        <w:t xml:space="preserve">journey and </w:t>
      </w:r>
      <w:r w:rsidR="0064473B" w:rsidRPr="00A64A41">
        <w:t xml:space="preserve">needs. </w:t>
      </w:r>
      <w:r w:rsidR="00211BEF" w:rsidRPr="00A64A41">
        <w:t>The TWES program logic identifies f</w:t>
      </w:r>
      <w:r w:rsidR="00E51850" w:rsidRPr="00A64A41">
        <w:t xml:space="preserve">our </w:t>
      </w:r>
      <w:r w:rsidR="00211BEF" w:rsidRPr="00A64A41">
        <w:t>short and medium</w:t>
      </w:r>
      <w:r w:rsidR="005073E5" w:rsidRPr="00A64A41">
        <w:t>-</w:t>
      </w:r>
      <w:r w:rsidR="00211BEF" w:rsidRPr="00A64A41">
        <w:t xml:space="preserve">term </w:t>
      </w:r>
      <w:r w:rsidR="00A754D3" w:rsidRPr="00A64A41">
        <w:t xml:space="preserve">outcomes </w:t>
      </w:r>
      <w:r w:rsidR="00064FB0" w:rsidRPr="00A64A41">
        <w:t xml:space="preserve">that flow from </w:t>
      </w:r>
      <w:r w:rsidR="00211BEF" w:rsidRPr="00A64A41">
        <w:t>the Facilitated Transfer Meeting</w:t>
      </w:r>
      <w:r w:rsidR="00A754D3" w:rsidRPr="00A64A41">
        <w:t xml:space="preserve">: </w:t>
      </w:r>
    </w:p>
    <w:p w14:paraId="77A7F54C" w14:textId="34D00F80" w:rsidR="00154604" w:rsidRPr="007C778E" w:rsidRDefault="00A754D3" w:rsidP="00305B4B">
      <w:pPr>
        <w:pStyle w:val="Bulletedlist"/>
        <w:ind w:right="3"/>
      </w:pPr>
      <w:r w:rsidRPr="007C778E">
        <w:t>Participants have an improved understanding of how to engage with post-release providers</w:t>
      </w:r>
    </w:p>
    <w:p w14:paraId="33D9F647" w14:textId="542D9836" w:rsidR="00A754D3" w:rsidRPr="007C778E" w:rsidRDefault="00A754D3" w:rsidP="00305B4B">
      <w:pPr>
        <w:pStyle w:val="Bulletedlist"/>
        <w:ind w:right="3"/>
      </w:pPr>
      <w:r w:rsidRPr="007C778E">
        <w:t>Participants have a stronger connection with a post-release provider</w:t>
      </w:r>
    </w:p>
    <w:p w14:paraId="4A359361" w14:textId="79D75039" w:rsidR="00A754D3" w:rsidRPr="007C778E" w:rsidRDefault="00741E27" w:rsidP="00305B4B">
      <w:pPr>
        <w:pStyle w:val="Bulletedlist"/>
        <w:ind w:right="3"/>
      </w:pPr>
      <w:r w:rsidRPr="007C778E">
        <w:t>Participants do</w:t>
      </w:r>
      <w:r w:rsidR="00A34E0F" w:rsidRPr="007C778E">
        <w:t xml:space="preserve"> </w:t>
      </w:r>
      <w:r w:rsidRPr="007C778E">
        <w:t>n</w:t>
      </w:r>
      <w:r w:rsidR="00A34E0F" w:rsidRPr="007C778E">
        <w:t>o</w:t>
      </w:r>
      <w:r w:rsidRPr="007C778E">
        <w:t>t have to re-tell their story</w:t>
      </w:r>
    </w:p>
    <w:p w14:paraId="57D96C19" w14:textId="2CEF77E5" w:rsidR="00741E27" w:rsidRPr="007C778E" w:rsidRDefault="00741E27" w:rsidP="00305B4B">
      <w:pPr>
        <w:pStyle w:val="Bulletedlist"/>
        <w:ind w:right="3"/>
      </w:pPr>
      <w:r w:rsidRPr="007C778E">
        <w:t xml:space="preserve">And employment service providers have an improved understanding of </w:t>
      </w:r>
      <w:r w:rsidR="00D32C17" w:rsidRPr="007C778E">
        <w:t xml:space="preserve">participant </w:t>
      </w:r>
      <w:r w:rsidRPr="007C778E">
        <w:t>background and needs</w:t>
      </w:r>
    </w:p>
    <w:p w14:paraId="4532155F" w14:textId="499A1E71" w:rsidR="004A6344" w:rsidRPr="007C778E" w:rsidRDefault="00CD1A7B" w:rsidP="00305B4B">
      <w:pPr>
        <w:pStyle w:val="BodyText"/>
        <w:ind w:right="3"/>
      </w:pPr>
      <w:r w:rsidRPr="007C778E">
        <w:t xml:space="preserve">Because </w:t>
      </w:r>
      <w:r w:rsidR="00F65D5F" w:rsidRPr="007C778E">
        <w:t>only</w:t>
      </w:r>
      <w:r w:rsidR="008F7AC2" w:rsidRPr="007C778E">
        <w:t xml:space="preserve"> 40% of TWES participants receive an Approved Transition Plan, and only </w:t>
      </w:r>
      <w:r w:rsidR="00F65D5F" w:rsidRPr="007C778E">
        <w:t xml:space="preserve">13% receive </w:t>
      </w:r>
      <w:r w:rsidR="008F7AC2" w:rsidRPr="007C778E">
        <w:t>a</w:t>
      </w:r>
      <w:r w:rsidR="00B211BF" w:rsidRPr="007C778E">
        <w:t xml:space="preserve"> </w:t>
      </w:r>
      <w:r w:rsidR="00924B70" w:rsidRPr="007C778E">
        <w:t>Facilitated Transfer Meeting</w:t>
      </w:r>
      <w:r w:rsidR="00FA4C85" w:rsidRPr="007C778E">
        <w:t>,</w:t>
      </w:r>
      <w:r w:rsidR="00B211BF" w:rsidRPr="007C778E">
        <w:t xml:space="preserve"> it can be assumed that TWES makes a limited </w:t>
      </w:r>
      <w:r w:rsidR="00E579F8" w:rsidRPr="007C778E">
        <w:t>contribution to the above outcomes</w:t>
      </w:r>
      <w:r w:rsidR="00D22648" w:rsidRPr="007C778E">
        <w:t xml:space="preserve">. </w:t>
      </w:r>
      <w:r w:rsidR="00AF76F7" w:rsidRPr="007C778E">
        <w:t xml:space="preserve">The reasons why most Facilitated Transfer Meetings do not occur are largely outside of TWES </w:t>
      </w:r>
      <w:r w:rsidR="00D61836" w:rsidRPr="007C778E">
        <w:t xml:space="preserve">providers’ </w:t>
      </w:r>
      <w:r w:rsidR="00AF76F7" w:rsidRPr="007C778E">
        <w:t xml:space="preserve">control under the current model of TWES </w:t>
      </w:r>
      <w:r w:rsidR="000317D5" w:rsidRPr="007C778E">
        <w:t xml:space="preserve">(see page </w:t>
      </w:r>
      <w:r w:rsidR="00117453" w:rsidRPr="007C778E">
        <w:fldChar w:fldCharType="begin"/>
      </w:r>
      <w:r w:rsidR="00117453" w:rsidRPr="007C778E">
        <w:instrText xml:space="preserve"> PAGEREF _Ref72791186 \h </w:instrText>
      </w:r>
      <w:r w:rsidR="00117453" w:rsidRPr="007C778E">
        <w:fldChar w:fldCharType="separate"/>
      </w:r>
      <w:r w:rsidR="00B624F4" w:rsidRPr="007C778E">
        <w:t>42</w:t>
      </w:r>
      <w:r w:rsidR="00117453" w:rsidRPr="007C778E">
        <w:fldChar w:fldCharType="end"/>
      </w:r>
      <w:r w:rsidR="000317D5" w:rsidRPr="007C778E">
        <w:t>)</w:t>
      </w:r>
      <w:r w:rsidR="00117453" w:rsidRPr="007C778E">
        <w:t>.</w:t>
      </w:r>
      <w:r w:rsidR="000317D5" w:rsidRPr="007C778E">
        <w:t xml:space="preserve"> </w:t>
      </w:r>
    </w:p>
    <w:p w14:paraId="704FE769" w14:textId="7ADA8078" w:rsidR="00DC140C" w:rsidRDefault="00DC140C" w:rsidP="00305B4B">
      <w:pPr>
        <w:pStyle w:val="Heading3"/>
        <w:ind w:right="3"/>
      </w:pPr>
      <w:bookmarkStart w:id="115" w:name="_Ref72793588"/>
      <w:r>
        <w:t>What</w:t>
      </w:r>
      <w:r w:rsidRPr="00FF3D15">
        <w:t xml:space="preserve"> evidence</w:t>
      </w:r>
      <w:r w:rsidRPr="00FF3D15">
        <w:rPr>
          <w:spacing w:val="-2"/>
        </w:rPr>
        <w:t xml:space="preserve"> </w:t>
      </w:r>
      <w:r>
        <w:t>is</w:t>
      </w:r>
      <w:r w:rsidRPr="00FF3D15">
        <w:rPr>
          <w:spacing w:val="-2"/>
        </w:rPr>
        <w:t xml:space="preserve"> </w:t>
      </w:r>
      <w:r w:rsidRPr="00FF3D15">
        <w:t>there</w:t>
      </w:r>
      <w:r w:rsidRPr="00FF3D15">
        <w:rPr>
          <w:spacing w:val="-2"/>
        </w:rPr>
        <w:t xml:space="preserve"> </w:t>
      </w:r>
      <w:r w:rsidRPr="00FF3D15">
        <w:t xml:space="preserve">that </w:t>
      </w:r>
      <w:r w:rsidRPr="007C778E">
        <w:t>TWES</w:t>
      </w:r>
      <w:r>
        <w:t xml:space="preserve"> </w:t>
      </w:r>
      <w:r w:rsidRPr="00FF3D15">
        <w:t>contributes</w:t>
      </w:r>
      <w:r w:rsidRPr="00FF3D15">
        <w:rPr>
          <w:spacing w:val="-5"/>
        </w:rPr>
        <w:t xml:space="preserve"> </w:t>
      </w:r>
      <w:r>
        <w:t>to</w:t>
      </w:r>
      <w:r w:rsidRPr="00FF3D15">
        <w:rPr>
          <w:spacing w:val="-2"/>
        </w:rPr>
        <w:t xml:space="preserve"> </w:t>
      </w:r>
      <w:r w:rsidRPr="00FF3D15">
        <w:t>longer-term</w:t>
      </w:r>
      <w:r w:rsidRPr="00FF3D15">
        <w:rPr>
          <w:spacing w:val="1"/>
        </w:rPr>
        <w:t xml:space="preserve"> </w:t>
      </w:r>
      <w:r w:rsidRPr="00FF3D15">
        <w:t>outcomes</w:t>
      </w:r>
      <w:r>
        <w:t xml:space="preserve"> for </w:t>
      </w:r>
      <w:r w:rsidRPr="00FF3D15">
        <w:t>participants, including</w:t>
      </w:r>
      <w:r w:rsidRPr="00FF3D15">
        <w:rPr>
          <w:spacing w:val="-5"/>
        </w:rPr>
        <w:t xml:space="preserve"> </w:t>
      </w:r>
      <w:r w:rsidRPr="00FF3D15">
        <w:t>improved</w:t>
      </w:r>
      <w:r w:rsidRPr="00FF3D15">
        <w:rPr>
          <w:spacing w:val="-2"/>
        </w:rPr>
        <w:t xml:space="preserve"> </w:t>
      </w:r>
      <w:r w:rsidRPr="00FF3D15">
        <w:t>employment outcomes</w:t>
      </w:r>
      <w:r w:rsidRPr="00FF3D15">
        <w:rPr>
          <w:spacing w:val="-2"/>
        </w:rPr>
        <w:t xml:space="preserve"> </w:t>
      </w:r>
      <w:r>
        <w:t xml:space="preserve">and </w:t>
      </w:r>
      <w:r w:rsidRPr="00FF3D15">
        <w:t>reduced</w:t>
      </w:r>
      <w:r w:rsidRPr="00FF3D15">
        <w:rPr>
          <w:spacing w:val="-3"/>
        </w:rPr>
        <w:t xml:space="preserve"> </w:t>
      </w:r>
      <w:r>
        <w:t>rates</w:t>
      </w:r>
      <w:r w:rsidRPr="00FF3D15">
        <w:rPr>
          <w:spacing w:val="-2"/>
        </w:rPr>
        <w:t xml:space="preserve"> </w:t>
      </w:r>
      <w:r>
        <w:t xml:space="preserve">of </w:t>
      </w:r>
      <w:r w:rsidRPr="00FF3D15">
        <w:t>recidivism?</w:t>
      </w:r>
      <w:bookmarkEnd w:id="115"/>
    </w:p>
    <w:p w14:paraId="59888B9D" w14:textId="52DB6964" w:rsidR="00042F26" w:rsidRPr="007C778E" w:rsidRDefault="00DC140C" w:rsidP="00305B4B">
      <w:pPr>
        <w:pStyle w:val="BodyText"/>
        <w:ind w:right="3"/>
      </w:pPr>
      <w:r w:rsidRPr="007C778E">
        <w:t>‘Increased achievement of employment outcomes’ is a priority outcome in the TWES program logic</w:t>
      </w:r>
      <w:r w:rsidR="00B73687" w:rsidRPr="007C778E">
        <w:t xml:space="preserve"> </w:t>
      </w:r>
      <w:r w:rsidR="003E17F8" w:rsidRPr="007C778E">
        <w:t>(see</w:t>
      </w:r>
      <w:r w:rsidR="00AB6EA7" w:rsidRPr="007C778E">
        <w:t xml:space="preserve"> </w:t>
      </w:r>
      <w:r w:rsidR="00AB6EA7" w:rsidRPr="007C778E">
        <w:rPr>
          <w:b/>
          <w:bCs/>
        </w:rPr>
        <w:t xml:space="preserve">Section </w:t>
      </w:r>
      <w:r w:rsidR="00AB6EA7" w:rsidRPr="007C778E">
        <w:rPr>
          <w:b/>
          <w:bCs/>
        </w:rPr>
        <w:fldChar w:fldCharType="begin"/>
      </w:r>
      <w:r w:rsidR="00AB6EA7" w:rsidRPr="007C778E">
        <w:rPr>
          <w:b/>
          <w:bCs/>
        </w:rPr>
        <w:instrText xml:space="preserve"> REF _Ref75010590 \r \h  \* MERGEFORMAT </w:instrText>
      </w:r>
      <w:r w:rsidR="00AB6EA7" w:rsidRPr="007C778E">
        <w:rPr>
          <w:b/>
          <w:bCs/>
        </w:rPr>
      </w:r>
      <w:r w:rsidR="00AB6EA7" w:rsidRPr="007C778E">
        <w:rPr>
          <w:b/>
          <w:bCs/>
        </w:rPr>
        <w:fldChar w:fldCharType="separate"/>
      </w:r>
      <w:r w:rsidR="00B624F4" w:rsidRPr="007C778E">
        <w:rPr>
          <w:b/>
          <w:bCs/>
        </w:rPr>
        <w:t>3</w:t>
      </w:r>
      <w:r w:rsidR="00AB6EA7" w:rsidRPr="007C778E">
        <w:rPr>
          <w:b/>
          <w:bCs/>
        </w:rPr>
        <w:fldChar w:fldCharType="end"/>
      </w:r>
      <w:r w:rsidR="003E17F8" w:rsidRPr="007C778E">
        <w:t>)</w:t>
      </w:r>
      <w:r w:rsidRPr="007C778E">
        <w:t xml:space="preserve">. The </w:t>
      </w:r>
      <w:r w:rsidR="003E17F8" w:rsidRPr="007C778E">
        <w:t xml:space="preserve">program logic </w:t>
      </w:r>
      <w:r w:rsidRPr="007C778E">
        <w:t xml:space="preserve">notes that while TWES does not </w:t>
      </w:r>
      <w:r w:rsidR="005F0DE0" w:rsidRPr="007C778E">
        <w:t xml:space="preserve">directly </w:t>
      </w:r>
      <w:r w:rsidRPr="007C778E">
        <w:t xml:space="preserve">aim </w:t>
      </w:r>
      <w:r w:rsidR="005F0DE0" w:rsidRPr="007C778E">
        <w:t xml:space="preserve">to </w:t>
      </w:r>
      <w:r w:rsidRPr="007C778E">
        <w:t xml:space="preserve">secure employment for prisoners, it does </w:t>
      </w:r>
      <w:r w:rsidR="005F0DE0" w:rsidRPr="007C778E">
        <w:t xml:space="preserve">indirectly </w:t>
      </w:r>
      <w:r w:rsidRPr="007C778E">
        <w:t xml:space="preserve">contribute to this outcome by supporting and improving engagement with employment services after their release. </w:t>
      </w:r>
    </w:p>
    <w:p w14:paraId="3A6F990C" w14:textId="2D06D31C" w:rsidR="00DC140C" w:rsidRPr="007C778E" w:rsidRDefault="00B4012E" w:rsidP="00305B4B">
      <w:pPr>
        <w:pStyle w:val="BodyText"/>
        <w:ind w:right="3"/>
      </w:pPr>
      <w:r w:rsidRPr="007C778E">
        <w:t>Analysis of</w:t>
      </w:r>
      <w:r w:rsidR="00AB6464" w:rsidRPr="007C778E">
        <w:t xml:space="preserve"> data </w:t>
      </w:r>
      <w:r w:rsidR="006E67EC" w:rsidRPr="007C778E">
        <w:t xml:space="preserve">from ESS </w:t>
      </w:r>
      <w:r w:rsidRPr="007C778E">
        <w:t xml:space="preserve">on employment outcomes </w:t>
      </w:r>
      <w:r w:rsidR="00903CBE" w:rsidRPr="007C778E">
        <w:t xml:space="preserve">for a sample of TWES participants </w:t>
      </w:r>
      <w:r w:rsidRPr="007C778E">
        <w:t xml:space="preserve">found that </w:t>
      </w:r>
      <w:r w:rsidR="00E872C0" w:rsidRPr="007C778E">
        <w:t xml:space="preserve">7.8% </w:t>
      </w:r>
      <w:r w:rsidR="00C8222C" w:rsidRPr="007C778E">
        <w:t>achieved an employment outcome</w:t>
      </w:r>
      <w:r w:rsidR="00B836F8" w:rsidRPr="007C778E">
        <w:t>.</w:t>
      </w:r>
      <w:r w:rsidR="00470363" w:rsidRPr="00F014F2">
        <w:rPr>
          <w:rStyle w:val="FootnoteReference"/>
          <w:rFonts w:ascii="Arial" w:hAnsi="Arial" w:cs="Arial"/>
        </w:rPr>
        <w:footnoteReference w:id="27"/>
      </w:r>
      <w:r w:rsidR="00C8222C" w:rsidRPr="00F014F2">
        <w:rPr>
          <w:vertAlign w:val="superscript"/>
        </w:rPr>
        <w:t xml:space="preserve"> </w:t>
      </w:r>
      <w:r w:rsidR="00DC140C" w:rsidRPr="007C778E">
        <w:t xml:space="preserve">The evaluation attempted </w:t>
      </w:r>
      <w:r w:rsidR="00294BE5" w:rsidRPr="007C778E">
        <w:t>a</w:t>
      </w:r>
      <w:r w:rsidR="0043595D" w:rsidRPr="007C778E">
        <w:t xml:space="preserve"> logistic regression to </w:t>
      </w:r>
      <w:r w:rsidR="00E36028" w:rsidRPr="007C778E">
        <w:t>compare</w:t>
      </w:r>
      <w:r w:rsidR="00042F26" w:rsidRPr="007C778E">
        <w:t xml:space="preserve"> </w:t>
      </w:r>
      <w:r w:rsidR="0043595D" w:rsidRPr="007C778E">
        <w:t>employment outcome</w:t>
      </w:r>
      <w:r w:rsidR="00042F26" w:rsidRPr="007C778E">
        <w:t xml:space="preserve">s achieved for TWES participants with </w:t>
      </w:r>
      <w:r w:rsidR="00DC140C" w:rsidRPr="007C778E">
        <w:t xml:space="preserve">non-participants using </w:t>
      </w:r>
      <w:r w:rsidR="006E67EC" w:rsidRPr="007C778E">
        <w:t xml:space="preserve">the </w:t>
      </w:r>
      <w:r w:rsidR="00042F26" w:rsidRPr="007C778E">
        <w:t xml:space="preserve">ESS </w:t>
      </w:r>
      <w:r w:rsidR="006E67EC" w:rsidRPr="007C778E">
        <w:t xml:space="preserve">administrative </w:t>
      </w:r>
      <w:r w:rsidR="00042F26" w:rsidRPr="007C778E">
        <w:t>data</w:t>
      </w:r>
      <w:r w:rsidR="006E67EC" w:rsidRPr="007C778E">
        <w:t>base</w:t>
      </w:r>
      <w:r w:rsidR="00DC140C" w:rsidRPr="007C778E">
        <w:t xml:space="preserve">. However, the results of this analysis were inconclusive, as the administrative data on ESS was insufficient to create a valid comparison group. </w:t>
      </w:r>
      <w:r w:rsidR="00294BE5" w:rsidRPr="007C778E">
        <w:t>A valid comparison group would require data on independent variables such as participants and non-participants’ sentencing history, release dates and other factors</w:t>
      </w:r>
      <w:r w:rsidR="00D3441B" w:rsidRPr="007C778E">
        <w:t xml:space="preserve">. This data is held by </w:t>
      </w:r>
      <w:r w:rsidR="00B63B84" w:rsidRPr="007C778E">
        <w:t>state</w:t>
      </w:r>
      <w:r w:rsidR="00D3441B" w:rsidRPr="007C778E">
        <w:t>/</w:t>
      </w:r>
      <w:r w:rsidR="00B63B84" w:rsidRPr="007C778E">
        <w:t xml:space="preserve">territory </w:t>
      </w:r>
      <w:r w:rsidR="00D3441B" w:rsidRPr="007C778E">
        <w:t>departments of justice or corrections</w:t>
      </w:r>
      <w:r w:rsidR="007A0690" w:rsidRPr="007C778E">
        <w:t xml:space="preserve"> and is </w:t>
      </w:r>
      <w:r w:rsidR="00D3441B" w:rsidRPr="007C778E">
        <w:t>not available on ESS.</w:t>
      </w:r>
    </w:p>
    <w:p w14:paraId="05CC8038" w14:textId="02F9FA2E" w:rsidR="007A0690" w:rsidRPr="007C778E" w:rsidRDefault="00886EF4" w:rsidP="00305B4B">
      <w:pPr>
        <w:pStyle w:val="BodyText"/>
        <w:ind w:right="3"/>
      </w:pPr>
      <w:r w:rsidRPr="007C778E">
        <w:t xml:space="preserve">While a comparative analysis was not possible, the low employment outcomes achieved indicate why a service like </w:t>
      </w:r>
      <w:r w:rsidR="00A8058F" w:rsidRPr="007C778E">
        <w:t>T</w:t>
      </w:r>
      <w:r w:rsidRPr="007C778E">
        <w:t>WES is needed</w:t>
      </w:r>
      <w:r w:rsidR="00A8058F" w:rsidRPr="007C778E">
        <w:t xml:space="preserve">, and the challenges that Aboriginal and Torres Strait Islander ex-offenders face in finding work. </w:t>
      </w:r>
    </w:p>
    <w:p w14:paraId="0B671954" w14:textId="77C15229" w:rsidR="00C52D63" w:rsidRPr="007C778E" w:rsidRDefault="00382D29" w:rsidP="00305B4B">
      <w:pPr>
        <w:pStyle w:val="BodyText"/>
        <w:ind w:right="3"/>
      </w:pPr>
      <w:r w:rsidRPr="007C778E">
        <w:t xml:space="preserve">It was not possible to measure the </w:t>
      </w:r>
      <w:r w:rsidR="005F0DE0" w:rsidRPr="007C778E">
        <w:t xml:space="preserve">direct </w:t>
      </w:r>
      <w:r w:rsidRPr="007C778E">
        <w:t>impact of TWES on recidivism</w:t>
      </w:r>
      <w:r w:rsidR="00953874" w:rsidRPr="007C778E">
        <w:t xml:space="preserve"> rates</w:t>
      </w:r>
      <w:r w:rsidR="00CD09C0" w:rsidRPr="007C778E">
        <w:t xml:space="preserve">. </w:t>
      </w:r>
      <w:r w:rsidR="00AA0F5B" w:rsidRPr="007C778E">
        <w:t>Reduced recidivism is a long-term outcome that is influenced by a multitude of factors</w:t>
      </w:r>
      <w:r w:rsidR="009D4E5D" w:rsidRPr="007C778E">
        <w:t>, as identified in the TWES program logic (see</w:t>
      </w:r>
      <w:r w:rsidR="00AB6EA7" w:rsidRPr="007C778E">
        <w:t xml:space="preserve"> </w:t>
      </w:r>
      <w:r w:rsidR="00AB6EA7" w:rsidRPr="007C778E">
        <w:rPr>
          <w:b/>
          <w:bCs/>
        </w:rPr>
        <w:t xml:space="preserve">Section </w:t>
      </w:r>
      <w:r w:rsidR="00AB6EA7" w:rsidRPr="007C778E">
        <w:rPr>
          <w:b/>
          <w:bCs/>
        </w:rPr>
        <w:fldChar w:fldCharType="begin"/>
      </w:r>
      <w:r w:rsidR="00AB6EA7" w:rsidRPr="007C778E">
        <w:rPr>
          <w:b/>
          <w:bCs/>
        </w:rPr>
        <w:instrText xml:space="preserve"> REF _Ref75010590 \r \h  \* MERGEFORMAT </w:instrText>
      </w:r>
      <w:r w:rsidR="00AB6EA7" w:rsidRPr="007C778E">
        <w:rPr>
          <w:b/>
          <w:bCs/>
        </w:rPr>
      </w:r>
      <w:r w:rsidR="00AB6EA7" w:rsidRPr="007C778E">
        <w:rPr>
          <w:b/>
          <w:bCs/>
        </w:rPr>
        <w:fldChar w:fldCharType="separate"/>
      </w:r>
      <w:r w:rsidR="00B624F4" w:rsidRPr="007C778E">
        <w:rPr>
          <w:b/>
          <w:bCs/>
        </w:rPr>
        <w:t>3</w:t>
      </w:r>
      <w:r w:rsidR="00AB6EA7" w:rsidRPr="007C778E">
        <w:rPr>
          <w:b/>
          <w:bCs/>
        </w:rPr>
        <w:fldChar w:fldCharType="end"/>
      </w:r>
      <w:r w:rsidR="009D4E5D" w:rsidRPr="007C778E">
        <w:t>)</w:t>
      </w:r>
      <w:r w:rsidR="00953874" w:rsidRPr="007C778E">
        <w:t>.</w:t>
      </w:r>
      <w:r w:rsidR="004B237D" w:rsidRPr="007C778E">
        <w:t xml:space="preserve"> </w:t>
      </w:r>
      <w:r w:rsidR="00357B71" w:rsidRPr="007C778E">
        <w:t>Overall, the</w:t>
      </w:r>
      <w:r w:rsidR="00EE0475" w:rsidRPr="007C778E">
        <w:t xml:space="preserve"> literature </w:t>
      </w:r>
      <w:r w:rsidR="00C05DB3" w:rsidRPr="007C778E">
        <w:t xml:space="preserve">review </w:t>
      </w:r>
      <w:r w:rsidR="00B16A07" w:rsidRPr="007C778E">
        <w:t>conduct</w:t>
      </w:r>
      <w:r w:rsidR="00C947F4" w:rsidRPr="007C778E">
        <w:t>ed</w:t>
      </w:r>
      <w:r w:rsidR="00B16A07" w:rsidRPr="007C778E">
        <w:t xml:space="preserve"> for the </w:t>
      </w:r>
      <w:r w:rsidR="00C05DB3" w:rsidRPr="007C778E">
        <w:t xml:space="preserve">TWES </w:t>
      </w:r>
      <w:r w:rsidR="00B16A07" w:rsidRPr="007C778E">
        <w:t xml:space="preserve">evaluation found evidence of clear links between </w:t>
      </w:r>
      <w:r w:rsidR="00B547D3" w:rsidRPr="007C778E">
        <w:t>employment</w:t>
      </w:r>
      <w:r w:rsidR="003E1D21" w:rsidRPr="007C778E">
        <w:t xml:space="preserve"> and reducing offending</w:t>
      </w:r>
      <w:r w:rsidR="00AE60D9" w:rsidRPr="007C778E">
        <w:t xml:space="preserve"> and reoffending</w:t>
      </w:r>
      <w:r w:rsidR="0004364C" w:rsidRPr="007C778E">
        <w:t>.</w:t>
      </w:r>
      <w:r w:rsidR="0004364C" w:rsidRPr="007C778E">
        <w:rPr>
          <w:rStyle w:val="FootnoteReference"/>
          <w:rFonts w:ascii="Arial" w:hAnsi="Arial" w:cs="Arial"/>
        </w:rPr>
        <w:footnoteReference w:id="28"/>
      </w:r>
      <w:r w:rsidR="0004364C" w:rsidRPr="007C778E">
        <w:t xml:space="preserve"> </w:t>
      </w:r>
      <w:r w:rsidR="000A220E" w:rsidRPr="007C778E">
        <w:t xml:space="preserve">However, </w:t>
      </w:r>
      <w:r w:rsidR="00AE60D9" w:rsidRPr="007C778E">
        <w:t xml:space="preserve">the literature review </w:t>
      </w:r>
      <w:r w:rsidR="000A220E" w:rsidRPr="007C778E">
        <w:t xml:space="preserve">also </w:t>
      </w:r>
      <w:r w:rsidR="00C43309" w:rsidRPr="007C778E">
        <w:t xml:space="preserve">found that existing </w:t>
      </w:r>
      <w:r w:rsidR="00C43309" w:rsidRPr="007C778E">
        <w:lastRenderedPageBreak/>
        <w:t xml:space="preserve">evaluations of </w:t>
      </w:r>
      <w:r w:rsidR="003A6C5A" w:rsidRPr="007C778E">
        <w:t xml:space="preserve">specific </w:t>
      </w:r>
      <w:r w:rsidR="00C43309" w:rsidRPr="007C778E">
        <w:t xml:space="preserve">employment-focused programs </w:t>
      </w:r>
      <w:r w:rsidR="0019677D" w:rsidRPr="007C778E">
        <w:t xml:space="preserve">are inconclusive about their </w:t>
      </w:r>
      <w:r w:rsidR="00CC69F6" w:rsidRPr="007C778E">
        <w:t xml:space="preserve">effectiveness in reducing </w:t>
      </w:r>
      <w:r w:rsidR="0019677D" w:rsidRPr="007C778E">
        <w:t>recidivism.</w:t>
      </w:r>
      <w:r w:rsidR="00CC69F6" w:rsidRPr="007C778E">
        <w:rPr>
          <w:rStyle w:val="FootnoteReference"/>
          <w:rFonts w:ascii="Arial" w:hAnsi="Arial" w:cs="Arial"/>
        </w:rPr>
        <w:footnoteReference w:id="29"/>
      </w:r>
      <w:r w:rsidR="0019677D" w:rsidRPr="007C778E">
        <w:rPr>
          <w:vertAlign w:val="superscript"/>
        </w:rPr>
        <w:t xml:space="preserve"> </w:t>
      </w:r>
    </w:p>
    <w:p w14:paraId="3AB37314" w14:textId="77777777" w:rsidR="007C778E" w:rsidRDefault="004767F0" w:rsidP="00305B4B">
      <w:pPr>
        <w:pStyle w:val="BodyText"/>
        <w:ind w:right="3"/>
      </w:pPr>
      <w:r w:rsidRPr="007C778E">
        <w:t xml:space="preserve">The evidence base on </w:t>
      </w:r>
      <w:r w:rsidR="00C52D63" w:rsidRPr="007C778E">
        <w:t xml:space="preserve">the effectiveness of </w:t>
      </w:r>
      <w:r w:rsidRPr="007C778E">
        <w:t>programs like TWES is still growing</w:t>
      </w:r>
      <w:r w:rsidR="00C52D63" w:rsidRPr="007C778E">
        <w:t xml:space="preserve">. There </w:t>
      </w:r>
      <w:r w:rsidR="00E635BB" w:rsidRPr="007C778E">
        <w:t xml:space="preserve">are few Indigenous-specific programs </w:t>
      </w:r>
      <w:r w:rsidR="00C52D63" w:rsidRPr="007C778E">
        <w:t xml:space="preserve">that aim </w:t>
      </w:r>
      <w:r w:rsidR="00E635BB" w:rsidRPr="007C778E">
        <w:t>to improve ex-offender employability</w:t>
      </w:r>
      <w:r w:rsidR="00C52D63" w:rsidRPr="007C778E">
        <w:t>,</w:t>
      </w:r>
      <w:r w:rsidR="00E635BB" w:rsidRPr="007C778E">
        <w:t xml:space="preserve"> and </w:t>
      </w:r>
      <w:r w:rsidR="00186B7F" w:rsidRPr="007C778E">
        <w:t>few</w:t>
      </w:r>
      <w:r w:rsidR="00E635BB" w:rsidRPr="007C778E">
        <w:t xml:space="preserve"> evaluations </w:t>
      </w:r>
      <w:r w:rsidR="00186B7F" w:rsidRPr="007C778E">
        <w:t xml:space="preserve">of </w:t>
      </w:r>
      <w:r w:rsidR="00A84E8A" w:rsidRPr="007C778E">
        <w:t xml:space="preserve">their </w:t>
      </w:r>
      <w:r w:rsidR="00BD7AED" w:rsidRPr="007C778E">
        <w:t xml:space="preserve">effectiveness in </w:t>
      </w:r>
      <w:r w:rsidR="00C52D63" w:rsidRPr="007C778E">
        <w:t>improv</w:t>
      </w:r>
      <w:r w:rsidR="00BD7AED" w:rsidRPr="007C778E">
        <w:t>ing</w:t>
      </w:r>
      <w:r w:rsidR="00C52D63" w:rsidRPr="007C778E">
        <w:t xml:space="preserve"> employment and</w:t>
      </w:r>
      <w:r w:rsidR="00E635BB" w:rsidRPr="007C778E">
        <w:t xml:space="preserve"> </w:t>
      </w:r>
      <w:r w:rsidR="00C52D63" w:rsidRPr="007C778E">
        <w:t>reduc</w:t>
      </w:r>
      <w:r w:rsidR="00BD7AED" w:rsidRPr="007C778E">
        <w:t>ing</w:t>
      </w:r>
      <w:r w:rsidR="00C52D63" w:rsidRPr="007C778E">
        <w:t xml:space="preserve"> </w:t>
      </w:r>
      <w:r w:rsidR="00E635BB" w:rsidRPr="007C778E">
        <w:t xml:space="preserve">recidivism. </w:t>
      </w:r>
      <w:r w:rsidR="00C54383" w:rsidRPr="007C778E">
        <w:t xml:space="preserve">Improving data quality and enabling the evaluation of long-term outcomes will require </w:t>
      </w:r>
      <w:r w:rsidR="00D33070" w:rsidRPr="007C778E">
        <w:t xml:space="preserve">continued investment in data linking across Commonwealth and </w:t>
      </w:r>
      <w:r w:rsidR="00B63B84" w:rsidRPr="007C778E">
        <w:t>state</w:t>
      </w:r>
      <w:r w:rsidR="00D33070" w:rsidRPr="007C778E">
        <w:t>/</w:t>
      </w:r>
      <w:r w:rsidR="00B63B84" w:rsidRPr="007C778E">
        <w:t xml:space="preserve">territory </w:t>
      </w:r>
      <w:r w:rsidR="00AF7A81" w:rsidRPr="007C778E">
        <w:t>governments</w:t>
      </w:r>
      <w:r w:rsidR="00D33070" w:rsidRPr="007C778E">
        <w:t xml:space="preserve"> to </w:t>
      </w:r>
      <w:r w:rsidR="004B237D" w:rsidRPr="007C778E">
        <w:t>track participants’ journey through employment and prison systems over time.</w:t>
      </w:r>
      <w:r w:rsidR="005A13D9" w:rsidRPr="007C778E">
        <w:t xml:space="preserve"> (See Key Finding #10 on page </w:t>
      </w:r>
      <w:r w:rsidR="005A13D9" w:rsidRPr="007C778E">
        <w:fldChar w:fldCharType="begin"/>
      </w:r>
      <w:r w:rsidR="005A13D9" w:rsidRPr="007C778E">
        <w:instrText xml:space="preserve"> PAGEREF _Ref72846022 \h </w:instrText>
      </w:r>
      <w:r w:rsidR="005A13D9" w:rsidRPr="007C778E">
        <w:fldChar w:fldCharType="separate"/>
      </w:r>
      <w:r w:rsidR="00B624F4" w:rsidRPr="007C778E">
        <w:t>55</w:t>
      </w:r>
      <w:r w:rsidR="005A13D9" w:rsidRPr="007C778E">
        <w:fldChar w:fldCharType="end"/>
      </w:r>
      <w:r w:rsidR="005A13D9" w:rsidRPr="007C778E">
        <w:t>.)</w:t>
      </w:r>
      <w:r w:rsidR="00133044">
        <w:t xml:space="preserve"> </w:t>
      </w:r>
    </w:p>
    <w:p w14:paraId="7FC4B9DC" w14:textId="4D8D2439" w:rsidR="008E6BF0" w:rsidRPr="007C778E" w:rsidRDefault="00BD3AA8" w:rsidP="00305B4B">
      <w:pPr>
        <w:pStyle w:val="Heading3"/>
        <w:ind w:right="3"/>
      </w:pPr>
      <w:r w:rsidRPr="007C778E">
        <w:t>Do the underlying assumptions in the program logic hold?</w:t>
      </w:r>
    </w:p>
    <w:p w14:paraId="3379F93E" w14:textId="4EB3FB2C" w:rsidR="00F05CAD" w:rsidRDefault="00F05CAD" w:rsidP="00305B4B">
      <w:pPr>
        <w:pStyle w:val="BodyText"/>
        <w:ind w:right="3"/>
      </w:pPr>
      <w:r>
        <w:rPr>
          <w:noProof/>
        </w:rPr>
        <mc:AlternateContent>
          <mc:Choice Requires="wps">
            <w:drawing>
              <wp:inline distT="0" distB="0" distL="0" distR="0" wp14:anchorId="69B7A218" wp14:editId="5098E16E">
                <wp:extent cx="6303010" cy="1434353"/>
                <wp:effectExtent l="0" t="0" r="0" b="1270"/>
                <wp:docPr id="1623174865" name="Text Box 1623174865"/>
                <wp:cNvGraphicFramePr/>
                <a:graphic xmlns:a="http://schemas.openxmlformats.org/drawingml/2006/main">
                  <a:graphicData uri="http://schemas.microsoft.com/office/word/2010/wordprocessingShape">
                    <wps:wsp>
                      <wps:cNvSpPr txBox="1"/>
                      <wps:spPr>
                        <a:xfrm>
                          <a:off x="0" y="0"/>
                          <a:ext cx="6303010" cy="1434353"/>
                        </a:xfrm>
                        <a:prstGeom prst="rect">
                          <a:avLst/>
                        </a:prstGeom>
                        <a:solidFill>
                          <a:schemeClr val="accent4">
                            <a:lumMod val="20000"/>
                            <a:lumOff val="80000"/>
                          </a:schemeClr>
                        </a:solidFill>
                        <a:ln w="6350">
                          <a:noFill/>
                        </a:ln>
                      </wps:spPr>
                      <wps:txbx>
                        <w:txbxContent>
                          <w:p w14:paraId="54F38633" w14:textId="77777777" w:rsidR="00F05CAD" w:rsidRPr="007C778E" w:rsidRDefault="00F05CAD" w:rsidP="00F05CAD">
                            <w:pPr>
                              <w:pStyle w:val="BodyText"/>
                              <w:ind w:right="3"/>
                            </w:pPr>
                            <w:r w:rsidRPr="007C778E">
                              <w:rPr>
                                <w:b/>
                                <w:bCs/>
                              </w:rPr>
                              <w:t>Key Finding #8:</w:t>
                            </w:r>
                            <w:r w:rsidRPr="007C778E">
                              <w:t xml:space="preserve"> Some of the key assumptions underlying the TWES program logic do not hold in practice, which limits the potential for TWES to improve how employment service providers engage with ex-offenders. </w:t>
                            </w:r>
                          </w:p>
                          <w:p w14:paraId="1D7030DD" w14:textId="77777777" w:rsidR="00F05CAD" w:rsidRPr="007C778E" w:rsidRDefault="00F05CAD" w:rsidP="00F05CAD">
                            <w:pPr>
                              <w:pStyle w:val="BodyText"/>
                              <w:ind w:right="3"/>
                            </w:pPr>
                            <w:r w:rsidRPr="007C778E">
                              <w:t>Options for consideration:</w:t>
                            </w:r>
                          </w:p>
                          <w:p w14:paraId="45E43D5C" w14:textId="740F5C0F" w:rsidR="00F05CAD" w:rsidRPr="00E06C4B" w:rsidRDefault="00F05CAD" w:rsidP="00E06C4B">
                            <w:pPr>
                              <w:pStyle w:val="Bulletedlist"/>
                            </w:pPr>
                            <w:r w:rsidRPr="00E06C4B">
                              <w:t>See the options for consideration under Objectives 1 and 2 regarding how to improve the program and address these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B7A218" id="Text Box 1623174865" o:spid="_x0000_s1055" type="#_x0000_t202" style="width:496.3pt;height:1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" fillcolor="#f1ede4 [663]" stroked="f" strokeweight=".5pt">
                <v:textbox>
                  <w:txbxContent>
                    <w:p w14:paraId="54F38633" w14:textId="77777777" w:rsidR="00F05CAD" w:rsidRPr="007C778E" w:rsidRDefault="00F05CAD" w:rsidP="00F05CAD">
                      <w:pPr>
                        <w:pStyle w:val="BodyText"/>
                        <w:ind w:right="3"/>
                      </w:pPr>
                      <w:r w:rsidRPr="007C778E">
                        <w:rPr>
                          <w:b/>
                          <w:bCs/>
                        </w:rPr>
                        <w:t>Key Finding #8:</w:t>
                      </w:r>
                      <w:r w:rsidRPr="007C778E">
                        <w:t xml:space="preserve"> Some of the key assumptions underlying the TWES program logic do not hold in practice, which limits the potential for TWES to improve how employment service providers engage with ex-offenders. </w:t>
                      </w:r>
                    </w:p>
                    <w:p w14:paraId="1D7030DD" w14:textId="77777777" w:rsidR="00F05CAD" w:rsidRPr="007C778E" w:rsidRDefault="00F05CAD" w:rsidP="00F05CAD">
                      <w:pPr>
                        <w:pStyle w:val="BodyText"/>
                        <w:ind w:right="3"/>
                      </w:pPr>
                      <w:r w:rsidRPr="007C778E">
                        <w:t>Options for consideration:</w:t>
                      </w:r>
                    </w:p>
                    <w:p w14:paraId="45E43D5C" w14:textId="740F5C0F" w:rsidR="00F05CAD" w:rsidRPr="00E06C4B" w:rsidRDefault="00F05CAD" w:rsidP="00E06C4B">
                      <w:pPr>
                        <w:pStyle w:val="Bulletedlist"/>
                      </w:pPr>
                      <w:r w:rsidRPr="00E06C4B">
                        <w:t>See the options for consideration under Objectives 1 and 2 regarding how to improve the program and address these issues.</w:t>
                      </w:r>
                    </w:p>
                  </w:txbxContent>
                </v:textbox>
                <w10:anchorlock/>
              </v:shape>
            </w:pict>
          </mc:Fallback>
        </mc:AlternateContent>
      </w:r>
    </w:p>
    <w:p w14:paraId="391B3704" w14:textId="695B96AA" w:rsidR="008E6BF0" w:rsidRPr="007C778E" w:rsidRDefault="00BD3AA8" w:rsidP="00305B4B">
      <w:pPr>
        <w:pStyle w:val="BodyText"/>
        <w:ind w:right="3"/>
      </w:pPr>
      <w:r w:rsidRPr="007C778E">
        <w:t>The TWES program logic (</w:t>
      </w:r>
      <w:r w:rsidRPr="007C778E">
        <w:rPr>
          <w:b/>
          <w:bCs/>
        </w:rPr>
        <w:t>Section</w:t>
      </w:r>
      <w:r w:rsidR="00E9461E" w:rsidRPr="007C778E">
        <w:rPr>
          <w:b/>
          <w:bCs/>
        </w:rPr>
        <w:t xml:space="preserve"> </w:t>
      </w:r>
      <w:r w:rsidR="00E9461E" w:rsidRPr="007C778E">
        <w:rPr>
          <w:b/>
          <w:bCs/>
        </w:rPr>
        <w:fldChar w:fldCharType="begin"/>
      </w:r>
      <w:r w:rsidR="00E9461E" w:rsidRPr="007C778E">
        <w:rPr>
          <w:b/>
          <w:bCs/>
        </w:rPr>
        <w:instrText xml:space="preserve"> REF _Ref75010590 \r \h  \* MERGEFORMAT </w:instrText>
      </w:r>
      <w:r w:rsidR="00E9461E" w:rsidRPr="007C778E">
        <w:rPr>
          <w:b/>
          <w:bCs/>
        </w:rPr>
      </w:r>
      <w:r w:rsidR="00E9461E" w:rsidRPr="007C778E">
        <w:rPr>
          <w:b/>
          <w:bCs/>
        </w:rPr>
        <w:fldChar w:fldCharType="separate"/>
      </w:r>
      <w:r w:rsidR="00B624F4" w:rsidRPr="007C778E">
        <w:rPr>
          <w:b/>
          <w:bCs/>
        </w:rPr>
        <w:t>3</w:t>
      </w:r>
      <w:r w:rsidR="00E9461E" w:rsidRPr="007C778E">
        <w:rPr>
          <w:b/>
          <w:bCs/>
        </w:rPr>
        <w:fldChar w:fldCharType="end"/>
      </w:r>
      <w:r w:rsidRPr="007C778E">
        <w:t xml:space="preserve">) identifies several </w:t>
      </w:r>
      <w:r w:rsidR="00E7329B" w:rsidRPr="007C778E">
        <w:t xml:space="preserve">key </w:t>
      </w:r>
      <w:r w:rsidRPr="007C778E">
        <w:t>assumptions about how the service need</w:t>
      </w:r>
      <w:r w:rsidR="00BF3B52" w:rsidRPr="007C778E">
        <w:t>s</w:t>
      </w:r>
      <w:r w:rsidRPr="007C778E">
        <w:t xml:space="preserve"> to be implemented in order to achieve its intended outcomes. </w:t>
      </w:r>
      <w:r w:rsidR="00E7329B" w:rsidRPr="007C778E">
        <w:t xml:space="preserve">The findings presented above </w:t>
      </w:r>
      <w:r w:rsidR="0068418B" w:rsidRPr="007C778E">
        <w:t xml:space="preserve">highlight where these assumptions do not hold: </w:t>
      </w:r>
    </w:p>
    <w:p w14:paraId="641A654D" w14:textId="7EE7DC8A" w:rsidR="008E6BF0" w:rsidRPr="007C778E" w:rsidRDefault="008E6BF0" w:rsidP="00305B4B">
      <w:pPr>
        <w:pStyle w:val="Bulletedlist"/>
        <w:ind w:right="3"/>
      </w:pPr>
      <w:r w:rsidRPr="007C778E">
        <w:rPr>
          <w:b/>
          <w:bCs/>
        </w:rPr>
        <w:t>Access to prisons.</w:t>
      </w:r>
      <w:r w:rsidRPr="007C778E">
        <w:t xml:space="preserve"> The program logic assumes that TWES </w:t>
      </w:r>
      <w:r w:rsidR="00D61836" w:rsidRPr="007C778E">
        <w:t xml:space="preserve">providers </w:t>
      </w:r>
      <w:r w:rsidRPr="007C778E">
        <w:t xml:space="preserve">can access prisons to deliver TWES to participants. However, </w:t>
      </w:r>
      <w:r w:rsidR="0068418B" w:rsidRPr="007C778E">
        <w:t xml:space="preserve">the evaluation found that </w:t>
      </w:r>
      <w:r w:rsidRPr="007C778E">
        <w:t xml:space="preserve">in practice TWES </w:t>
      </w:r>
      <w:r w:rsidR="00D61836" w:rsidRPr="007C778E">
        <w:t xml:space="preserve">providers </w:t>
      </w:r>
      <w:r w:rsidRPr="007C778E">
        <w:t xml:space="preserve">can face considerable difficulty in accessing prisons to deliver TWES. This includes the process of obtaining the relevant security clearances and </w:t>
      </w:r>
      <w:r w:rsidR="000028B4" w:rsidRPr="007C778E">
        <w:t xml:space="preserve">the </w:t>
      </w:r>
      <w:r w:rsidRPr="007C778E">
        <w:t xml:space="preserve">ability to attend planned appointments which may </w:t>
      </w:r>
      <w:r w:rsidR="00D502E4" w:rsidRPr="007C778E">
        <w:t>be</w:t>
      </w:r>
      <w:r w:rsidRPr="007C778E">
        <w:t xml:space="preserve"> disrupted by prison lockdowns or other unforeseen events</w:t>
      </w:r>
      <w:r w:rsidR="00133044" w:rsidRPr="007C778E">
        <w:t>.</w:t>
      </w:r>
    </w:p>
    <w:p w14:paraId="63AD146F" w14:textId="0BA9AD55" w:rsidR="008E6BF0" w:rsidRPr="007C778E" w:rsidRDefault="008E6BF0" w:rsidP="00305B4B">
      <w:pPr>
        <w:pStyle w:val="Bulletedlist"/>
        <w:ind w:right="3"/>
      </w:pPr>
      <w:r w:rsidRPr="007C778E">
        <w:rPr>
          <w:b/>
          <w:bCs/>
        </w:rPr>
        <w:t xml:space="preserve">Prisoners continue to participate. </w:t>
      </w:r>
      <w:r w:rsidRPr="007C778E">
        <w:t xml:space="preserve">TWES is a voluntary program. The program logic assumes that 50% of eligible prisoners will </w:t>
      </w:r>
      <w:r w:rsidR="005C2095" w:rsidRPr="007C778E">
        <w:t xml:space="preserve">volunteer </w:t>
      </w:r>
      <w:r w:rsidRPr="007C778E">
        <w:t>to participate in TWES</w:t>
      </w:r>
      <w:r w:rsidR="005C2095" w:rsidRPr="007C778E">
        <w:t xml:space="preserve"> (based on the </w:t>
      </w:r>
      <w:r w:rsidR="008D72EE" w:rsidRPr="007C778E">
        <w:t>TWES Request for Tender</w:t>
      </w:r>
      <w:r w:rsidRPr="007C778E">
        <w:t xml:space="preserve"> </w:t>
      </w:r>
      <w:r w:rsidR="008D72EE" w:rsidRPr="007C778E">
        <w:t xml:space="preserve">documentation shared with </w:t>
      </w:r>
      <w:r w:rsidR="00DD6700" w:rsidRPr="007C778E">
        <w:t xml:space="preserve">potential </w:t>
      </w:r>
      <w:r w:rsidR="00D61836" w:rsidRPr="007C778E">
        <w:t>providers</w:t>
      </w:r>
      <w:r w:rsidR="00DD6700" w:rsidRPr="007C778E">
        <w:t xml:space="preserve">), and will continue to participate. However, </w:t>
      </w:r>
      <w:r w:rsidR="008D3B94" w:rsidRPr="007C778E">
        <w:t xml:space="preserve">analysis of data on the number of participants </w:t>
      </w:r>
      <w:r w:rsidR="007847C8" w:rsidRPr="007C778E">
        <w:t>suggest</w:t>
      </w:r>
      <w:r w:rsidR="008D3B94" w:rsidRPr="007C778E">
        <w:t>s</w:t>
      </w:r>
      <w:r w:rsidR="007847C8" w:rsidRPr="007C778E">
        <w:t xml:space="preserve"> that </w:t>
      </w:r>
      <w:r w:rsidR="008D3B94" w:rsidRPr="007C778E">
        <w:t xml:space="preserve">the uptake rate may be closer to </w:t>
      </w:r>
      <w:r w:rsidR="007847C8" w:rsidRPr="007C778E">
        <w:t>20</w:t>
      </w:r>
      <w:r w:rsidR="008D3B94" w:rsidRPr="007C778E">
        <w:t>-25</w:t>
      </w:r>
      <w:r w:rsidR="00952093" w:rsidRPr="007C778E">
        <w:t>%</w:t>
      </w:r>
      <w:r w:rsidR="007847C8" w:rsidRPr="007C778E">
        <w:t xml:space="preserve"> (see </w:t>
      </w:r>
      <w:r w:rsidR="00200FD2" w:rsidRPr="007C778E">
        <w:t xml:space="preserve">page </w:t>
      </w:r>
      <w:r w:rsidR="00200FD2" w:rsidRPr="007C778E">
        <w:fldChar w:fldCharType="begin"/>
      </w:r>
      <w:r w:rsidR="00200FD2" w:rsidRPr="007C778E">
        <w:instrText xml:space="preserve"> PAGEREF _Ref75196808 \h </w:instrText>
      </w:r>
      <w:r w:rsidR="00200FD2" w:rsidRPr="007C778E">
        <w:fldChar w:fldCharType="separate"/>
      </w:r>
      <w:r w:rsidR="00B624F4" w:rsidRPr="007C778E">
        <w:t>31</w:t>
      </w:r>
      <w:r w:rsidR="00200FD2" w:rsidRPr="007C778E">
        <w:fldChar w:fldCharType="end"/>
      </w:r>
      <w:r w:rsidR="0052405F" w:rsidRPr="007C778E">
        <w:t xml:space="preserve">). </w:t>
      </w:r>
      <w:r w:rsidR="00952093" w:rsidRPr="007C778E">
        <w:t xml:space="preserve">Furthermore, analysis of </w:t>
      </w:r>
      <w:r w:rsidR="002632C6" w:rsidRPr="007C778E">
        <w:t xml:space="preserve">reasons why participants </w:t>
      </w:r>
      <w:r w:rsidR="001941E4" w:rsidRPr="007C778E">
        <w:t xml:space="preserve">exit </w:t>
      </w:r>
      <w:r w:rsidR="002632C6" w:rsidRPr="007C778E">
        <w:t xml:space="preserve">TWES indicates that </w:t>
      </w:r>
      <w:r w:rsidR="001941E4" w:rsidRPr="007C778E">
        <w:t xml:space="preserve">almost 20% exit the service while still in prison, and another ~20% exit TWES </w:t>
      </w:r>
      <w:r w:rsidR="0026480E" w:rsidRPr="007C778E">
        <w:t>after leaving prison but before commencing with a post-release employment service provider within 13 weeks of leaving</w:t>
      </w:r>
      <w:r w:rsidR="005D77CB" w:rsidRPr="007C778E">
        <w:t xml:space="preserve"> (see page </w:t>
      </w:r>
      <w:r w:rsidR="005D77CB" w:rsidRPr="007C778E">
        <w:fldChar w:fldCharType="begin"/>
      </w:r>
      <w:r w:rsidR="005D77CB" w:rsidRPr="007C778E">
        <w:instrText xml:space="preserve"> PAGEREF _Ref75197101 \h </w:instrText>
      </w:r>
      <w:r w:rsidR="005D77CB" w:rsidRPr="007C778E">
        <w:fldChar w:fldCharType="separate"/>
      </w:r>
      <w:r w:rsidR="00B624F4" w:rsidRPr="007C778E">
        <w:t>35</w:t>
      </w:r>
      <w:r w:rsidR="005D77CB" w:rsidRPr="007C778E">
        <w:fldChar w:fldCharType="end"/>
      </w:r>
      <w:r w:rsidR="005D77CB" w:rsidRPr="007C778E">
        <w:t>)</w:t>
      </w:r>
      <w:r w:rsidR="0026480E" w:rsidRPr="007C778E">
        <w:t>. Th</w:t>
      </w:r>
      <w:r w:rsidR="005D77CB" w:rsidRPr="007C778E">
        <w:t xml:space="preserve">ese exits reduce the likely impact of TWES on improved engagement with employment services after participants are released. </w:t>
      </w:r>
    </w:p>
    <w:p w14:paraId="5ACCA988" w14:textId="38184EAF" w:rsidR="00A15577" w:rsidRDefault="008E6BF0" w:rsidP="00305B4B">
      <w:pPr>
        <w:pStyle w:val="Bulletedlist"/>
        <w:ind w:right="3"/>
      </w:pPr>
      <w:r w:rsidRPr="007C778E">
        <w:rPr>
          <w:b/>
          <w:bCs/>
        </w:rPr>
        <w:t>P</w:t>
      </w:r>
      <w:r w:rsidR="00E51126" w:rsidRPr="007C778E">
        <w:rPr>
          <w:b/>
          <w:bCs/>
        </w:rPr>
        <w:t>articipant</w:t>
      </w:r>
      <w:r w:rsidRPr="007C778E">
        <w:rPr>
          <w:b/>
          <w:bCs/>
        </w:rPr>
        <w:t xml:space="preserve"> willingness and ability to connect with their post-release provider.</w:t>
      </w:r>
      <w:r w:rsidRPr="007C778E">
        <w:t xml:space="preserve"> After release, it is the decision of TWES participants to reconnect with their employment services provider (who they</w:t>
      </w:r>
      <w:r>
        <w:t xml:space="preserve"> should have been introduced to through TWES, before release). </w:t>
      </w:r>
      <w:r w:rsidR="000741DE">
        <w:t>A</w:t>
      </w:r>
      <w:r w:rsidR="00A15577">
        <w:t xml:space="preserve">nalysis of ESS data found that 44% of </w:t>
      </w:r>
      <w:r w:rsidR="000741DE">
        <w:t xml:space="preserve">TWES participants commence with a post-release employment service provider within 13 weeks of their release from prison (see page </w:t>
      </w:r>
      <w:r w:rsidR="000741DE">
        <w:fldChar w:fldCharType="begin"/>
      </w:r>
      <w:r w:rsidR="000741DE">
        <w:instrText xml:space="preserve"> PAGEREF _Ref75197101 \h </w:instrText>
      </w:r>
      <w:r w:rsidR="000741DE">
        <w:fldChar w:fldCharType="separate"/>
      </w:r>
      <w:r w:rsidR="00B624F4">
        <w:rPr>
          <w:noProof/>
        </w:rPr>
        <w:t>35</w:t>
      </w:r>
      <w:r w:rsidR="000741DE">
        <w:fldChar w:fldCharType="end"/>
      </w:r>
      <w:r w:rsidR="000741DE">
        <w:t xml:space="preserve">). </w:t>
      </w:r>
      <w:r w:rsidR="000741DE" w:rsidRPr="000741DE">
        <w:rPr>
          <w:bCs/>
          <w:spacing w:val="-1"/>
        </w:rPr>
        <w:t xml:space="preserve">While it was not possible to compare TWES with other in-prison </w:t>
      </w:r>
      <w:r w:rsidR="000741DE" w:rsidRPr="000741DE">
        <w:rPr>
          <w:bCs/>
          <w:spacing w:val="-1"/>
        </w:rPr>
        <w:lastRenderedPageBreak/>
        <w:t xml:space="preserve">voluntary services, seeing almost half of TWES participants complete the service and connect with post-release employment service providers is a positive outcome in these circumstances. It is worth noting that </w:t>
      </w:r>
      <w:r w:rsidR="00A15577">
        <w:t xml:space="preserve">~20% </w:t>
      </w:r>
      <w:r w:rsidR="000741DE">
        <w:t xml:space="preserve">of </w:t>
      </w:r>
      <w:r w:rsidR="009615EE">
        <w:t xml:space="preserve">all </w:t>
      </w:r>
      <w:r w:rsidR="000741DE">
        <w:t xml:space="preserve">participants </w:t>
      </w:r>
      <w:r w:rsidR="00A15577">
        <w:t xml:space="preserve">exit TWES after leaving prison </w:t>
      </w:r>
      <w:r w:rsidR="009615EE">
        <w:t xml:space="preserve">without being connected </w:t>
      </w:r>
      <w:r w:rsidR="00A15577">
        <w:t xml:space="preserve">with a post-release employment service provider within 13 weeks of leaving. </w:t>
      </w:r>
    </w:p>
    <w:p w14:paraId="04DDDEAC" w14:textId="704B0187" w:rsidR="008E6BF0" w:rsidRPr="009615EE" w:rsidRDefault="008E6BF0" w:rsidP="00305B4B">
      <w:pPr>
        <w:pStyle w:val="Bulletedlist"/>
        <w:ind w:right="3"/>
      </w:pPr>
      <w:r w:rsidRPr="00647993">
        <w:rPr>
          <w:b/>
          <w:bCs/>
        </w:rPr>
        <w:t>Jurisdictional differences.</w:t>
      </w:r>
      <w:r w:rsidRPr="009615EE">
        <w:t xml:space="preserve"> The program logic assumes that the activities and outcomes are broadly aligned across remote and non-remote locations</w:t>
      </w:r>
      <w:r w:rsidR="008C1777">
        <w:t xml:space="preserve"> and jurisdictions</w:t>
      </w:r>
      <w:r w:rsidRPr="009615EE">
        <w:t>. However</w:t>
      </w:r>
      <w:r w:rsidR="00647993">
        <w:t xml:space="preserve"> r</w:t>
      </w:r>
      <w:r w:rsidRPr="009615EE">
        <w:t>emote and non-remote locations differ in a number of key characteristics: TWES is administered by two different Commonwealth departments</w:t>
      </w:r>
      <w:r w:rsidR="00C343C6">
        <w:t>, t</w:t>
      </w:r>
      <w:r w:rsidRPr="009615EE">
        <w:t xml:space="preserve">he labour market and community contexts are </w:t>
      </w:r>
      <w:r w:rsidR="00C343C6">
        <w:t>different, and</w:t>
      </w:r>
      <w:r w:rsidRPr="009615EE">
        <w:t xml:space="preserve"> the TWES funding model differs across remote and non-remote locations.</w:t>
      </w:r>
      <w:r w:rsidR="00647993">
        <w:t xml:space="preserve"> </w:t>
      </w:r>
      <w:r w:rsidRPr="009615EE">
        <w:t xml:space="preserve">State and </w:t>
      </w:r>
      <w:r w:rsidR="00B63B84">
        <w:t>t</w:t>
      </w:r>
      <w:r w:rsidR="00B63B84" w:rsidRPr="009615EE">
        <w:t xml:space="preserve">erritory </w:t>
      </w:r>
      <w:r w:rsidRPr="009615EE">
        <w:t xml:space="preserve">prison systems also differ in a number of key characteristics: prisons are administered by their relevant </w:t>
      </w:r>
      <w:r w:rsidR="00B63B84">
        <w:t>s</w:t>
      </w:r>
      <w:r w:rsidR="00B63B84" w:rsidRPr="009615EE">
        <w:t xml:space="preserve">tate </w:t>
      </w:r>
      <w:r w:rsidRPr="009615EE">
        <w:t xml:space="preserve">or </w:t>
      </w:r>
      <w:r w:rsidR="00B63B84">
        <w:t>t</w:t>
      </w:r>
      <w:r w:rsidR="00B63B84" w:rsidRPr="009615EE">
        <w:t xml:space="preserve">erritory </w:t>
      </w:r>
      <w:r w:rsidR="00467A51">
        <w:t>corrections</w:t>
      </w:r>
      <w:r w:rsidRPr="009615EE">
        <w:t xml:space="preserve"> department</w:t>
      </w:r>
      <w:r w:rsidR="00C343C6">
        <w:t>,</w:t>
      </w:r>
      <w:r w:rsidRPr="009615EE">
        <w:t xml:space="preserve"> health records are held by different departments in each jurisdiction</w:t>
      </w:r>
      <w:r w:rsidR="00C343C6">
        <w:t>,</w:t>
      </w:r>
      <w:r w:rsidRPr="009615EE">
        <w:t xml:space="preserve"> and the other in-prison and throughcare support programs offered to prisoners differ </w:t>
      </w:r>
      <w:r w:rsidR="008971BB">
        <w:t>across jurisdictions and prisons</w:t>
      </w:r>
      <w:r w:rsidR="0048200E">
        <w:t xml:space="preserve">. This variation helps to explain differences seen across </w:t>
      </w:r>
      <w:r w:rsidR="00C9362C">
        <w:t>TWES implementation</w:t>
      </w:r>
      <w:r w:rsidR="008971BB">
        <w:t xml:space="preserve"> </w:t>
      </w:r>
      <w:r w:rsidR="00C9362C">
        <w:t xml:space="preserve">and outcomes </w:t>
      </w:r>
      <w:r w:rsidR="008971BB">
        <w:t>(</w:t>
      </w:r>
      <w:r w:rsidR="00C9362C">
        <w:t xml:space="preserve">for example </w:t>
      </w:r>
      <w:r w:rsidR="008971BB">
        <w:t xml:space="preserve">see </w:t>
      </w:r>
      <w:r w:rsidR="00C9362C">
        <w:t xml:space="preserve">page </w:t>
      </w:r>
      <w:r w:rsidR="0048200E">
        <w:fldChar w:fldCharType="begin"/>
      </w:r>
      <w:r w:rsidR="0048200E">
        <w:instrText xml:space="preserve"> PAGEREF _Ref56179338 \h </w:instrText>
      </w:r>
      <w:r w:rsidR="0048200E">
        <w:fldChar w:fldCharType="separate"/>
      </w:r>
      <w:r w:rsidR="00B624F4">
        <w:rPr>
          <w:noProof/>
        </w:rPr>
        <w:t>44</w:t>
      </w:r>
      <w:r w:rsidR="0048200E">
        <w:fldChar w:fldCharType="end"/>
      </w:r>
      <w:r w:rsidR="008971BB">
        <w:t xml:space="preserve">). </w:t>
      </w:r>
    </w:p>
    <w:p w14:paraId="4EB42355" w14:textId="2BB15B7C" w:rsidR="008E6BF0" w:rsidRPr="00055F72" w:rsidRDefault="008E6BF0" w:rsidP="00305B4B">
      <w:pPr>
        <w:pStyle w:val="Bulletedlist"/>
        <w:ind w:right="3"/>
      </w:pPr>
      <w:r w:rsidRPr="000C438B">
        <w:rPr>
          <w:b/>
        </w:rPr>
        <w:t>Employment assessments.</w:t>
      </w:r>
      <w:r w:rsidRPr="00055F72">
        <w:t xml:space="preserve"> The program logic assumes that prisoners will agree to undertake the </w:t>
      </w:r>
      <w:r>
        <w:t>JSCI</w:t>
      </w:r>
      <w:r w:rsidRPr="00055F72">
        <w:t xml:space="preserve"> and ESAt assessments, that </w:t>
      </w:r>
      <w:r w:rsidR="0009779A">
        <w:t xml:space="preserve">assessments </w:t>
      </w:r>
      <w:r w:rsidRPr="00055F72">
        <w:t xml:space="preserve">take place, </w:t>
      </w:r>
      <w:r>
        <w:t xml:space="preserve">that the assessment tools are effective in identifying needs, </w:t>
      </w:r>
      <w:r w:rsidRPr="00055F72">
        <w:t>and that this leads to post-release services better meeting prisoner needs.</w:t>
      </w:r>
      <w:r>
        <w:t xml:space="preserve"> </w:t>
      </w:r>
      <w:r w:rsidR="0009779A">
        <w:t xml:space="preserve">The evaluation identified </w:t>
      </w:r>
      <w:r w:rsidR="00227C51">
        <w:t xml:space="preserve">several challenges that </w:t>
      </w:r>
      <w:r w:rsidR="00D61836">
        <w:t xml:space="preserve">providers </w:t>
      </w:r>
      <w:r w:rsidR="00624801">
        <w:t xml:space="preserve">have faced with the ESAts in particular, and a poor understanding among many TWES </w:t>
      </w:r>
      <w:r w:rsidR="00D61836">
        <w:t>p</w:t>
      </w:r>
      <w:r w:rsidR="00624801">
        <w:t xml:space="preserve">roviders about how </w:t>
      </w:r>
      <w:r w:rsidR="008B5B5E">
        <w:t xml:space="preserve">the ESAts should be conducted effectively (see page </w:t>
      </w:r>
      <w:r w:rsidR="008B5B5E">
        <w:fldChar w:fldCharType="begin"/>
      </w:r>
      <w:r w:rsidR="008B5B5E">
        <w:instrText xml:space="preserve"> PAGEREF _Ref75197657 \h </w:instrText>
      </w:r>
      <w:r w:rsidR="008B5B5E">
        <w:fldChar w:fldCharType="separate"/>
      </w:r>
      <w:r w:rsidR="00B624F4">
        <w:rPr>
          <w:noProof/>
        </w:rPr>
        <w:t>39</w:t>
      </w:r>
      <w:r w:rsidR="008B5B5E">
        <w:fldChar w:fldCharType="end"/>
      </w:r>
      <w:r w:rsidR="008B5B5E">
        <w:t xml:space="preserve">). Improving </w:t>
      </w:r>
      <w:r w:rsidR="00D61836">
        <w:t xml:space="preserve">provider </w:t>
      </w:r>
      <w:r w:rsidR="008B5B5E">
        <w:t xml:space="preserve">understanding of </w:t>
      </w:r>
      <w:r w:rsidR="007436FC">
        <w:t xml:space="preserve">these assessments and addressing some of the issues identified could help increase the number of participants receiving ESAts. </w:t>
      </w:r>
    </w:p>
    <w:p w14:paraId="6FBC4C37" w14:textId="403B4338" w:rsidR="008E6BF0" w:rsidRDefault="008E6BF0" w:rsidP="00305B4B">
      <w:pPr>
        <w:pStyle w:val="Bulletedlist"/>
        <w:ind w:right="3"/>
      </w:pPr>
      <w:r w:rsidRPr="0080495D">
        <w:rPr>
          <w:b/>
        </w:rPr>
        <w:t xml:space="preserve">Staff </w:t>
      </w:r>
      <w:r>
        <w:rPr>
          <w:b/>
        </w:rPr>
        <w:t xml:space="preserve">recruitment and </w:t>
      </w:r>
      <w:r w:rsidRPr="0080495D">
        <w:rPr>
          <w:b/>
        </w:rPr>
        <w:t xml:space="preserve">retention. </w:t>
      </w:r>
      <w:r w:rsidRPr="0080495D">
        <w:t xml:space="preserve">The program logic assumes that </w:t>
      </w:r>
      <w:r>
        <w:t xml:space="preserve">TWES </w:t>
      </w:r>
      <w:r w:rsidR="00D61836">
        <w:t>providers</w:t>
      </w:r>
      <w:r w:rsidR="00D61836" w:rsidRPr="0080495D">
        <w:t xml:space="preserve"> </w:t>
      </w:r>
      <w:r w:rsidRPr="0080495D">
        <w:t>can</w:t>
      </w:r>
      <w:r>
        <w:t xml:space="preserve"> recruit and</w:t>
      </w:r>
      <w:r w:rsidRPr="0080495D">
        <w:t xml:space="preserve"> retain staff who are appropriately qualified and culturally competent to ensure continuity in quality delivery of TWES services</w:t>
      </w:r>
      <w:r w:rsidR="00812F66">
        <w:t xml:space="preserve">. Feedback from participants suggests that there are opportunities to improve the cultural </w:t>
      </w:r>
      <w:r w:rsidR="000871D8">
        <w:t xml:space="preserve">appropriateness and </w:t>
      </w:r>
      <w:r w:rsidR="00812F66">
        <w:t xml:space="preserve">competence </w:t>
      </w:r>
      <w:r w:rsidR="00DD701E">
        <w:t xml:space="preserve">of some TWES </w:t>
      </w:r>
      <w:r w:rsidR="00D61836">
        <w:t>providers</w:t>
      </w:r>
      <w:r w:rsidR="00DD701E">
        <w:t xml:space="preserve">, increase the representation of Aboriginal and Torres Strait Islander staff among </w:t>
      </w:r>
      <w:r w:rsidR="00D61836">
        <w:t>providers</w:t>
      </w:r>
      <w:r w:rsidR="00DD701E">
        <w:t>, and increase the role of ALOs</w:t>
      </w:r>
      <w:r w:rsidR="007436FC">
        <w:t xml:space="preserve"> (see page </w:t>
      </w:r>
      <w:r w:rsidR="00812F66">
        <w:fldChar w:fldCharType="begin"/>
      </w:r>
      <w:r w:rsidR="00812F66">
        <w:instrText xml:space="preserve"> PAGEREF _Ref75197712 \h </w:instrText>
      </w:r>
      <w:r w:rsidR="00812F66">
        <w:fldChar w:fldCharType="separate"/>
      </w:r>
      <w:r w:rsidR="00B624F4">
        <w:rPr>
          <w:noProof/>
        </w:rPr>
        <w:t>50</w:t>
      </w:r>
      <w:r w:rsidR="00812F66">
        <w:fldChar w:fldCharType="end"/>
      </w:r>
      <w:r w:rsidR="007436FC">
        <w:t>)</w:t>
      </w:r>
      <w:r>
        <w:t>.</w:t>
      </w:r>
      <w:r w:rsidRPr="0080495D">
        <w:t xml:space="preserve"> </w:t>
      </w:r>
    </w:p>
    <w:p w14:paraId="25C4E01B" w14:textId="44C1A076" w:rsidR="008E6BF0" w:rsidRPr="0080495D" w:rsidRDefault="008E6BF0" w:rsidP="00305B4B">
      <w:pPr>
        <w:pStyle w:val="Bulletedlist"/>
        <w:ind w:right="3"/>
      </w:pPr>
      <w:r>
        <w:rPr>
          <w:b/>
        </w:rPr>
        <w:t>Employment outcomes and external variables.</w:t>
      </w:r>
      <w:r w:rsidRPr="005B1031">
        <w:t xml:space="preserve"> </w:t>
      </w:r>
      <w:r w:rsidR="00D21545">
        <w:t xml:space="preserve">TWES does not aim to support participants into employment, but to improve their engagement with employment service providers, who can then support them into employment. </w:t>
      </w:r>
      <w:r w:rsidR="00216B54">
        <w:t xml:space="preserve">There are many </w:t>
      </w:r>
      <w:r w:rsidR="00BA2C67">
        <w:t xml:space="preserve">external factors that influence </w:t>
      </w:r>
      <w:r w:rsidR="003D639F">
        <w:t xml:space="preserve">the likelihood of TWES participants finding </w:t>
      </w:r>
      <w:r w:rsidR="00BA2C67">
        <w:t>employment</w:t>
      </w:r>
      <w:r w:rsidR="003D639F">
        <w:t xml:space="preserve"> after release from prison</w:t>
      </w:r>
      <w:r w:rsidR="00BA2C67">
        <w:t>. These</w:t>
      </w:r>
      <w:r w:rsidR="003D639F">
        <w:t xml:space="preserve"> factors</w:t>
      </w:r>
      <w:r w:rsidR="00BA2C67">
        <w:t xml:space="preserve"> include </w:t>
      </w:r>
      <w:r>
        <w:t>participant demographics such as their work experience prior to incarceration</w:t>
      </w:r>
      <w:r w:rsidR="00BA2C67">
        <w:t xml:space="preserve">, </w:t>
      </w:r>
      <w:r>
        <w:t>the consistency of work experience</w:t>
      </w:r>
      <w:r w:rsidR="00BA2C67">
        <w:t>,</w:t>
      </w:r>
      <w:r>
        <w:t xml:space="preserve"> </w:t>
      </w:r>
      <w:r w:rsidR="00BA2C67">
        <w:t xml:space="preserve">and </w:t>
      </w:r>
      <w:r>
        <w:t xml:space="preserve">family and community relationships </w:t>
      </w:r>
      <w:r w:rsidR="00BA2C67">
        <w:t>and obligations after</w:t>
      </w:r>
      <w:r>
        <w:t xml:space="preserve"> release. </w:t>
      </w:r>
      <w:r w:rsidR="000450C6">
        <w:t xml:space="preserve">Analysis of employment outcomes for TWES participants found that </w:t>
      </w:r>
      <w:r w:rsidR="00FB0F47">
        <w:t>7.8% of participants achieved a job placement</w:t>
      </w:r>
      <w:r w:rsidR="00BA2C67">
        <w:t xml:space="preserve"> (see page </w:t>
      </w:r>
      <w:r w:rsidR="00BA2C67">
        <w:fldChar w:fldCharType="begin"/>
      </w:r>
      <w:r w:rsidR="00BA2C67">
        <w:instrText xml:space="preserve"> PAGEREF _Ref72793588 \h </w:instrText>
      </w:r>
      <w:r w:rsidR="00BA2C67">
        <w:fldChar w:fldCharType="separate"/>
      </w:r>
      <w:r w:rsidR="00B624F4">
        <w:rPr>
          <w:noProof/>
        </w:rPr>
        <w:t>52</w:t>
      </w:r>
      <w:r w:rsidR="00BA2C67">
        <w:fldChar w:fldCharType="end"/>
      </w:r>
      <w:r w:rsidR="00BA2C67">
        <w:t>)</w:t>
      </w:r>
      <w:r w:rsidR="001A04E9">
        <w:t xml:space="preserve"> – however it was not possible to compare these outcomes against a sample of non-participants, or to understand the </w:t>
      </w:r>
      <w:r w:rsidR="004941AB">
        <w:t xml:space="preserve">influence of external factors. </w:t>
      </w:r>
    </w:p>
    <w:p w14:paraId="71BEEF08" w14:textId="5F6CF49B" w:rsidR="00B23866" w:rsidRPr="00B23866" w:rsidRDefault="00407946" w:rsidP="00305B4B">
      <w:pPr>
        <w:pStyle w:val="Heading3"/>
        <w:ind w:right="3"/>
      </w:pPr>
      <w:r>
        <w:t>Summary</w:t>
      </w:r>
    </w:p>
    <w:p w14:paraId="1CA7C2DA" w14:textId="2771C2DD" w:rsidR="00F75597" w:rsidRPr="007C778E" w:rsidRDefault="00774299" w:rsidP="00305B4B">
      <w:pPr>
        <w:pStyle w:val="BodyText"/>
        <w:ind w:right="3"/>
      </w:pPr>
      <w:r w:rsidRPr="007C778E">
        <w:t>E</w:t>
      </w:r>
      <w:r w:rsidR="00120C26" w:rsidRPr="007C778E">
        <w:t>vidence show</w:t>
      </w:r>
      <w:r w:rsidR="0066061F" w:rsidRPr="007C778E">
        <w:t>s</w:t>
      </w:r>
      <w:r w:rsidR="00120C26" w:rsidRPr="007C778E">
        <w:t xml:space="preserve"> </w:t>
      </w:r>
      <w:r w:rsidR="00F75597" w:rsidRPr="007C778E">
        <w:t xml:space="preserve">that </w:t>
      </w:r>
      <w:r w:rsidR="00C8457C" w:rsidRPr="007C778E">
        <w:t>TWES</w:t>
      </w:r>
      <w:r w:rsidR="00065AB2" w:rsidRPr="007C778E">
        <w:t xml:space="preserve"> </w:t>
      </w:r>
      <w:r w:rsidR="00D61836" w:rsidRPr="007C778E">
        <w:t xml:space="preserve">providers </w:t>
      </w:r>
      <w:r w:rsidR="00065AB2" w:rsidRPr="007C778E">
        <w:t xml:space="preserve">could strengthen </w:t>
      </w:r>
      <w:r w:rsidR="00EA2B7E" w:rsidRPr="007C778E">
        <w:t>the</w:t>
      </w:r>
      <w:r w:rsidR="00065AB2" w:rsidRPr="007C778E">
        <w:t xml:space="preserve"> cultural appropriateness of the program by</w:t>
      </w:r>
      <w:r w:rsidR="009D55F3" w:rsidRPr="007C778E">
        <w:t xml:space="preserve"> communicating with participants clearly and taking the time to build relationships</w:t>
      </w:r>
      <w:r w:rsidR="00CE1787" w:rsidRPr="007C778E">
        <w:t xml:space="preserve"> with participants</w:t>
      </w:r>
      <w:r w:rsidR="00BE308A" w:rsidRPr="007C778E">
        <w:t xml:space="preserve">. Building relationships and rapport with participants takes time, and other evaluation findings presented in the report note the importance of </w:t>
      </w:r>
      <w:r w:rsidR="00DB2F2F" w:rsidRPr="007C778E">
        <w:t xml:space="preserve">TWES </w:t>
      </w:r>
      <w:r w:rsidR="00D61836" w:rsidRPr="007C778E">
        <w:t xml:space="preserve">providers </w:t>
      </w:r>
      <w:r w:rsidR="00BE308A" w:rsidRPr="007C778E">
        <w:t xml:space="preserve">having more time and </w:t>
      </w:r>
      <w:r w:rsidR="00DB2F2F" w:rsidRPr="007C778E">
        <w:t xml:space="preserve">more meetings with participants. The evaluation also found that increasing the </w:t>
      </w:r>
      <w:r w:rsidR="005E22BD" w:rsidRPr="007C778E">
        <w:t xml:space="preserve">number </w:t>
      </w:r>
      <w:r w:rsidR="00DB2F2F" w:rsidRPr="007C778E">
        <w:t xml:space="preserve">of Aboriginal and Torres Strait Islander staff in TWES </w:t>
      </w:r>
      <w:r w:rsidR="00D61836" w:rsidRPr="007C778E">
        <w:t>providers</w:t>
      </w:r>
      <w:r w:rsidR="00DB2F2F" w:rsidRPr="007C778E">
        <w:t>, and formalising the role of ALOs in prisons</w:t>
      </w:r>
      <w:r w:rsidR="003465B6" w:rsidRPr="007C778E">
        <w:t xml:space="preserve"> where available, could support the cultural appropriateness of the service. </w:t>
      </w:r>
    </w:p>
    <w:p w14:paraId="6C6D2716" w14:textId="4DFD4942" w:rsidR="00163FFC" w:rsidRPr="007C778E" w:rsidRDefault="0087027E" w:rsidP="00305B4B">
      <w:pPr>
        <w:pStyle w:val="BodyText"/>
        <w:ind w:right="3"/>
      </w:pPr>
      <w:r w:rsidRPr="007C778E">
        <w:lastRenderedPageBreak/>
        <w:t xml:space="preserve">The impact of TWES on strengthening the connection between participants and employment service providers </w:t>
      </w:r>
      <w:r w:rsidR="00774299" w:rsidRPr="007C778E">
        <w:t>was found to be</w:t>
      </w:r>
      <w:r w:rsidRPr="007C778E">
        <w:t xml:space="preserve"> limited by the challenges faced in organising Facilitated Transfer Meetings (covered further </w:t>
      </w:r>
      <w:r w:rsidR="00F9000B" w:rsidRPr="007C778E">
        <w:t xml:space="preserve">on page </w:t>
      </w:r>
      <w:r w:rsidR="00F9000B" w:rsidRPr="007C778E">
        <w:fldChar w:fldCharType="begin"/>
      </w:r>
      <w:r w:rsidR="00F9000B" w:rsidRPr="007C778E">
        <w:instrText xml:space="preserve"> PAGEREF _Ref72845471 \h </w:instrText>
      </w:r>
      <w:r w:rsidR="00F9000B" w:rsidRPr="007C778E">
        <w:fldChar w:fldCharType="separate"/>
      </w:r>
      <w:r w:rsidR="00B624F4" w:rsidRPr="007C778E">
        <w:t>41</w:t>
      </w:r>
      <w:r w:rsidR="00F9000B" w:rsidRPr="007C778E">
        <w:fldChar w:fldCharType="end"/>
      </w:r>
      <w:r w:rsidR="00F9000B" w:rsidRPr="007C778E">
        <w:t>).</w:t>
      </w:r>
      <w:r w:rsidR="00ED4779" w:rsidRPr="007C778E">
        <w:t xml:space="preserve"> </w:t>
      </w:r>
      <w:r w:rsidR="00163FFC" w:rsidRPr="007C778E">
        <w:t>Furthermore</w:t>
      </w:r>
      <w:r w:rsidR="0086284D" w:rsidRPr="007C778E">
        <w:t xml:space="preserve">, </w:t>
      </w:r>
      <w:r w:rsidR="00003753" w:rsidRPr="007C778E">
        <w:t>measur</w:t>
      </w:r>
      <w:r w:rsidR="00774299" w:rsidRPr="007C778E">
        <w:t>ing</w:t>
      </w:r>
      <w:r w:rsidR="00003753" w:rsidRPr="007C778E">
        <w:t xml:space="preserve"> the impact of TWES on employment outcomes by comparing outcomes between TWES participants and non-participants</w:t>
      </w:r>
      <w:r w:rsidR="00774299" w:rsidRPr="007C778E">
        <w:t xml:space="preserve"> was not possible due to lack of a </w:t>
      </w:r>
      <w:r w:rsidR="00194C97" w:rsidRPr="007C778E">
        <w:t>valid comparison group.</w:t>
      </w:r>
    </w:p>
    <w:p w14:paraId="28E3CC39" w14:textId="39862CE4" w:rsidR="00163FFC" w:rsidRPr="007C778E" w:rsidRDefault="00163FFC" w:rsidP="00305B4B">
      <w:pPr>
        <w:pStyle w:val="BodyText"/>
        <w:ind w:right="3"/>
      </w:pPr>
      <w:r w:rsidRPr="007C778E">
        <w:t xml:space="preserve">Finally, the </w:t>
      </w:r>
      <w:r w:rsidR="00EB2B08" w:rsidRPr="007C778E">
        <w:t xml:space="preserve">evaluation found evidence that several key assumptions underpinning the success of TWES </w:t>
      </w:r>
      <w:r w:rsidR="00ED5B0D" w:rsidRPr="007C778E">
        <w:t>faced challenges in practice</w:t>
      </w:r>
      <w:r w:rsidR="00EB2B08" w:rsidRPr="007C778E">
        <w:t xml:space="preserve">. </w:t>
      </w:r>
      <w:r w:rsidR="008E57CC" w:rsidRPr="007C778E">
        <w:t>Key a</w:t>
      </w:r>
      <w:r w:rsidR="006D1BFA" w:rsidRPr="007C778E">
        <w:t xml:space="preserve">ssumptions that </w:t>
      </w:r>
      <w:r w:rsidR="008E57CC" w:rsidRPr="007C778E">
        <w:t>did</w:t>
      </w:r>
      <w:r w:rsidR="00EB2B08" w:rsidRPr="007C778E">
        <w:t xml:space="preserve"> </w:t>
      </w:r>
      <w:r w:rsidR="008E57CC" w:rsidRPr="007C778E">
        <w:t xml:space="preserve">not hold in some cases included the assumptions that </w:t>
      </w:r>
      <w:r w:rsidR="00ED5B0D" w:rsidRPr="007C778E">
        <w:t xml:space="preserve">TWES providers </w:t>
      </w:r>
      <w:r w:rsidR="008E57CC" w:rsidRPr="007C778E">
        <w:t xml:space="preserve">could gain </w:t>
      </w:r>
      <w:r w:rsidR="00ED5B0D" w:rsidRPr="007C778E">
        <w:t>access to prisons</w:t>
      </w:r>
      <w:r w:rsidR="008E57CC" w:rsidRPr="007C778E">
        <w:t xml:space="preserve"> to promote the service and meet with participants</w:t>
      </w:r>
      <w:r w:rsidR="00ED5B0D" w:rsidRPr="007C778E">
        <w:t xml:space="preserve">, </w:t>
      </w:r>
      <w:r w:rsidR="008E57CC" w:rsidRPr="007C778E">
        <w:t xml:space="preserve">that </w:t>
      </w:r>
      <w:r w:rsidR="00ED5B0D" w:rsidRPr="007C778E">
        <w:t>prisoners</w:t>
      </w:r>
      <w:r w:rsidR="006D1BFA" w:rsidRPr="007C778E">
        <w:t xml:space="preserve"> continue to participate in the service, </w:t>
      </w:r>
      <w:r w:rsidR="00E51126" w:rsidRPr="007C778E">
        <w:t xml:space="preserve">and </w:t>
      </w:r>
      <w:r w:rsidR="00E25A4D" w:rsidRPr="007C778E">
        <w:t xml:space="preserve">that participants are willing and able to connect with post-release employment service providers after they are released from prison. </w:t>
      </w:r>
    </w:p>
    <w:p w14:paraId="32618843" w14:textId="328163F0" w:rsidR="005F6D5D" w:rsidRPr="007C778E" w:rsidRDefault="00003753" w:rsidP="00305B4B">
      <w:pPr>
        <w:pStyle w:val="BodyText"/>
        <w:ind w:right="3"/>
      </w:pPr>
      <w:r w:rsidRPr="007C778E">
        <w:t xml:space="preserve"> </w:t>
      </w:r>
      <w:bookmarkStart w:id="116" w:name="bookmark31"/>
      <w:bookmarkStart w:id="117" w:name="_Toc69718841"/>
      <w:bookmarkEnd w:id="116"/>
      <w:r w:rsidR="005F6D5D" w:rsidRPr="007C778E">
        <w:br w:type="page"/>
      </w:r>
    </w:p>
    <w:p w14:paraId="2F72DD75" w14:textId="3D61AF73" w:rsidR="005010BC" w:rsidRDefault="00D7285F" w:rsidP="00305B4B">
      <w:pPr>
        <w:pStyle w:val="Heading2"/>
        <w:ind w:right="3"/>
      </w:pPr>
      <w:bookmarkStart w:id="118" w:name="_Ref72784104"/>
      <w:bookmarkStart w:id="119" w:name="_Ref72784107"/>
      <w:bookmarkStart w:id="120" w:name="_Toc74911620"/>
      <w:bookmarkStart w:id="121" w:name="_Toc75959323"/>
      <w:r>
        <w:lastRenderedPageBreak/>
        <w:t xml:space="preserve">4.3 </w:t>
      </w:r>
      <w:r w:rsidR="00077E9B">
        <w:t xml:space="preserve">Objective 3: </w:t>
      </w:r>
      <w:r w:rsidR="004569B0" w:rsidRPr="004569B0">
        <w:t xml:space="preserve">Understand </w:t>
      </w:r>
      <w:r w:rsidR="00242406">
        <w:t xml:space="preserve">how to </w:t>
      </w:r>
      <w:r w:rsidR="00307D52">
        <w:t>i</w:t>
      </w:r>
      <w:r w:rsidR="00242406">
        <w:t xml:space="preserve">mprove </w:t>
      </w:r>
      <w:r w:rsidR="004569B0" w:rsidRPr="004569B0">
        <w:t>TWES</w:t>
      </w:r>
      <w:bookmarkEnd w:id="118"/>
      <w:bookmarkEnd w:id="119"/>
      <w:bookmarkEnd w:id="120"/>
      <w:bookmarkEnd w:id="121"/>
      <w:r w:rsidR="004569B0" w:rsidRPr="004569B0">
        <w:t xml:space="preserve"> </w:t>
      </w:r>
      <w:bookmarkEnd w:id="117"/>
    </w:p>
    <w:p w14:paraId="79A67081" w14:textId="7FB5EA6C" w:rsidR="00BF01A4" w:rsidRPr="00692067" w:rsidRDefault="00481C85" w:rsidP="00305B4B">
      <w:pPr>
        <w:pStyle w:val="BodyText"/>
        <w:ind w:right="3"/>
      </w:pPr>
      <w:r w:rsidRPr="00692067">
        <w:t>This section of the report presents evaluation findings under t</w:t>
      </w:r>
      <w:r w:rsidR="00A02C6E" w:rsidRPr="00692067">
        <w:t xml:space="preserve">he third objective </w:t>
      </w:r>
      <w:r w:rsidR="002E3491" w:rsidRPr="00692067">
        <w:t xml:space="preserve">of the evaluation: </w:t>
      </w:r>
      <w:r w:rsidR="00D41215" w:rsidRPr="00692067">
        <w:t xml:space="preserve">to understand how TWES could be improved to increase impact, and </w:t>
      </w:r>
      <w:r w:rsidR="00E701EF" w:rsidRPr="00692067">
        <w:t xml:space="preserve">to </w:t>
      </w:r>
      <w:r w:rsidR="00D41215" w:rsidRPr="00692067">
        <w:t>identify the implications for future programs</w:t>
      </w:r>
      <w:r w:rsidRPr="00692067">
        <w:t xml:space="preserve">. </w:t>
      </w:r>
    </w:p>
    <w:p w14:paraId="32F752F6" w14:textId="417012D4" w:rsidR="00B471B5" w:rsidRPr="00692067" w:rsidRDefault="00916848" w:rsidP="00305B4B">
      <w:pPr>
        <w:pStyle w:val="Heading3"/>
        <w:ind w:right="3"/>
      </w:pPr>
      <w:bookmarkStart w:id="122" w:name="_Ref72846022"/>
      <w:r w:rsidRPr="00692067">
        <w:t>What are the implications for the design and implementation of future prison to work programs?</w:t>
      </w:r>
      <w:bookmarkEnd w:id="122"/>
    </w:p>
    <w:p w14:paraId="41F7908A" w14:textId="5E29DBF3" w:rsidR="00F05CAD" w:rsidRDefault="00F05CAD" w:rsidP="00305B4B">
      <w:pPr>
        <w:pStyle w:val="BodyText"/>
        <w:ind w:right="3"/>
      </w:pPr>
      <w:r>
        <w:rPr>
          <w:noProof/>
        </w:rPr>
        <mc:AlternateContent>
          <mc:Choice Requires="wps">
            <w:drawing>
              <wp:inline distT="0" distB="0" distL="0" distR="0" wp14:anchorId="06E7DCDC" wp14:editId="13A343BA">
                <wp:extent cx="6303010" cy="3379694"/>
                <wp:effectExtent l="0" t="0" r="0" b="0"/>
                <wp:docPr id="1623174866" name="Text Box 1623174866"/>
                <wp:cNvGraphicFramePr/>
                <a:graphic xmlns:a="http://schemas.openxmlformats.org/drawingml/2006/main">
                  <a:graphicData uri="http://schemas.microsoft.com/office/word/2010/wordprocessingShape">
                    <wps:wsp>
                      <wps:cNvSpPr txBox="1"/>
                      <wps:spPr>
                        <a:xfrm>
                          <a:off x="0" y="0"/>
                          <a:ext cx="6303010" cy="3379694"/>
                        </a:xfrm>
                        <a:prstGeom prst="rect">
                          <a:avLst/>
                        </a:prstGeom>
                        <a:solidFill>
                          <a:schemeClr val="accent4">
                            <a:lumMod val="20000"/>
                            <a:lumOff val="80000"/>
                          </a:schemeClr>
                        </a:solidFill>
                        <a:ln w="6350">
                          <a:noFill/>
                        </a:ln>
                      </wps:spPr>
                      <wps:txbx>
                        <w:txbxContent>
                          <w:p w14:paraId="0ED5D1EB" w14:textId="77777777" w:rsidR="00F05CAD" w:rsidRPr="00692067" w:rsidRDefault="00F05CAD" w:rsidP="00F05CAD">
                            <w:pPr>
                              <w:pStyle w:val="BodyText"/>
                              <w:ind w:right="3"/>
                            </w:pPr>
                            <w:r w:rsidRPr="00692067">
                              <w:rPr>
                                <w:b/>
                                <w:bCs/>
                              </w:rPr>
                              <w:t>Key Finding #9:</w:t>
                            </w:r>
                            <w:r w:rsidRPr="00692067">
                              <w:t xml:space="preserve"> TWES is only partially successful in addressing the service coordination challenges identified by Prison to Work. The respective roles of Commonwealth and state/territory governments in supporting ex-offenders through the post-release transition period should be reconsidered.</w:t>
                            </w:r>
                          </w:p>
                          <w:p w14:paraId="3BE2EBB4" w14:textId="77777777" w:rsidR="00F05CAD" w:rsidRPr="00F05CAD" w:rsidRDefault="00F05CAD" w:rsidP="00F05CAD">
                            <w:pPr>
                              <w:pStyle w:val="BodyText"/>
                            </w:pPr>
                            <w:r w:rsidRPr="00F05CAD">
                              <w:t xml:space="preserve">Options for consideration: </w:t>
                            </w:r>
                          </w:p>
                          <w:p w14:paraId="0B792F3C" w14:textId="77777777" w:rsidR="00F05CAD" w:rsidRPr="00F05CAD" w:rsidRDefault="00F05CAD" w:rsidP="00F05CAD">
                            <w:pPr>
                              <w:pStyle w:val="Numberedlist"/>
                            </w:pPr>
                            <w:r w:rsidRPr="00F05CAD">
                              <w:t>NIAA, DESE, Services Australia and state/territory governments to explore opportunities to a) redefine the scope of Commonwealth-funded services to focus specifically on bringing the JSCI and ESAt assessments within prisons, and b) fund state/territory governments to deliver the transition planning and facilitated transfer components of TWES through existing and new throughcare services within a case management model.</w:t>
                            </w:r>
                          </w:p>
                          <w:p w14:paraId="2D815FFD" w14:textId="4315D847" w:rsidR="00F05CAD" w:rsidRPr="00F05CAD" w:rsidRDefault="00F05CAD" w:rsidP="00F05CAD">
                            <w:pPr>
                              <w:pStyle w:val="Numberedlist"/>
                            </w:pPr>
                            <w:r w:rsidRPr="00F05CAD">
                              <w:t xml:space="preserve">NIAA, DESE, Services Australia and state/territory governments to explore opportunities to expand the scope of TWES to a throughcare model that extends contact with participants until after their release from prison, and includes supporting them to connect with and navigate the employment and welfare systems. This should involve revisiting relevant findings and actions of Prison to Work, in particular Finding 7, </w:t>
                            </w:r>
                            <w:r w:rsidRPr="00F05CAD">
                              <w:rPr>
                                <w:i/>
                              </w:rPr>
                              <w:t>“there is insufficient transitional support and throughcare”,</w:t>
                            </w:r>
                            <w:r w:rsidRPr="00F05CAD">
                              <w:t xml:space="preserve"> and Finding 8, </w:t>
                            </w:r>
                            <w:r w:rsidRPr="00F05CAD">
                              <w:rPr>
                                <w:i/>
                              </w:rPr>
                              <w:t>“there is insufficient stable accommodation, including transitional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E7DCDC" id="Text Box 1623174866" o:spid="_x0000_s1056" type="#_x0000_t202" style="width:496.3pt;height:26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" fillcolor="#f1ede4 [663]" stroked="f" strokeweight=".5pt">
                <v:textbox>
                  <w:txbxContent>
                    <w:p w14:paraId="0ED5D1EB" w14:textId="77777777" w:rsidR="00F05CAD" w:rsidRPr="00692067" w:rsidRDefault="00F05CAD" w:rsidP="00F05CAD">
                      <w:pPr>
                        <w:pStyle w:val="BodyText"/>
                        <w:ind w:right="3"/>
                      </w:pPr>
                      <w:r w:rsidRPr="00692067">
                        <w:rPr>
                          <w:b/>
                          <w:bCs/>
                        </w:rPr>
                        <w:t>Key Finding #9:</w:t>
                      </w:r>
                      <w:r w:rsidRPr="00692067">
                        <w:t xml:space="preserve"> TWES is only partially successful in addressing the service coordination challenges identified by Prison to Work. The respective roles of Commonwealth and state/territory governments in supporting ex-offenders through the post-release transition period should be reconsidered.</w:t>
                      </w:r>
                    </w:p>
                    <w:p w14:paraId="3BE2EBB4" w14:textId="77777777" w:rsidR="00F05CAD" w:rsidRPr="00F05CAD" w:rsidRDefault="00F05CAD" w:rsidP="00F05CAD">
                      <w:pPr>
                        <w:pStyle w:val="BodyText"/>
                      </w:pPr>
                      <w:r w:rsidRPr="00F05CAD">
                        <w:t xml:space="preserve">Options for consideration: </w:t>
                      </w:r>
                    </w:p>
                    <w:p w14:paraId="0B792F3C" w14:textId="77777777" w:rsidR="00F05CAD" w:rsidRPr="00F05CAD" w:rsidRDefault="00F05CAD" w:rsidP="00F05CAD">
                      <w:pPr>
                        <w:pStyle w:val="Numberedlist"/>
                      </w:pPr>
                      <w:r w:rsidRPr="00F05CAD">
                        <w:t xml:space="preserve">NIAA, DESE, Services Australia and state/territory governments to explore opportunities to a) redefine the scope of Commonwealth-funded services to focus specifically on bringing the JSCI and </w:t>
                      </w:r>
                      <w:proofErr w:type="spellStart"/>
                      <w:r w:rsidRPr="00F05CAD">
                        <w:t>ESAt</w:t>
                      </w:r>
                      <w:proofErr w:type="spellEnd"/>
                      <w:r w:rsidRPr="00F05CAD">
                        <w:t xml:space="preserve"> assessments within prisons, and b) fund state/territory governments to deliver the transition planning and facilitated transfer components of TWES through existing and new throughcare services within a case management model.</w:t>
                      </w:r>
                    </w:p>
                    <w:p w14:paraId="2D815FFD" w14:textId="4315D847" w:rsidR="00F05CAD" w:rsidRPr="00F05CAD" w:rsidRDefault="00F05CAD" w:rsidP="00F05CAD">
                      <w:pPr>
                        <w:pStyle w:val="Numberedlist"/>
                      </w:pPr>
                      <w:r w:rsidRPr="00F05CAD">
                        <w:t xml:space="preserve">NIAA, DESE, Services Australia and state/territory governments to explore opportunities to expand the scope of TWES to a throughcare model that extends contact with participants until after their release from prison, and includes supporting them to connect with and navigate the employment and welfare systems. This should involve revisiting relevant findings and actions of Prison to Work, </w:t>
                      </w:r>
                      <w:proofErr w:type="gramStart"/>
                      <w:r w:rsidRPr="00F05CAD">
                        <w:t>in particular Finding</w:t>
                      </w:r>
                      <w:proofErr w:type="gramEnd"/>
                      <w:r w:rsidRPr="00F05CAD">
                        <w:t xml:space="preserve"> 7, </w:t>
                      </w:r>
                      <w:r w:rsidRPr="00F05CAD">
                        <w:rPr>
                          <w:i/>
                        </w:rPr>
                        <w:t>“there is insufficient transitional support and throughcare”,</w:t>
                      </w:r>
                      <w:r w:rsidRPr="00F05CAD">
                        <w:t xml:space="preserve"> and Finding 8, </w:t>
                      </w:r>
                      <w:r w:rsidRPr="00F05CAD">
                        <w:rPr>
                          <w:i/>
                        </w:rPr>
                        <w:t>“there is insufficient stable accommodation, including transitional housing”.</w:t>
                      </w:r>
                    </w:p>
                  </w:txbxContent>
                </v:textbox>
                <w10:anchorlock/>
              </v:shape>
            </w:pict>
          </mc:Fallback>
        </mc:AlternateContent>
      </w:r>
    </w:p>
    <w:p w14:paraId="6B6729CB" w14:textId="6C1FE4DC" w:rsidR="00B471B5" w:rsidRPr="00D82168" w:rsidRDefault="0098022D" w:rsidP="00D82168">
      <w:pPr>
        <w:pStyle w:val="BodyText"/>
        <w:ind w:right="-280"/>
        <w:rPr>
          <w:szCs w:val="20"/>
        </w:rPr>
      </w:pPr>
      <w:r w:rsidRPr="00D82168">
        <w:rPr>
          <w:szCs w:val="20"/>
        </w:rPr>
        <w:t xml:space="preserve">As noted above, Finding 5 of Prison to Work noted that there was </w:t>
      </w:r>
      <w:r w:rsidR="003D055E" w:rsidRPr="00D82168">
        <w:rPr>
          <w:szCs w:val="20"/>
        </w:rPr>
        <w:t>“</w:t>
      </w:r>
      <w:r w:rsidR="005E7B9F" w:rsidRPr="00D82168">
        <w:rPr>
          <w:szCs w:val="20"/>
        </w:rPr>
        <w:t>a</w:t>
      </w:r>
      <w:r w:rsidRPr="00D82168">
        <w:rPr>
          <w:szCs w:val="20"/>
        </w:rPr>
        <w:t xml:space="preserve"> lack of timely, coordinated and quality engagement with Aboriginal and Torres Strait Islander Prisoners from Employment and Welfare Services</w:t>
      </w:r>
      <w:r w:rsidR="003D055E" w:rsidRPr="00D82168">
        <w:rPr>
          <w:szCs w:val="20"/>
        </w:rPr>
        <w:t>”</w:t>
      </w:r>
      <w:r w:rsidRPr="00D82168">
        <w:rPr>
          <w:szCs w:val="20"/>
        </w:rPr>
        <w:t>.</w:t>
      </w:r>
      <w:r w:rsidR="0049107F" w:rsidRPr="00D82168">
        <w:rPr>
          <w:szCs w:val="20"/>
        </w:rPr>
        <w:t xml:space="preserve"> More broadly, </w:t>
      </w:r>
      <w:r w:rsidR="00B471B5" w:rsidRPr="00D82168">
        <w:rPr>
          <w:szCs w:val="20"/>
        </w:rPr>
        <w:t xml:space="preserve">Prison to Work </w:t>
      </w:r>
      <w:r w:rsidR="0049107F" w:rsidRPr="00D82168">
        <w:rPr>
          <w:szCs w:val="20"/>
        </w:rPr>
        <w:t xml:space="preserve">also </w:t>
      </w:r>
      <w:r w:rsidR="00B471B5" w:rsidRPr="00D82168">
        <w:rPr>
          <w:szCs w:val="20"/>
        </w:rPr>
        <w:t>identified that Aboriginal and Torres Strait Islander ex-offenders are let down by a lack of coordination between support services. “No one agency or organisation has oversight of prisoner transition into post-release life,”</w:t>
      </w:r>
      <w:r w:rsidR="00B471B5" w:rsidRPr="00D82168">
        <w:rPr>
          <w:rStyle w:val="FootnoteReference"/>
          <w:szCs w:val="20"/>
        </w:rPr>
        <w:footnoteReference w:id="30"/>
      </w:r>
      <w:r w:rsidR="00B471B5" w:rsidRPr="00D82168">
        <w:rPr>
          <w:szCs w:val="20"/>
        </w:rPr>
        <w:t xml:space="preserve"> which makes it harder for ex-offenders to get back on their feet and (re)enter the labour market. </w:t>
      </w:r>
    </w:p>
    <w:p w14:paraId="7BE19CDA" w14:textId="01D409CA" w:rsidR="00B471B5" w:rsidRPr="00D82168" w:rsidRDefault="00B471B5" w:rsidP="00D82168">
      <w:pPr>
        <w:pStyle w:val="BodyText"/>
        <w:ind w:right="-280"/>
        <w:rPr>
          <w:szCs w:val="20"/>
        </w:rPr>
      </w:pPr>
      <w:r w:rsidRPr="00D82168">
        <w:rPr>
          <w:szCs w:val="20"/>
        </w:rPr>
        <w:t xml:space="preserve">This is a </w:t>
      </w:r>
      <w:r w:rsidR="0064176F" w:rsidRPr="00D82168">
        <w:rPr>
          <w:szCs w:val="20"/>
        </w:rPr>
        <w:t>large</w:t>
      </w:r>
      <w:r w:rsidRPr="00D82168">
        <w:rPr>
          <w:szCs w:val="20"/>
        </w:rPr>
        <w:t xml:space="preserve"> and complex problem, and an issue of service coordination, which is much larger than a single service like TWES could resolve. TWES does involve significant coordination between multiple Commonwealth and </w:t>
      </w:r>
      <w:r w:rsidR="00E31274" w:rsidRPr="00D82168">
        <w:rPr>
          <w:szCs w:val="20"/>
        </w:rPr>
        <w:t>s</w:t>
      </w:r>
      <w:r w:rsidRPr="00D82168">
        <w:rPr>
          <w:szCs w:val="20"/>
        </w:rPr>
        <w:t>tate/</w:t>
      </w:r>
      <w:r w:rsidR="00E31274" w:rsidRPr="00D82168">
        <w:rPr>
          <w:szCs w:val="20"/>
        </w:rPr>
        <w:t>t</w:t>
      </w:r>
      <w:r w:rsidRPr="00D82168">
        <w:rPr>
          <w:szCs w:val="20"/>
        </w:rPr>
        <w:t xml:space="preserve">erritory government agencies and contracted providers each playing a role in delivering different elements of the service within prisons. This is a positive outcome. However, TWES appears to face challenges in coordinating services at the point that prisoners’ transition to </w:t>
      </w:r>
      <w:r w:rsidRPr="00D82168">
        <w:rPr>
          <w:i/>
          <w:iCs/>
          <w:szCs w:val="20"/>
        </w:rPr>
        <w:t>outside</w:t>
      </w:r>
      <w:r w:rsidRPr="00D82168">
        <w:rPr>
          <w:szCs w:val="20"/>
        </w:rPr>
        <w:t xml:space="preserve"> prison. With only </w:t>
      </w:r>
      <w:r w:rsidR="00AB4FA6" w:rsidRPr="00D82168">
        <w:rPr>
          <w:szCs w:val="20"/>
        </w:rPr>
        <w:t>13%</w:t>
      </w:r>
      <w:r w:rsidR="001C3D30" w:rsidRPr="00D82168">
        <w:rPr>
          <w:szCs w:val="20"/>
        </w:rPr>
        <w:t xml:space="preserve"> </w:t>
      </w:r>
      <w:r w:rsidRPr="00D82168">
        <w:rPr>
          <w:szCs w:val="20"/>
        </w:rPr>
        <w:t xml:space="preserve">of TWES participants receiving a </w:t>
      </w:r>
      <w:r w:rsidR="00FA4C85" w:rsidRPr="00D82168">
        <w:rPr>
          <w:spacing w:val="-5"/>
          <w:szCs w:val="20"/>
        </w:rPr>
        <w:t>Facilitated Transfer Meeting</w:t>
      </w:r>
      <w:r w:rsidRPr="00D82168">
        <w:rPr>
          <w:szCs w:val="20"/>
        </w:rPr>
        <w:t xml:space="preserve">, coordinating the continuity of employment supports at this critical transition point appears to fall short for many TWES participants. </w:t>
      </w:r>
    </w:p>
    <w:p w14:paraId="12BE2B6B" w14:textId="57B0757E" w:rsidR="00956009" w:rsidRPr="00D82168" w:rsidRDefault="00B471B5" w:rsidP="00D82168">
      <w:pPr>
        <w:pStyle w:val="BodyText"/>
        <w:ind w:right="-280"/>
        <w:rPr>
          <w:spacing w:val="-1"/>
          <w:szCs w:val="20"/>
        </w:rPr>
      </w:pPr>
      <w:r w:rsidRPr="00D82168">
        <w:rPr>
          <w:szCs w:val="20"/>
        </w:rPr>
        <w:t xml:space="preserve">Furthermore, as </w:t>
      </w:r>
      <w:r w:rsidRPr="00D82168">
        <w:rPr>
          <w:i/>
          <w:iCs/>
          <w:szCs w:val="20"/>
        </w:rPr>
        <w:t>Prison to Work</w:t>
      </w:r>
      <w:r w:rsidRPr="00D82168">
        <w:rPr>
          <w:szCs w:val="20"/>
        </w:rPr>
        <w:t xml:space="preserve"> identified, many Aboriginal and Torres Strait Islander ex-offenders experience multiple and complex factors of disadvantage that can present barriers to employment and reintegrating with community life – such as housing, mental health, and alcohol and other drugs. TWES includes mechanisms to identify these needs and document them in a transition plan, and TWES </w:t>
      </w:r>
      <w:r w:rsidR="00C9076E" w:rsidRPr="00D82168">
        <w:rPr>
          <w:szCs w:val="20"/>
        </w:rPr>
        <w:t xml:space="preserve">providers </w:t>
      </w:r>
      <w:r w:rsidRPr="00D82168">
        <w:rPr>
          <w:szCs w:val="20"/>
        </w:rPr>
        <w:t xml:space="preserve">are encouraged to coordinate with complementary services in prisons to provide required supports. However, evaluation findings suggest that the extent to which TWES </w:t>
      </w:r>
      <w:r w:rsidR="00C9076E" w:rsidRPr="00D82168">
        <w:rPr>
          <w:szCs w:val="20"/>
        </w:rPr>
        <w:t xml:space="preserve">providers </w:t>
      </w:r>
      <w:r w:rsidRPr="00D82168">
        <w:rPr>
          <w:szCs w:val="20"/>
        </w:rPr>
        <w:t>take a holistic view of TWES participants</w:t>
      </w:r>
      <w:r w:rsidR="00C514FD" w:rsidRPr="00D82168">
        <w:rPr>
          <w:szCs w:val="20"/>
        </w:rPr>
        <w:t>’</w:t>
      </w:r>
      <w:r w:rsidRPr="00D82168">
        <w:rPr>
          <w:szCs w:val="20"/>
        </w:rPr>
        <w:t xml:space="preserve"> needs, and how they coordinate with other support services to meet participants</w:t>
      </w:r>
      <w:r w:rsidR="00C514FD" w:rsidRPr="00D82168">
        <w:rPr>
          <w:szCs w:val="20"/>
        </w:rPr>
        <w:t>’</w:t>
      </w:r>
      <w:r w:rsidRPr="00D82168">
        <w:rPr>
          <w:szCs w:val="20"/>
        </w:rPr>
        <w:t xml:space="preserve"> needs, may depend on the </w:t>
      </w:r>
      <w:r w:rsidR="00C9076E" w:rsidRPr="00D82168">
        <w:rPr>
          <w:szCs w:val="20"/>
        </w:rPr>
        <w:t xml:space="preserve">providers’ </w:t>
      </w:r>
      <w:r w:rsidRPr="00D82168">
        <w:rPr>
          <w:szCs w:val="20"/>
        </w:rPr>
        <w:t xml:space="preserve">mindset, values and knowledge. </w:t>
      </w:r>
      <w:r w:rsidR="006A5395" w:rsidRPr="00D82168">
        <w:rPr>
          <w:szCs w:val="20"/>
        </w:rPr>
        <w:br/>
      </w:r>
    </w:p>
    <w:p w14:paraId="026A2DCF" w14:textId="45105AD4" w:rsidR="00F05CAD" w:rsidRDefault="00F05CAD" w:rsidP="00305B4B">
      <w:pPr>
        <w:pStyle w:val="BodyText"/>
        <w:ind w:right="3"/>
      </w:pPr>
      <w:r>
        <w:rPr>
          <w:noProof/>
        </w:rPr>
        <w:lastRenderedPageBreak/>
        <mc:AlternateContent>
          <mc:Choice Requires="wps">
            <w:drawing>
              <wp:inline distT="0" distB="0" distL="0" distR="0" wp14:anchorId="1F795FFE" wp14:editId="6F5EE6D1">
                <wp:extent cx="6303010" cy="1676400"/>
                <wp:effectExtent l="0" t="0" r="0" b="0"/>
                <wp:docPr id="1623174867" name="Text Box 1623174867"/>
                <wp:cNvGraphicFramePr/>
                <a:graphic xmlns:a="http://schemas.openxmlformats.org/drawingml/2006/main">
                  <a:graphicData uri="http://schemas.microsoft.com/office/word/2010/wordprocessingShape">
                    <wps:wsp>
                      <wps:cNvSpPr txBox="1"/>
                      <wps:spPr>
                        <a:xfrm>
                          <a:off x="0" y="0"/>
                          <a:ext cx="6303010" cy="1676400"/>
                        </a:xfrm>
                        <a:prstGeom prst="rect">
                          <a:avLst/>
                        </a:prstGeom>
                        <a:solidFill>
                          <a:schemeClr val="accent4">
                            <a:lumMod val="20000"/>
                            <a:lumOff val="80000"/>
                          </a:schemeClr>
                        </a:solidFill>
                        <a:ln w="6350">
                          <a:noFill/>
                        </a:ln>
                      </wps:spPr>
                      <wps:txbx>
                        <w:txbxContent>
                          <w:p w14:paraId="5085CB23" w14:textId="77777777" w:rsidR="00F05CAD" w:rsidRPr="00692067" w:rsidRDefault="00F05CAD" w:rsidP="00F05CAD">
                            <w:pPr>
                              <w:pStyle w:val="BodyText"/>
                              <w:ind w:right="3"/>
                            </w:pPr>
                            <w:r w:rsidRPr="00692067">
                              <w:rPr>
                                <w:b/>
                                <w:bCs/>
                              </w:rPr>
                              <w:t>Key Finding #10:</w:t>
                            </w:r>
                            <w:r>
                              <w:t xml:space="preserve"> </w:t>
                            </w:r>
                            <w:r w:rsidRPr="00692067">
                              <w:t>Commonwealth and state/territory governments need to address data limitations and data linkages to enable the evaluation of employment, recidivism and other long-term outcomes.</w:t>
                            </w:r>
                          </w:p>
                          <w:p w14:paraId="37CEF095" w14:textId="77777777" w:rsidR="00F05CAD" w:rsidRPr="00692067" w:rsidRDefault="00F05CAD" w:rsidP="00F05CAD">
                            <w:pPr>
                              <w:pStyle w:val="BodyText"/>
                              <w:ind w:right="3"/>
                            </w:pPr>
                            <w:r w:rsidRPr="00692067">
                              <w:t xml:space="preserve">Options for consideration: </w:t>
                            </w:r>
                          </w:p>
                          <w:p w14:paraId="4EBD8E36" w14:textId="18F04911" w:rsidR="00F05CAD" w:rsidRPr="00F05CAD" w:rsidRDefault="00F05CAD" w:rsidP="00F05CAD">
                            <w:pPr>
                              <w:pStyle w:val="Numberedlist"/>
                            </w:pPr>
                            <w:r w:rsidRPr="00F014F2">
                              <w:t>This finding reinforces the actions identified in Prison to Work for the NIAA, DESE, Services Australia and state/territory governments to establish a data linkage project to link data from the prison, employment and welfare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795FFE" id="Text Box 1623174867" o:spid="_x0000_s1057" type="#_x0000_t202" style="width:496.3pt;height:1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" fillcolor="#f1ede4 [663]" stroked="f" strokeweight=".5pt">
                <v:textbox>
                  <w:txbxContent>
                    <w:p w14:paraId="5085CB23" w14:textId="77777777" w:rsidR="00F05CAD" w:rsidRPr="00692067" w:rsidRDefault="00F05CAD" w:rsidP="00F05CAD">
                      <w:pPr>
                        <w:pStyle w:val="BodyText"/>
                        <w:ind w:right="3"/>
                      </w:pPr>
                      <w:r w:rsidRPr="00692067">
                        <w:rPr>
                          <w:b/>
                          <w:bCs/>
                        </w:rPr>
                        <w:t>Key Finding #10:</w:t>
                      </w:r>
                      <w:r>
                        <w:t xml:space="preserve"> </w:t>
                      </w:r>
                      <w:r w:rsidRPr="00692067">
                        <w:t xml:space="preserve">Commonwealth and state/territory governments need to address data limitations and data linkages to enable the evaluation of employment, </w:t>
                      </w:r>
                      <w:proofErr w:type="gramStart"/>
                      <w:r w:rsidRPr="00692067">
                        <w:t>recidivism</w:t>
                      </w:r>
                      <w:proofErr w:type="gramEnd"/>
                      <w:r w:rsidRPr="00692067">
                        <w:t xml:space="preserve"> and other long-term outcomes.</w:t>
                      </w:r>
                    </w:p>
                    <w:p w14:paraId="37CEF095" w14:textId="77777777" w:rsidR="00F05CAD" w:rsidRPr="00692067" w:rsidRDefault="00F05CAD" w:rsidP="00F05CAD">
                      <w:pPr>
                        <w:pStyle w:val="BodyText"/>
                        <w:ind w:right="3"/>
                      </w:pPr>
                      <w:r w:rsidRPr="00692067">
                        <w:t xml:space="preserve">Options for consideration: </w:t>
                      </w:r>
                    </w:p>
                    <w:p w14:paraId="4EBD8E36" w14:textId="18F04911" w:rsidR="00F05CAD" w:rsidRPr="00F05CAD" w:rsidRDefault="00F05CAD" w:rsidP="00F05CAD">
                      <w:pPr>
                        <w:pStyle w:val="Numberedlist"/>
                      </w:pPr>
                      <w:r w:rsidRPr="00F014F2">
                        <w:t xml:space="preserve">This finding reinforces the actions identified in Prison to Work for the NIAA, DESE, Services Australia and state/territory governments to establish a data linkage project to link data from the prison, </w:t>
                      </w:r>
                      <w:proofErr w:type="gramStart"/>
                      <w:r w:rsidRPr="00F014F2">
                        <w:t>employment</w:t>
                      </w:r>
                      <w:proofErr w:type="gramEnd"/>
                      <w:r w:rsidRPr="00F014F2">
                        <w:t xml:space="preserve"> and welfare systems.</w:t>
                      </w:r>
                    </w:p>
                  </w:txbxContent>
                </v:textbox>
                <w10:anchorlock/>
              </v:shape>
            </w:pict>
          </mc:Fallback>
        </mc:AlternateContent>
      </w:r>
    </w:p>
    <w:p w14:paraId="065EE65E" w14:textId="0BB74FC9" w:rsidR="005F0DE0" w:rsidRDefault="00AF2CA0" w:rsidP="00305B4B">
      <w:pPr>
        <w:pStyle w:val="BodyText"/>
        <w:ind w:right="3"/>
      </w:pPr>
      <w:r>
        <w:t>This evaluation attempted</w:t>
      </w:r>
      <w:r w:rsidR="00592416">
        <w:t xml:space="preserve"> to</w:t>
      </w:r>
      <w:r>
        <w:t xml:space="preserve"> measure the impact of TWES participation on employment outcomes by comparing employment outcomes between samples of TWES participants and non-participants (see page </w:t>
      </w:r>
      <w:r w:rsidR="0027087B">
        <w:fldChar w:fldCharType="begin"/>
      </w:r>
      <w:r w:rsidR="0027087B">
        <w:instrText xml:space="preserve"> PAGEREF _Ref72793588 \h </w:instrText>
      </w:r>
      <w:r w:rsidR="0027087B">
        <w:fldChar w:fldCharType="separate"/>
      </w:r>
      <w:r w:rsidR="00B624F4">
        <w:rPr>
          <w:noProof/>
        </w:rPr>
        <w:t>52</w:t>
      </w:r>
      <w:r w:rsidR="0027087B">
        <w:fldChar w:fldCharType="end"/>
      </w:r>
      <w:r>
        <w:t>).</w:t>
      </w:r>
      <w:r w:rsidR="0027087B">
        <w:t xml:space="preserve"> The analysis was not successful. </w:t>
      </w:r>
    </w:p>
    <w:p w14:paraId="3E380F28" w14:textId="10EB04D2" w:rsidR="00E953BB" w:rsidRDefault="00AF2CA0" w:rsidP="00305B4B">
      <w:pPr>
        <w:pStyle w:val="BodyText"/>
        <w:ind w:right="3"/>
      </w:pPr>
      <w:r>
        <w:t xml:space="preserve">Creating a valid counterfactual would require </w:t>
      </w:r>
      <w:r w:rsidR="00E06F48">
        <w:t>accessing data to create</w:t>
      </w:r>
      <w:r>
        <w:t xml:space="preserve"> </w:t>
      </w:r>
      <w:r w:rsidR="00184BD6">
        <w:t xml:space="preserve">a control group of </w:t>
      </w:r>
      <w:r>
        <w:t xml:space="preserve">pre-release prisoners who were eligible for TWES, but did not participate in the service. It was not possible to access this data – data on prisoners and prisons is owned by </w:t>
      </w:r>
      <w:r w:rsidR="00B63B84">
        <w:t>state</w:t>
      </w:r>
      <w:r>
        <w:t>/</w:t>
      </w:r>
      <w:r w:rsidR="00B63B84">
        <w:t xml:space="preserve">territory </w:t>
      </w:r>
      <w:r w:rsidR="00E06F48">
        <w:t>g</w:t>
      </w:r>
      <w:r>
        <w:t xml:space="preserve">overnments and could not be accessed. As a substitute, the comparison was attempted using data available to the Commonwealth Government on the </w:t>
      </w:r>
      <w:r w:rsidR="004339E3">
        <w:t>ESS</w:t>
      </w:r>
      <w:r>
        <w:t xml:space="preserve"> database, but the results were inconclusive as the comparison group was </w:t>
      </w:r>
      <w:r w:rsidR="00184BD6">
        <w:t>not directly comparable</w:t>
      </w:r>
      <w:r w:rsidR="000A586E">
        <w:t>.</w:t>
      </w:r>
      <w:r w:rsidR="00407946">
        <w:t xml:space="preserve"> </w:t>
      </w:r>
      <w:r>
        <w:t xml:space="preserve">Measuring the impact of programs like TWES on long-term outcomes will require significant investment in linking data between Commonwealth and </w:t>
      </w:r>
      <w:r w:rsidR="00B63B84">
        <w:t>state</w:t>
      </w:r>
      <w:r>
        <w:t>/</w:t>
      </w:r>
      <w:r w:rsidR="00B63B84">
        <w:t xml:space="preserve">territory </w:t>
      </w:r>
      <w:r w:rsidR="004339E3">
        <w:t>g</w:t>
      </w:r>
      <w:r>
        <w:t>overnment agencies.</w:t>
      </w:r>
    </w:p>
    <w:p w14:paraId="7D59C4DA" w14:textId="1BB7C45A" w:rsidR="00D801EB" w:rsidRDefault="00E21086" w:rsidP="00305B4B">
      <w:pPr>
        <w:pStyle w:val="Heading3"/>
        <w:ind w:right="3"/>
      </w:pPr>
      <w:r>
        <w:t>What are the enablers</w:t>
      </w:r>
      <w:r w:rsidR="00AA2D3E">
        <w:t xml:space="preserve"> and barriers of success for</w:t>
      </w:r>
      <w:r>
        <w:t xml:space="preserve"> TWES?</w:t>
      </w:r>
    </w:p>
    <w:p w14:paraId="3B16538E" w14:textId="264FED6F" w:rsidR="002C07CE" w:rsidRPr="00692067" w:rsidRDefault="00DA2F65" w:rsidP="00305B4B">
      <w:pPr>
        <w:pStyle w:val="BodyText"/>
        <w:ind w:right="3"/>
      </w:pPr>
      <w:r w:rsidRPr="00692067">
        <w:t xml:space="preserve">The findings presented </w:t>
      </w:r>
      <w:r w:rsidR="005F163D" w:rsidRPr="00692067">
        <w:t xml:space="preserve">in </w:t>
      </w:r>
      <w:r w:rsidR="008E61DA" w:rsidRPr="00692067">
        <w:t xml:space="preserve">this evaluation report </w:t>
      </w:r>
      <w:r w:rsidRPr="00692067">
        <w:t xml:space="preserve">identify a number of enablers and barriers that have affected the ability of </w:t>
      </w:r>
      <w:r w:rsidR="005F163D" w:rsidRPr="00692067">
        <w:t xml:space="preserve">TWES </w:t>
      </w:r>
      <w:r w:rsidR="00C9076E" w:rsidRPr="00692067">
        <w:t xml:space="preserve">providers </w:t>
      </w:r>
      <w:r w:rsidRPr="00692067">
        <w:t xml:space="preserve">to implement TWES successfully and deliver </w:t>
      </w:r>
      <w:r w:rsidR="005F163D" w:rsidRPr="00692067">
        <w:t>outcomes for participants</w:t>
      </w:r>
      <w:r w:rsidR="00C066B2" w:rsidRPr="00692067">
        <w:t xml:space="preserve">. The identification of these enablers and barriers has informed the </w:t>
      </w:r>
      <w:r w:rsidR="0055480B" w:rsidRPr="00692067">
        <w:t xml:space="preserve">development of </w:t>
      </w:r>
      <w:r w:rsidR="007A52D8" w:rsidRPr="00692067">
        <w:t xml:space="preserve">options for consideration under each Key Finding </w:t>
      </w:r>
      <w:r w:rsidR="007231B5" w:rsidRPr="00692067">
        <w:t xml:space="preserve">presented in this </w:t>
      </w:r>
      <w:r w:rsidR="007A52D8" w:rsidRPr="00692067">
        <w:t>report</w:t>
      </w:r>
      <w:r w:rsidR="0055480B" w:rsidRPr="00692067">
        <w:t xml:space="preserve">. </w:t>
      </w:r>
      <w:r w:rsidR="00672448" w:rsidRPr="00692067">
        <w:t xml:space="preserve">The </w:t>
      </w:r>
      <w:r w:rsidR="00C066B2" w:rsidRPr="00692067">
        <w:t xml:space="preserve">enablers and barriers are brought together and summarised below. </w:t>
      </w:r>
    </w:p>
    <w:p w14:paraId="02BC31C3" w14:textId="5E9D29BD" w:rsidR="00AA2D3E" w:rsidRDefault="00AA2D3E" w:rsidP="00305B4B">
      <w:pPr>
        <w:pStyle w:val="Heading4"/>
        <w:ind w:right="3"/>
      </w:pPr>
      <w:r w:rsidRPr="00692067">
        <w:t>Enablers</w:t>
      </w:r>
    </w:p>
    <w:p w14:paraId="369D81AB" w14:textId="502027B8" w:rsidR="000A275A" w:rsidRPr="006751B6" w:rsidRDefault="006751B6" w:rsidP="00305B4B">
      <w:pPr>
        <w:pStyle w:val="BodyText"/>
        <w:ind w:right="3"/>
      </w:pPr>
      <w:r>
        <w:t>Enablers</w:t>
      </w:r>
      <w:r w:rsidRPr="00FF3D15">
        <w:rPr>
          <w:spacing w:val="-5"/>
        </w:rPr>
        <w:t xml:space="preserve"> </w:t>
      </w:r>
      <w:r>
        <w:t>are</w:t>
      </w:r>
      <w:r w:rsidRPr="00FF3D15">
        <w:rPr>
          <w:spacing w:val="-6"/>
        </w:rPr>
        <w:t xml:space="preserve"> </w:t>
      </w:r>
      <w:r>
        <w:t>defined</w:t>
      </w:r>
      <w:r w:rsidRPr="00FF3D15">
        <w:rPr>
          <w:spacing w:val="-6"/>
        </w:rPr>
        <w:t xml:space="preserve"> </w:t>
      </w:r>
      <w:r>
        <w:t>as</w:t>
      </w:r>
      <w:r w:rsidRPr="00FF3D15">
        <w:rPr>
          <w:spacing w:val="-5"/>
        </w:rPr>
        <w:t xml:space="preserve"> </w:t>
      </w:r>
      <w:r>
        <w:t>success</w:t>
      </w:r>
      <w:r w:rsidRPr="00FF3D15">
        <w:rPr>
          <w:spacing w:val="-5"/>
        </w:rPr>
        <w:t xml:space="preserve"> </w:t>
      </w:r>
      <w:r>
        <w:t>factors</w:t>
      </w:r>
      <w:r w:rsidRPr="00FF3D15">
        <w:rPr>
          <w:spacing w:val="-2"/>
        </w:rPr>
        <w:t xml:space="preserve"> </w:t>
      </w:r>
      <w:r>
        <w:t>–</w:t>
      </w:r>
      <w:r w:rsidRPr="00FF3D15">
        <w:rPr>
          <w:spacing w:val="-6"/>
        </w:rPr>
        <w:t xml:space="preserve"> </w:t>
      </w:r>
      <w:r>
        <w:t>factors</w:t>
      </w:r>
      <w:r w:rsidRPr="00FF3D15">
        <w:rPr>
          <w:spacing w:val="-5"/>
        </w:rPr>
        <w:t xml:space="preserve"> </w:t>
      </w:r>
      <w:r w:rsidRPr="00FF3D15">
        <w:rPr>
          <w:spacing w:val="-1"/>
        </w:rPr>
        <w:t>that</w:t>
      </w:r>
      <w:r w:rsidRPr="00FF3D15">
        <w:rPr>
          <w:spacing w:val="-4"/>
        </w:rPr>
        <w:t xml:space="preserve"> </w:t>
      </w:r>
      <w:r w:rsidRPr="00FF3D15">
        <w:t>enabled</w:t>
      </w:r>
      <w:r w:rsidRPr="00FF3D15">
        <w:rPr>
          <w:spacing w:val="-7"/>
        </w:rPr>
        <w:t xml:space="preserve"> </w:t>
      </w:r>
      <w:r w:rsidR="00672448">
        <w:rPr>
          <w:spacing w:val="-7"/>
        </w:rPr>
        <w:t xml:space="preserve">TWES </w:t>
      </w:r>
      <w:r w:rsidR="00C9076E">
        <w:rPr>
          <w:spacing w:val="-7"/>
        </w:rPr>
        <w:t xml:space="preserve">providers </w:t>
      </w:r>
      <w:r w:rsidR="00672448">
        <w:rPr>
          <w:spacing w:val="-7"/>
        </w:rPr>
        <w:t xml:space="preserve">to </w:t>
      </w:r>
      <w:r w:rsidR="008353CB">
        <w:rPr>
          <w:spacing w:val="-7"/>
        </w:rPr>
        <w:t xml:space="preserve">deliver </w:t>
      </w:r>
      <w:r w:rsidR="000F77C3">
        <w:rPr>
          <w:spacing w:val="-7"/>
        </w:rPr>
        <w:t>the service successfully</w:t>
      </w:r>
      <w:r>
        <w:t>.</w:t>
      </w:r>
      <w:r w:rsidR="00C71B61" w:rsidRPr="00FF3D15">
        <w:rPr>
          <w:spacing w:val="-6"/>
        </w:rPr>
        <w:t xml:space="preserve"> </w:t>
      </w:r>
      <w:r w:rsidR="00AB28D7" w:rsidRPr="00FF3D15">
        <w:rPr>
          <w:spacing w:val="1"/>
        </w:rPr>
        <w:t>The</w:t>
      </w:r>
      <w:r w:rsidR="00AB28D7" w:rsidRPr="00FF3D15">
        <w:rPr>
          <w:spacing w:val="-5"/>
        </w:rPr>
        <w:t xml:space="preserve"> </w:t>
      </w:r>
      <w:r w:rsidR="00AB28D7">
        <w:t>evaluation</w:t>
      </w:r>
      <w:r w:rsidR="00AB28D7" w:rsidRPr="00FF3D15">
        <w:rPr>
          <w:spacing w:val="27"/>
          <w:w w:val="99"/>
        </w:rPr>
        <w:t xml:space="preserve"> </w:t>
      </w:r>
      <w:r w:rsidR="00AB28D7">
        <w:t>identified</w:t>
      </w:r>
      <w:r w:rsidR="00AB28D7" w:rsidRPr="00FF3D15">
        <w:rPr>
          <w:spacing w:val="-8"/>
        </w:rPr>
        <w:t xml:space="preserve"> </w:t>
      </w:r>
      <w:r w:rsidR="00AB28D7">
        <w:t>enablers</w:t>
      </w:r>
      <w:r w:rsidR="00AB28D7" w:rsidRPr="00FF3D15">
        <w:rPr>
          <w:spacing w:val="-6"/>
        </w:rPr>
        <w:t xml:space="preserve"> </w:t>
      </w:r>
      <w:r w:rsidR="00AB28D7" w:rsidRPr="00FF3D15">
        <w:rPr>
          <w:spacing w:val="-1"/>
        </w:rPr>
        <w:t>related</w:t>
      </w:r>
      <w:r w:rsidR="00AB28D7" w:rsidRPr="00FF3D15">
        <w:rPr>
          <w:spacing w:val="-5"/>
        </w:rPr>
        <w:t xml:space="preserve"> </w:t>
      </w:r>
      <w:r w:rsidR="00AB28D7">
        <w:t>to</w:t>
      </w:r>
      <w:r w:rsidR="00AB28D7" w:rsidRPr="00FF3D15">
        <w:rPr>
          <w:spacing w:val="-6"/>
        </w:rPr>
        <w:t xml:space="preserve"> </w:t>
      </w:r>
      <w:r w:rsidR="00C85B3C">
        <w:t>the</w:t>
      </w:r>
      <w:r w:rsidR="00C85B3C" w:rsidRPr="00FF3D15">
        <w:rPr>
          <w:spacing w:val="-6"/>
        </w:rPr>
        <w:t xml:space="preserve"> </w:t>
      </w:r>
      <w:r w:rsidR="00C85B3C">
        <w:t>prison</w:t>
      </w:r>
      <w:r w:rsidR="00C85B3C" w:rsidRPr="00FF3D15">
        <w:rPr>
          <w:spacing w:val="-5"/>
        </w:rPr>
        <w:t xml:space="preserve"> </w:t>
      </w:r>
      <w:r w:rsidR="00C85B3C">
        <w:t>context</w:t>
      </w:r>
      <w:r w:rsidR="00C85B3C" w:rsidRPr="00FF3D15">
        <w:rPr>
          <w:spacing w:val="-8"/>
        </w:rPr>
        <w:t xml:space="preserve"> </w:t>
      </w:r>
      <w:r w:rsidR="00C85B3C">
        <w:t>and</w:t>
      </w:r>
      <w:r w:rsidR="00C85B3C" w:rsidRPr="00FF3D15">
        <w:rPr>
          <w:spacing w:val="-6"/>
        </w:rPr>
        <w:t xml:space="preserve"> </w:t>
      </w:r>
      <w:r w:rsidR="00980E7B">
        <w:t>TWES</w:t>
      </w:r>
      <w:r w:rsidR="00980E7B" w:rsidRPr="00FF3D15">
        <w:rPr>
          <w:spacing w:val="-7"/>
        </w:rPr>
        <w:t xml:space="preserve"> </w:t>
      </w:r>
      <w:r w:rsidR="00C9076E">
        <w:rPr>
          <w:spacing w:val="-1"/>
        </w:rPr>
        <w:t>p</w:t>
      </w:r>
      <w:r w:rsidR="00C9076E" w:rsidRPr="00FF3D15">
        <w:rPr>
          <w:spacing w:val="-1"/>
        </w:rPr>
        <w:t>roviders</w:t>
      </w:r>
      <w:r w:rsidR="00C9076E" w:rsidRPr="00FF3D15">
        <w:rPr>
          <w:spacing w:val="-6"/>
        </w:rPr>
        <w:t xml:space="preserve"> </w:t>
      </w:r>
      <w:r w:rsidR="00980E7B">
        <w:t>themselves.</w:t>
      </w:r>
      <w:r w:rsidR="00980E7B" w:rsidRPr="00FF3D15">
        <w:rPr>
          <w:spacing w:val="-7"/>
        </w:rPr>
        <w:t xml:space="preserve"> </w:t>
      </w:r>
      <w:r w:rsidR="00D50928">
        <w:t>The</w:t>
      </w:r>
      <w:r w:rsidR="00D50928" w:rsidRPr="00FF3D15">
        <w:rPr>
          <w:spacing w:val="-8"/>
        </w:rPr>
        <w:t xml:space="preserve"> </w:t>
      </w:r>
      <w:r w:rsidR="00D50928">
        <w:t xml:space="preserve">successful </w:t>
      </w:r>
      <w:r w:rsidR="003743E1">
        <w:t>delivery</w:t>
      </w:r>
      <w:r w:rsidR="00D50928" w:rsidRPr="00FF3D15">
        <w:rPr>
          <w:spacing w:val="-5"/>
        </w:rPr>
        <w:t xml:space="preserve"> </w:t>
      </w:r>
      <w:r w:rsidR="00D50928">
        <w:t>of</w:t>
      </w:r>
      <w:r w:rsidR="00D50928" w:rsidRPr="00FF3D15">
        <w:rPr>
          <w:spacing w:val="-7"/>
        </w:rPr>
        <w:t xml:space="preserve"> </w:t>
      </w:r>
      <w:r w:rsidR="00D50928">
        <w:t>TWES</w:t>
      </w:r>
      <w:r w:rsidR="00D50928" w:rsidRPr="00FF3D15">
        <w:rPr>
          <w:spacing w:val="-6"/>
        </w:rPr>
        <w:t xml:space="preserve"> </w:t>
      </w:r>
      <w:r w:rsidR="00D50928">
        <w:t>was</w:t>
      </w:r>
      <w:r w:rsidR="00D50928" w:rsidRPr="00FF3D15">
        <w:rPr>
          <w:spacing w:val="-4"/>
        </w:rPr>
        <w:t xml:space="preserve"> </w:t>
      </w:r>
      <w:r w:rsidR="00D50928" w:rsidRPr="00FF3D15">
        <w:rPr>
          <w:spacing w:val="-1"/>
        </w:rPr>
        <w:t>enabled</w:t>
      </w:r>
      <w:r w:rsidR="00D50928" w:rsidRPr="00FF3D15">
        <w:rPr>
          <w:spacing w:val="-6"/>
        </w:rPr>
        <w:t xml:space="preserve"> </w:t>
      </w:r>
      <w:r w:rsidR="00D50928">
        <w:t>in</w:t>
      </w:r>
      <w:r w:rsidR="00D50928" w:rsidRPr="00FF3D15">
        <w:rPr>
          <w:spacing w:val="-7"/>
        </w:rPr>
        <w:t xml:space="preserve"> </w:t>
      </w:r>
      <w:r w:rsidR="00D50928">
        <w:t>prisons</w:t>
      </w:r>
      <w:r w:rsidR="00D50928" w:rsidRPr="00FF3D15">
        <w:rPr>
          <w:spacing w:val="-3"/>
        </w:rPr>
        <w:t xml:space="preserve"> </w:t>
      </w:r>
      <w:r w:rsidR="00FD6CC7">
        <w:t>where</w:t>
      </w:r>
      <w:r w:rsidR="00D50928">
        <w:t>:</w:t>
      </w:r>
    </w:p>
    <w:p w14:paraId="21116564" w14:textId="3711AE8D" w:rsidR="006751B6" w:rsidRPr="00D82168" w:rsidRDefault="00492AF5" w:rsidP="000C3506">
      <w:pPr>
        <w:pStyle w:val="Numberedlist"/>
        <w:numPr>
          <w:ilvl w:val="0"/>
          <w:numId w:val="44"/>
        </w:numPr>
        <w:ind w:left="709"/>
      </w:pPr>
      <w:r w:rsidRPr="00D82168">
        <w:t>Prisons</w:t>
      </w:r>
      <w:r w:rsidR="00A77FB8" w:rsidRPr="00D82168">
        <w:t xml:space="preserve"> have fewer </w:t>
      </w:r>
      <w:r w:rsidR="00D50928" w:rsidRPr="00D82168">
        <w:t>security restrictions</w:t>
      </w:r>
      <w:r w:rsidR="00300FD8" w:rsidRPr="00D82168">
        <w:t xml:space="preserve"> that pre</w:t>
      </w:r>
      <w:r w:rsidR="00EB2833" w:rsidRPr="00D82168">
        <w:t xml:space="preserve">vent TWES </w:t>
      </w:r>
      <w:r w:rsidR="00467A51" w:rsidRPr="00D82168">
        <w:t>provider</w:t>
      </w:r>
      <w:r w:rsidR="00EB2833" w:rsidRPr="00D82168">
        <w:t xml:space="preserve"> access</w:t>
      </w:r>
      <w:r w:rsidR="00D50928" w:rsidRPr="00D82168">
        <w:t xml:space="preserve">: </w:t>
      </w:r>
      <w:r w:rsidR="00DE5559" w:rsidRPr="00D82168">
        <w:t>TWES</w:t>
      </w:r>
      <w:r w:rsidR="003F4C6A" w:rsidRPr="00D82168">
        <w:t xml:space="preserve"> </w:t>
      </w:r>
      <w:r w:rsidR="00C9076E" w:rsidRPr="00D82168">
        <w:t xml:space="preserve">providers </w:t>
      </w:r>
      <w:r w:rsidR="003F4C6A" w:rsidRPr="00D82168">
        <w:t xml:space="preserve">found it easier to deliver the service where they had </w:t>
      </w:r>
      <w:r w:rsidR="00DE5559" w:rsidRPr="00D82168">
        <w:t>greater ability to access prisoners and promote and deliver the service more easily</w:t>
      </w:r>
      <w:r w:rsidR="003F4C6A" w:rsidRPr="00D82168">
        <w:t xml:space="preserve">. This also entailed lower costs due to less time required to navigate security </w:t>
      </w:r>
      <w:r w:rsidR="00DB3DA4" w:rsidRPr="00D82168">
        <w:t>protocols</w:t>
      </w:r>
      <w:r w:rsidR="00DE5559" w:rsidRPr="00D82168">
        <w:t>.</w:t>
      </w:r>
      <w:r w:rsidR="00DB3DA4" w:rsidRPr="00D82168">
        <w:t xml:space="preserve"> Delivering TWES </w:t>
      </w:r>
      <w:r w:rsidR="006729A0" w:rsidRPr="00D82168">
        <w:t>may</w:t>
      </w:r>
      <w:r w:rsidR="00DE5559" w:rsidRPr="00D82168">
        <w:t xml:space="preserve"> always be </w:t>
      </w:r>
      <w:r w:rsidR="00DB3DA4" w:rsidRPr="00D82168">
        <w:t>more</w:t>
      </w:r>
      <w:r w:rsidR="00DE5559" w:rsidRPr="00D82168">
        <w:t xml:space="preserve"> challeng</w:t>
      </w:r>
      <w:r w:rsidR="00DB3DA4" w:rsidRPr="00D82168">
        <w:t>ing</w:t>
      </w:r>
      <w:r w:rsidR="00DE5559" w:rsidRPr="00D82168">
        <w:t xml:space="preserve"> in higher security prisons</w:t>
      </w:r>
      <w:r w:rsidR="00FF1477" w:rsidRPr="00D82168">
        <w:t>.</w:t>
      </w:r>
    </w:p>
    <w:p w14:paraId="4CB146D0" w14:textId="5F67EC59" w:rsidR="00E847AA" w:rsidRPr="00D82168" w:rsidRDefault="00E847AA" w:rsidP="007F09E7">
      <w:pPr>
        <w:pStyle w:val="Numberedlist"/>
      </w:pPr>
      <w:r w:rsidRPr="00D82168">
        <w:t xml:space="preserve">Prisons have </w:t>
      </w:r>
      <w:r w:rsidR="00A325A2" w:rsidRPr="00D82168">
        <w:t>more facilities</w:t>
      </w:r>
      <w:r w:rsidR="001451A3" w:rsidRPr="00D82168">
        <w:t xml:space="preserve"> </w:t>
      </w:r>
      <w:r w:rsidR="004109D8" w:rsidRPr="00D82168">
        <w:t xml:space="preserve">available for TWES: </w:t>
      </w:r>
      <w:r w:rsidR="00C07987" w:rsidRPr="00D82168">
        <w:t xml:space="preserve">this includes meeting rooms, phone lines and videoconferencing facilities. Particularly after the </w:t>
      </w:r>
      <w:r w:rsidR="007D27DB" w:rsidRPr="00D82168">
        <w:t>impact of COVID-19, TWES often compete</w:t>
      </w:r>
      <w:r w:rsidR="00F12565" w:rsidRPr="00D82168">
        <w:t>d</w:t>
      </w:r>
      <w:r w:rsidR="007D27DB" w:rsidRPr="00D82168">
        <w:t xml:space="preserve"> with other professional services</w:t>
      </w:r>
      <w:r w:rsidR="00B5663B" w:rsidRPr="00D82168">
        <w:t xml:space="preserve"> for these facilities, including calls with lawyers and courts, as well as calls with family members</w:t>
      </w:r>
      <w:r w:rsidR="00FF1477" w:rsidRPr="00D82168">
        <w:t>.</w:t>
      </w:r>
    </w:p>
    <w:p w14:paraId="5759C4E4" w14:textId="40928F49" w:rsidR="004109D8" w:rsidRPr="00FF3D15" w:rsidRDefault="00753994" w:rsidP="007F09E7">
      <w:pPr>
        <w:pStyle w:val="Numberedlist"/>
      </w:pPr>
      <w:r w:rsidRPr="00D82168">
        <w:t xml:space="preserve">Corrections </w:t>
      </w:r>
      <w:r w:rsidR="000850DA" w:rsidRPr="00D82168">
        <w:t xml:space="preserve">services have </w:t>
      </w:r>
      <w:r w:rsidR="005166BC" w:rsidRPr="00D82168">
        <w:t>resources dedicated to overseeing prisoners</w:t>
      </w:r>
      <w:r w:rsidR="0054406B" w:rsidRPr="00D82168">
        <w:t xml:space="preserve">’ engagement in throughcare services: </w:t>
      </w:r>
      <w:r w:rsidR="00C45CB0" w:rsidRPr="00D82168">
        <w:t xml:space="preserve">Jurisdictions that have resources dedicated to </w:t>
      </w:r>
      <w:r w:rsidR="00470855" w:rsidRPr="00D82168">
        <w:t xml:space="preserve">coordinating </w:t>
      </w:r>
      <w:r w:rsidR="00420F8C" w:rsidRPr="00D82168">
        <w:t>throughcar</w:t>
      </w:r>
      <w:r w:rsidR="00470855" w:rsidRPr="00D82168">
        <w:t>e services m</w:t>
      </w:r>
      <w:r w:rsidR="00420F8C" w:rsidRPr="00D82168">
        <w:t>ay help improve overall coordination of TWES alongside other services, which may support promotion</w:t>
      </w:r>
      <w:r w:rsidR="00420F8C" w:rsidRPr="00FF3D15">
        <w:rPr>
          <w:spacing w:val="-13"/>
        </w:rPr>
        <w:t xml:space="preserve"> </w:t>
      </w:r>
      <w:r w:rsidR="00420F8C" w:rsidRPr="00FF3D15">
        <w:rPr>
          <w:spacing w:val="-1"/>
        </w:rPr>
        <w:t>and</w:t>
      </w:r>
      <w:r w:rsidR="00420F8C" w:rsidRPr="00FF3D15">
        <w:rPr>
          <w:spacing w:val="-11"/>
        </w:rPr>
        <w:t xml:space="preserve"> </w:t>
      </w:r>
      <w:r w:rsidR="00420F8C" w:rsidRPr="00FF3D15">
        <w:t>engagement</w:t>
      </w:r>
      <w:r w:rsidR="00F12565" w:rsidRPr="00FF3D15">
        <w:t>.</w:t>
      </w:r>
    </w:p>
    <w:p w14:paraId="24A90565" w14:textId="16D7E6A4" w:rsidR="00142F6F" w:rsidRPr="00761793" w:rsidRDefault="00C91007" w:rsidP="00305B4B">
      <w:pPr>
        <w:pStyle w:val="BodyText"/>
        <w:ind w:right="3"/>
      </w:pPr>
      <w:r w:rsidRPr="00761793">
        <w:t xml:space="preserve">TWES </w:t>
      </w:r>
      <w:r w:rsidR="00C9076E" w:rsidRPr="00761793">
        <w:t xml:space="preserve">providers </w:t>
      </w:r>
      <w:r w:rsidRPr="00761793">
        <w:t xml:space="preserve">who demonstrated the following characteristics appear to have implemented TWES more successfully: </w:t>
      </w:r>
    </w:p>
    <w:p w14:paraId="0962811A" w14:textId="1EE4E449" w:rsidR="00390EA1" w:rsidRPr="00FF3D15" w:rsidRDefault="00EB33F3" w:rsidP="000C3506">
      <w:pPr>
        <w:pStyle w:val="Numberedlist"/>
        <w:numPr>
          <w:ilvl w:val="0"/>
          <w:numId w:val="45"/>
        </w:numPr>
        <w:ind w:left="709"/>
      </w:pPr>
      <w:r w:rsidRPr="007F09E7">
        <w:rPr>
          <w:b/>
        </w:rPr>
        <w:lastRenderedPageBreak/>
        <w:t xml:space="preserve">Strong skills in building </w:t>
      </w:r>
      <w:r w:rsidR="00DD0E41" w:rsidRPr="007F09E7">
        <w:rPr>
          <w:b/>
        </w:rPr>
        <w:t>positive</w:t>
      </w:r>
      <w:r w:rsidR="00DD0E41" w:rsidRPr="007F09E7">
        <w:rPr>
          <w:b/>
          <w:spacing w:val="-9"/>
        </w:rPr>
        <w:t xml:space="preserve"> </w:t>
      </w:r>
      <w:r w:rsidR="00DD0E41" w:rsidRPr="007F09E7">
        <w:rPr>
          <w:b/>
        </w:rPr>
        <w:t>relationship</w:t>
      </w:r>
      <w:r w:rsidR="00CE7A70" w:rsidRPr="007F09E7">
        <w:rPr>
          <w:b/>
        </w:rPr>
        <w:t>s</w:t>
      </w:r>
      <w:r w:rsidR="00DD0E41" w:rsidRPr="007F09E7">
        <w:rPr>
          <w:b/>
          <w:spacing w:val="-9"/>
        </w:rPr>
        <w:t xml:space="preserve"> </w:t>
      </w:r>
      <w:r w:rsidR="00DD0E41" w:rsidRPr="007F09E7">
        <w:rPr>
          <w:b/>
        </w:rPr>
        <w:t>with</w:t>
      </w:r>
      <w:r w:rsidR="00DD0E41" w:rsidRPr="007F09E7">
        <w:rPr>
          <w:b/>
          <w:spacing w:val="-8"/>
        </w:rPr>
        <w:t xml:space="preserve"> </w:t>
      </w:r>
      <w:r w:rsidR="00DD0E41" w:rsidRPr="007F09E7">
        <w:rPr>
          <w:b/>
        </w:rPr>
        <w:t>prisons:</w:t>
      </w:r>
      <w:r w:rsidR="00DD0E41" w:rsidRPr="007F09E7">
        <w:rPr>
          <w:b/>
          <w:spacing w:val="-8"/>
        </w:rPr>
        <w:t xml:space="preserve"> </w:t>
      </w:r>
      <w:r w:rsidR="00DD0E41" w:rsidRPr="00FF3D15">
        <w:t>TWES</w:t>
      </w:r>
      <w:r w:rsidR="00DD0E41" w:rsidRPr="007F09E7">
        <w:rPr>
          <w:spacing w:val="-9"/>
        </w:rPr>
        <w:t xml:space="preserve"> </w:t>
      </w:r>
      <w:r w:rsidR="00DD0E41" w:rsidRPr="00FF3D15">
        <w:t>was</w:t>
      </w:r>
      <w:r w:rsidR="00DD0E41" w:rsidRPr="007F09E7">
        <w:rPr>
          <w:spacing w:val="-7"/>
        </w:rPr>
        <w:t xml:space="preserve"> </w:t>
      </w:r>
      <w:r w:rsidR="00DD0E41" w:rsidRPr="00FF3D15">
        <w:t>enabled</w:t>
      </w:r>
      <w:r w:rsidR="00DD0E41" w:rsidRPr="007F09E7">
        <w:rPr>
          <w:spacing w:val="-9"/>
        </w:rPr>
        <w:t xml:space="preserve"> </w:t>
      </w:r>
      <w:r w:rsidR="00DD0E41" w:rsidRPr="00FF3D15">
        <w:t>where</w:t>
      </w:r>
      <w:r w:rsidR="00DD0E41" w:rsidRPr="007F09E7">
        <w:rPr>
          <w:spacing w:val="26"/>
          <w:w w:val="99"/>
        </w:rPr>
        <w:t xml:space="preserve"> </w:t>
      </w:r>
      <w:r w:rsidR="00C9076E" w:rsidRPr="007F09E7">
        <w:rPr>
          <w:spacing w:val="-1"/>
        </w:rPr>
        <w:t>providers</w:t>
      </w:r>
      <w:r w:rsidR="00C9076E" w:rsidRPr="007F09E7">
        <w:rPr>
          <w:spacing w:val="-6"/>
        </w:rPr>
        <w:t xml:space="preserve"> </w:t>
      </w:r>
      <w:r w:rsidR="00DD0E41" w:rsidRPr="007F09E7">
        <w:rPr>
          <w:spacing w:val="-1"/>
        </w:rPr>
        <w:t>built</w:t>
      </w:r>
      <w:r w:rsidR="00DD0E41" w:rsidRPr="007F09E7">
        <w:rPr>
          <w:spacing w:val="-6"/>
        </w:rPr>
        <w:t xml:space="preserve"> </w:t>
      </w:r>
      <w:r w:rsidR="00DD0E41" w:rsidRPr="00FF3D15">
        <w:t>positive</w:t>
      </w:r>
      <w:r w:rsidR="00DD0E41" w:rsidRPr="007F09E7">
        <w:rPr>
          <w:spacing w:val="-7"/>
        </w:rPr>
        <w:t xml:space="preserve"> </w:t>
      </w:r>
      <w:r w:rsidR="00DD0E41" w:rsidRPr="00FF3D15">
        <w:t>relationships</w:t>
      </w:r>
      <w:r w:rsidR="00DD0E41" w:rsidRPr="007F09E7">
        <w:rPr>
          <w:spacing w:val="-6"/>
        </w:rPr>
        <w:t xml:space="preserve"> </w:t>
      </w:r>
      <w:r w:rsidR="00DD0E41" w:rsidRPr="00FF3D15">
        <w:t>with</w:t>
      </w:r>
      <w:r w:rsidR="00DD0E41" w:rsidRPr="007F09E7">
        <w:rPr>
          <w:spacing w:val="-5"/>
        </w:rPr>
        <w:t xml:space="preserve"> </w:t>
      </w:r>
      <w:r w:rsidR="00DD0E41" w:rsidRPr="007F09E7">
        <w:rPr>
          <w:spacing w:val="-1"/>
        </w:rPr>
        <w:t>prisons</w:t>
      </w:r>
      <w:r w:rsidR="00390733" w:rsidRPr="007F09E7">
        <w:rPr>
          <w:spacing w:val="-1"/>
        </w:rPr>
        <w:t>.</w:t>
      </w:r>
      <w:r w:rsidR="00DD0E41" w:rsidRPr="007F09E7">
        <w:rPr>
          <w:spacing w:val="-2"/>
        </w:rPr>
        <w:t xml:space="preserve"> </w:t>
      </w:r>
      <w:r w:rsidR="00DD0E41" w:rsidRPr="00FF3D15">
        <w:t>TWES</w:t>
      </w:r>
      <w:r w:rsidR="00DD0E41" w:rsidRPr="007F09E7">
        <w:rPr>
          <w:spacing w:val="-7"/>
        </w:rPr>
        <w:t xml:space="preserve"> </w:t>
      </w:r>
      <w:r w:rsidR="00DD0E41" w:rsidRPr="007F09E7">
        <w:rPr>
          <w:spacing w:val="-1"/>
        </w:rPr>
        <w:t>is</w:t>
      </w:r>
      <w:r w:rsidR="00DD0E41" w:rsidRPr="007F09E7">
        <w:rPr>
          <w:spacing w:val="-6"/>
        </w:rPr>
        <w:t xml:space="preserve"> </w:t>
      </w:r>
      <w:r w:rsidR="00DD0E41" w:rsidRPr="00FF3D15">
        <w:t>challenging</w:t>
      </w:r>
      <w:r w:rsidR="00DD0E41" w:rsidRPr="007F09E7">
        <w:rPr>
          <w:spacing w:val="-7"/>
        </w:rPr>
        <w:t xml:space="preserve"> </w:t>
      </w:r>
      <w:r w:rsidR="00DD0E41" w:rsidRPr="00FF3D15">
        <w:t>to</w:t>
      </w:r>
      <w:r w:rsidR="00DD0E41" w:rsidRPr="007F09E7">
        <w:rPr>
          <w:spacing w:val="-7"/>
        </w:rPr>
        <w:t xml:space="preserve"> </w:t>
      </w:r>
      <w:r w:rsidR="003E34C6">
        <w:t>implement and deliver</w:t>
      </w:r>
      <w:r w:rsidR="00DD0E41">
        <w:t xml:space="preserve"> within</w:t>
      </w:r>
      <w:r w:rsidR="00DD0E41" w:rsidRPr="007F09E7">
        <w:rPr>
          <w:spacing w:val="-6"/>
        </w:rPr>
        <w:t xml:space="preserve"> </w:t>
      </w:r>
      <w:r w:rsidR="00DD0E41" w:rsidRPr="00FF3D15">
        <w:t>prisons,</w:t>
      </w:r>
      <w:r w:rsidR="00DD0E41" w:rsidRPr="007F09E7">
        <w:rPr>
          <w:spacing w:val="-6"/>
        </w:rPr>
        <w:t xml:space="preserve"> </w:t>
      </w:r>
      <w:r w:rsidR="00DD0E41" w:rsidRPr="007F09E7">
        <w:rPr>
          <w:spacing w:val="-1"/>
        </w:rPr>
        <w:t>and</w:t>
      </w:r>
      <w:r w:rsidR="00DD0E41" w:rsidRPr="007F09E7">
        <w:rPr>
          <w:spacing w:val="-6"/>
        </w:rPr>
        <w:t xml:space="preserve"> </w:t>
      </w:r>
      <w:r w:rsidR="00DD0E41" w:rsidRPr="00FF3D15">
        <w:t>each</w:t>
      </w:r>
      <w:r w:rsidR="00DD0E41" w:rsidRPr="007F09E7">
        <w:rPr>
          <w:spacing w:val="-5"/>
        </w:rPr>
        <w:t xml:space="preserve"> </w:t>
      </w:r>
      <w:r w:rsidR="00DD0E41" w:rsidRPr="00FF3D15">
        <w:t>prison</w:t>
      </w:r>
      <w:r w:rsidR="00DD0E41" w:rsidRPr="007F09E7">
        <w:rPr>
          <w:spacing w:val="-8"/>
        </w:rPr>
        <w:t xml:space="preserve"> </w:t>
      </w:r>
      <w:r w:rsidR="00DD0E41" w:rsidRPr="007F09E7">
        <w:rPr>
          <w:spacing w:val="-1"/>
        </w:rPr>
        <w:t>is</w:t>
      </w:r>
      <w:r w:rsidR="00DD0E41" w:rsidRPr="007F09E7">
        <w:rPr>
          <w:spacing w:val="-6"/>
        </w:rPr>
        <w:t xml:space="preserve"> </w:t>
      </w:r>
      <w:r w:rsidR="00DD0E41" w:rsidRPr="00FF3D15">
        <w:t>different.</w:t>
      </w:r>
      <w:r w:rsidR="00DD0E41" w:rsidRPr="007F09E7">
        <w:rPr>
          <w:spacing w:val="-8"/>
        </w:rPr>
        <w:t xml:space="preserve"> </w:t>
      </w:r>
      <w:r w:rsidR="00DD0E41" w:rsidRPr="00FF3D15">
        <w:t>Overcoming</w:t>
      </w:r>
      <w:r w:rsidR="00DD0E41" w:rsidRPr="007F09E7">
        <w:rPr>
          <w:spacing w:val="-7"/>
        </w:rPr>
        <w:t xml:space="preserve"> </w:t>
      </w:r>
      <w:r w:rsidR="00DD0E41" w:rsidRPr="007F09E7">
        <w:rPr>
          <w:spacing w:val="-1"/>
        </w:rPr>
        <w:t>the</w:t>
      </w:r>
      <w:r w:rsidR="00DD0E41" w:rsidRPr="007F09E7">
        <w:rPr>
          <w:spacing w:val="-6"/>
        </w:rPr>
        <w:t xml:space="preserve"> </w:t>
      </w:r>
      <w:r w:rsidR="00DD0E41" w:rsidRPr="00FF3D15">
        <w:t>challenges</w:t>
      </w:r>
      <w:r w:rsidR="00DD0E41" w:rsidRPr="007F09E7">
        <w:rPr>
          <w:spacing w:val="-7"/>
        </w:rPr>
        <w:t xml:space="preserve"> </w:t>
      </w:r>
      <w:r w:rsidR="00DD0E41" w:rsidRPr="00FF3D15">
        <w:t>to</w:t>
      </w:r>
      <w:r w:rsidR="00DD0E41" w:rsidRPr="007F09E7">
        <w:rPr>
          <w:spacing w:val="-7"/>
        </w:rPr>
        <w:t xml:space="preserve"> </w:t>
      </w:r>
      <w:r w:rsidR="00DD0E41" w:rsidRPr="00FF3D15">
        <w:t>implementation</w:t>
      </w:r>
      <w:r w:rsidR="003E34C6">
        <w:t xml:space="preserve"> and delivery</w:t>
      </w:r>
      <w:r w:rsidR="00DD0E41" w:rsidRPr="007F09E7">
        <w:rPr>
          <w:spacing w:val="44"/>
          <w:w w:val="99"/>
        </w:rPr>
        <w:t xml:space="preserve"> </w:t>
      </w:r>
      <w:r w:rsidR="00DD0E41" w:rsidRPr="00FF3D15">
        <w:t>rested</w:t>
      </w:r>
      <w:r w:rsidR="00DD0E41" w:rsidRPr="007F09E7">
        <w:rPr>
          <w:spacing w:val="-8"/>
        </w:rPr>
        <w:t xml:space="preserve"> </w:t>
      </w:r>
      <w:r w:rsidR="00DD0E41" w:rsidRPr="00FF3D15">
        <w:t>on</w:t>
      </w:r>
      <w:r w:rsidR="00DD0E41" w:rsidRPr="007F09E7">
        <w:rPr>
          <w:spacing w:val="-7"/>
        </w:rPr>
        <w:t xml:space="preserve"> </w:t>
      </w:r>
      <w:r w:rsidR="00DD0E41" w:rsidRPr="00FF3D15">
        <w:t>building</w:t>
      </w:r>
      <w:r w:rsidR="00DD0E41" w:rsidRPr="007F09E7">
        <w:rPr>
          <w:spacing w:val="-8"/>
        </w:rPr>
        <w:t xml:space="preserve"> </w:t>
      </w:r>
      <w:r w:rsidR="00DD0E41" w:rsidRPr="00FF3D15">
        <w:t>positive</w:t>
      </w:r>
      <w:r w:rsidR="00DD0E41" w:rsidRPr="007F09E7">
        <w:rPr>
          <w:spacing w:val="-6"/>
        </w:rPr>
        <w:t xml:space="preserve"> </w:t>
      </w:r>
      <w:r w:rsidR="00DD0E41" w:rsidRPr="00FF3D15">
        <w:t>working</w:t>
      </w:r>
      <w:r w:rsidR="00DD0E41" w:rsidRPr="007F09E7">
        <w:rPr>
          <w:spacing w:val="-8"/>
        </w:rPr>
        <w:t xml:space="preserve"> </w:t>
      </w:r>
      <w:r w:rsidR="00DD0E41" w:rsidRPr="00FF3D15">
        <w:t>relationships,</w:t>
      </w:r>
      <w:r w:rsidR="00DD0E41" w:rsidRPr="007F09E7">
        <w:rPr>
          <w:spacing w:val="-8"/>
        </w:rPr>
        <w:t xml:space="preserve"> </w:t>
      </w:r>
      <w:r w:rsidR="00DD0E41" w:rsidRPr="00FF3D15">
        <w:t>clearly</w:t>
      </w:r>
      <w:r w:rsidR="00DD0E41" w:rsidRPr="007F09E7">
        <w:rPr>
          <w:spacing w:val="-7"/>
        </w:rPr>
        <w:t xml:space="preserve"> </w:t>
      </w:r>
      <w:r w:rsidR="00DD0E41" w:rsidRPr="007F09E7">
        <w:rPr>
          <w:spacing w:val="-1"/>
        </w:rPr>
        <w:t>communicating</w:t>
      </w:r>
      <w:r w:rsidR="00DD0E41" w:rsidRPr="007F09E7">
        <w:rPr>
          <w:spacing w:val="-8"/>
        </w:rPr>
        <w:t xml:space="preserve"> </w:t>
      </w:r>
      <w:r w:rsidR="00DD0E41" w:rsidRPr="00FF3D15">
        <w:t>the</w:t>
      </w:r>
      <w:r w:rsidR="00DD0E41" w:rsidRPr="007F09E7">
        <w:rPr>
          <w:spacing w:val="-8"/>
        </w:rPr>
        <w:t xml:space="preserve"> </w:t>
      </w:r>
      <w:r w:rsidR="00DD0E41" w:rsidRPr="00FF3D15">
        <w:t>value</w:t>
      </w:r>
      <w:r w:rsidR="00DD0E41" w:rsidRPr="007F09E7">
        <w:rPr>
          <w:spacing w:val="-6"/>
        </w:rPr>
        <w:t xml:space="preserve"> </w:t>
      </w:r>
      <w:r w:rsidR="00DD0E41" w:rsidRPr="007F09E7">
        <w:rPr>
          <w:spacing w:val="-1"/>
        </w:rPr>
        <w:t>and</w:t>
      </w:r>
      <w:r w:rsidR="00DD0E41" w:rsidRPr="007F09E7">
        <w:rPr>
          <w:spacing w:val="36"/>
          <w:w w:val="99"/>
        </w:rPr>
        <w:t xml:space="preserve"> </w:t>
      </w:r>
      <w:r w:rsidR="00DD0E41" w:rsidRPr="00FF3D15">
        <w:t>processes</w:t>
      </w:r>
      <w:r w:rsidR="00DD0E41" w:rsidRPr="007F09E7">
        <w:rPr>
          <w:spacing w:val="-6"/>
        </w:rPr>
        <w:t xml:space="preserve"> </w:t>
      </w:r>
      <w:r w:rsidR="00DD0E41" w:rsidRPr="00FF3D15">
        <w:t>of</w:t>
      </w:r>
      <w:r w:rsidR="00DD0E41" w:rsidRPr="007F09E7">
        <w:rPr>
          <w:spacing w:val="-7"/>
        </w:rPr>
        <w:t xml:space="preserve"> </w:t>
      </w:r>
      <w:r w:rsidR="00DD0E41" w:rsidRPr="00FF3D15">
        <w:t>TWES</w:t>
      </w:r>
      <w:r w:rsidR="00DD0E41" w:rsidRPr="007F09E7">
        <w:rPr>
          <w:spacing w:val="-5"/>
        </w:rPr>
        <w:t xml:space="preserve"> </w:t>
      </w:r>
      <w:r w:rsidR="00DD0E41" w:rsidRPr="00FF3D15">
        <w:t>to</w:t>
      </w:r>
      <w:r w:rsidR="00DD0E41" w:rsidRPr="007F09E7">
        <w:rPr>
          <w:spacing w:val="-6"/>
        </w:rPr>
        <w:t xml:space="preserve"> </w:t>
      </w:r>
      <w:r w:rsidR="00DD0E41" w:rsidRPr="00FF3D15">
        <w:t>prisons,</w:t>
      </w:r>
      <w:r w:rsidR="00DD0E41" w:rsidRPr="007F09E7">
        <w:rPr>
          <w:spacing w:val="-6"/>
        </w:rPr>
        <w:t xml:space="preserve"> </w:t>
      </w:r>
      <w:r w:rsidR="00DD0E41" w:rsidRPr="00FF3D15">
        <w:t>and</w:t>
      </w:r>
      <w:r w:rsidR="00DD0E41" w:rsidRPr="007F09E7">
        <w:rPr>
          <w:spacing w:val="-7"/>
        </w:rPr>
        <w:t xml:space="preserve"> </w:t>
      </w:r>
      <w:r w:rsidR="00DD0E41" w:rsidRPr="00FF3D15">
        <w:t>constructively</w:t>
      </w:r>
      <w:r w:rsidR="00DD0E41" w:rsidRPr="007F09E7">
        <w:rPr>
          <w:spacing w:val="-6"/>
        </w:rPr>
        <w:t xml:space="preserve"> </w:t>
      </w:r>
      <w:r w:rsidR="00DD0E41" w:rsidRPr="00FF3D15">
        <w:t>solving</w:t>
      </w:r>
      <w:r w:rsidR="00DD0E41" w:rsidRPr="007F09E7">
        <w:rPr>
          <w:spacing w:val="-4"/>
        </w:rPr>
        <w:t xml:space="preserve"> </w:t>
      </w:r>
      <w:r w:rsidR="00DD0E41" w:rsidRPr="00FF3D15">
        <w:t>problems</w:t>
      </w:r>
      <w:r w:rsidR="00DD0E41" w:rsidRPr="007F09E7">
        <w:rPr>
          <w:spacing w:val="-6"/>
        </w:rPr>
        <w:t xml:space="preserve"> </w:t>
      </w:r>
      <w:r w:rsidR="00DD0E41" w:rsidRPr="00FF3D15">
        <w:t>to</w:t>
      </w:r>
      <w:r w:rsidR="00DD0E41" w:rsidRPr="007F09E7">
        <w:rPr>
          <w:spacing w:val="-6"/>
        </w:rPr>
        <w:t xml:space="preserve"> </w:t>
      </w:r>
      <w:r w:rsidR="00DD0E41" w:rsidRPr="00FF3D15">
        <w:t>make</w:t>
      </w:r>
      <w:r w:rsidR="00DD0E41" w:rsidRPr="007F09E7">
        <w:rPr>
          <w:spacing w:val="-7"/>
        </w:rPr>
        <w:t xml:space="preserve"> </w:t>
      </w:r>
      <w:r w:rsidR="00DD0E41" w:rsidRPr="00FF3D15">
        <w:t>the</w:t>
      </w:r>
      <w:r w:rsidR="00DD0E41" w:rsidRPr="007F09E7">
        <w:rPr>
          <w:spacing w:val="-7"/>
        </w:rPr>
        <w:t xml:space="preserve"> </w:t>
      </w:r>
      <w:r w:rsidR="00DD0E41" w:rsidRPr="00FF3D15">
        <w:t>service</w:t>
      </w:r>
      <w:r w:rsidR="00DD0E41" w:rsidRPr="007F09E7">
        <w:rPr>
          <w:spacing w:val="-7"/>
        </w:rPr>
        <w:t xml:space="preserve"> </w:t>
      </w:r>
      <w:r w:rsidR="00DD0E41" w:rsidRPr="007F09E7">
        <w:rPr>
          <w:spacing w:val="-1"/>
        </w:rPr>
        <w:t>work</w:t>
      </w:r>
      <w:r w:rsidR="00FF1477" w:rsidRPr="007F09E7">
        <w:rPr>
          <w:spacing w:val="-1"/>
        </w:rPr>
        <w:t>.</w:t>
      </w:r>
    </w:p>
    <w:p w14:paraId="769C70F2" w14:textId="227303EE" w:rsidR="00901B14" w:rsidRDefault="00FF1477" w:rsidP="00305B4B">
      <w:pPr>
        <w:pStyle w:val="BodyText"/>
        <w:ind w:right="3"/>
      </w:pPr>
      <w:r>
        <w:rPr>
          <w:noProof/>
        </w:rPr>
        <mc:AlternateContent>
          <mc:Choice Requires="wps">
            <w:drawing>
              <wp:inline distT="0" distB="0" distL="0" distR="0" wp14:anchorId="2FD96881" wp14:editId="3DF1EB68">
                <wp:extent cx="6167534" cy="815788"/>
                <wp:effectExtent l="0" t="0" r="5080" b="0"/>
                <wp:docPr id="69" name="Rectangle: Rounded Corners 69"/>
                <wp:cNvGraphicFramePr/>
                <a:graphic xmlns:a="http://schemas.openxmlformats.org/drawingml/2006/main">
                  <a:graphicData uri="http://schemas.microsoft.com/office/word/2010/wordprocessingShape">
                    <wps:wsp>
                      <wps:cNvSpPr/>
                      <wps:spPr>
                        <a:xfrm>
                          <a:off x="0" y="0"/>
                          <a:ext cx="6167534" cy="815788"/>
                        </a:xfrm>
                        <a:prstGeom prst="roundRect">
                          <a:avLst/>
                        </a:prstGeom>
                        <a:solidFill>
                          <a:srgbClr val="58B6E7">
                            <a:lumMod val="20000"/>
                            <a:lumOff val="80000"/>
                          </a:srgbClr>
                        </a:solidFill>
                        <a:ln w="25400" cap="flat" cmpd="sng" algn="ctr">
                          <a:noFill/>
                          <a:prstDash val="solid"/>
                        </a:ln>
                        <a:effectLst/>
                      </wps:spPr>
                      <wps:txbx>
                        <w:txbxContent>
                          <w:p w14:paraId="50F74E3C" w14:textId="6CE010AB" w:rsidR="000B1DD2" w:rsidRDefault="000B1DD2" w:rsidP="00E06C4B">
                            <w:pPr>
                              <w:pStyle w:val="QuoteNoafterspace"/>
                            </w:pPr>
                            <w:r w:rsidRPr="00892DCB">
                              <w:t>Prisoners also lose interest because the process is not client</w:t>
                            </w:r>
                            <w:r>
                              <w:t xml:space="preserve"> </w:t>
                            </w:r>
                            <w:r w:rsidRPr="00892DCB">
                              <w:t>friendly – they get bored of it because it's too process driven</w:t>
                            </w:r>
                            <w:r>
                              <w:t>.</w:t>
                            </w:r>
                          </w:p>
                          <w:p w14:paraId="3A813FB2" w14:textId="22F1DB72" w:rsidR="000B1DD2" w:rsidRPr="006D6DBD" w:rsidRDefault="000B1DD2" w:rsidP="00E06C4B">
                            <w:pPr>
                              <w:pStyle w:val="QuoteNoafterspace"/>
                              <w:jc w:val="right"/>
                              <w:rPr>
                                <w:b/>
                                <w:bCs/>
                              </w:rPr>
                            </w:pPr>
                            <w:r w:rsidRPr="006D6DBD">
                              <w:rPr>
                                <w:b/>
                                <w:bCs/>
                              </w:rPr>
                              <w:t xml:space="preserve">- </w:t>
                            </w:r>
                            <w:r>
                              <w:rPr>
                                <w:b/>
                                <w:bCs/>
                              </w:rPr>
                              <w:t>TWES provider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D96881" id="Rectangle: Rounded Corners 69" o:spid="_x0000_s1058" style="width:485.65pt;height:6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" fillcolor="#def0fa" stroked="f" strokeweight="2pt">
                <v:textbox inset="0,0,0,0">
                  <w:txbxContent>
                    <w:p w14:paraId="50F74E3C" w14:textId="6CE010AB" w:rsidR="000B1DD2" w:rsidRDefault="000B1DD2" w:rsidP="00E06C4B">
                      <w:pPr>
                        <w:pStyle w:val="QuoteNoafterspace"/>
                      </w:pPr>
                      <w:r w:rsidRPr="00892DCB">
                        <w:t>Prisoners also lose interest because the process is not client</w:t>
                      </w:r>
                      <w:r>
                        <w:t xml:space="preserve"> </w:t>
                      </w:r>
                      <w:r w:rsidRPr="00892DCB">
                        <w:t>friendly – they get bored of it because it's too process driven</w:t>
                      </w:r>
                      <w:r>
                        <w:t>.</w:t>
                      </w:r>
                    </w:p>
                    <w:p w14:paraId="3A813FB2" w14:textId="22F1DB72" w:rsidR="000B1DD2" w:rsidRPr="006D6DBD" w:rsidRDefault="000B1DD2" w:rsidP="00E06C4B">
                      <w:pPr>
                        <w:pStyle w:val="QuoteNoafterspace"/>
                        <w:jc w:val="right"/>
                        <w:rPr>
                          <w:b/>
                          <w:bCs/>
                        </w:rPr>
                      </w:pPr>
                      <w:r w:rsidRPr="006D6DBD">
                        <w:rPr>
                          <w:b/>
                          <w:bCs/>
                        </w:rPr>
                        <w:t xml:space="preserve">- </w:t>
                      </w:r>
                      <w:r>
                        <w:rPr>
                          <w:b/>
                          <w:bCs/>
                        </w:rPr>
                        <w:t>TWES provider</w:t>
                      </w:r>
                    </w:p>
                  </w:txbxContent>
                </v:textbox>
                <w10:anchorlock/>
              </v:roundrect>
            </w:pict>
          </mc:Fallback>
        </mc:AlternateContent>
      </w:r>
    </w:p>
    <w:p w14:paraId="7CEA7F60" w14:textId="7AF00019" w:rsidR="00901B14" w:rsidRDefault="00470855" w:rsidP="00305B4B">
      <w:pPr>
        <w:pStyle w:val="BodyText"/>
        <w:ind w:right="3"/>
      </w:pPr>
      <w:r>
        <w:rPr>
          <w:noProof/>
        </w:rPr>
        <mc:AlternateContent>
          <mc:Choice Requires="wps">
            <w:drawing>
              <wp:inline distT="0" distB="0" distL="0" distR="0" wp14:anchorId="7006A91A" wp14:editId="457D7D87">
                <wp:extent cx="6167120" cy="1075764"/>
                <wp:effectExtent l="0" t="0" r="5080" b="3810"/>
                <wp:docPr id="70" name="Rectangle: Rounded Corners 70"/>
                <wp:cNvGraphicFramePr/>
                <a:graphic xmlns:a="http://schemas.openxmlformats.org/drawingml/2006/main">
                  <a:graphicData uri="http://schemas.microsoft.com/office/word/2010/wordprocessingShape">
                    <wps:wsp>
                      <wps:cNvSpPr/>
                      <wps:spPr>
                        <a:xfrm>
                          <a:off x="0" y="0"/>
                          <a:ext cx="6167120" cy="1075764"/>
                        </a:xfrm>
                        <a:prstGeom prst="roundRect">
                          <a:avLst/>
                        </a:prstGeom>
                        <a:solidFill>
                          <a:srgbClr val="58B6E7">
                            <a:lumMod val="20000"/>
                            <a:lumOff val="80000"/>
                          </a:srgbClr>
                        </a:solidFill>
                        <a:ln w="25400" cap="flat" cmpd="sng" algn="ctr">
                          <a:noFill/>
                          <a:prstDash val="solid"/>
                        </a:ln>
                        <a:effectLst/>
                      </wps:spPr>
                      <wps:txbx>
                        <w:txbxContent>
                          <w:p w14:paraId="08135F35" w14:textId="2FFB18A4" w:rsidR="000B1DD2" w:rsidRDefault="000B1DD2" w:rsidP="00E06C4B">
                            <w:pPr>
                              <w:pStyle w:val="QuoteNoafterspace"/>
                            </w:pPr>
                            <w:r w:rsidRPr="00AF4573">
                              <w:t>The level of access he [TWES staff member] receives and what facilities he is able to utilise at each centre depends on the level of access he has been granted which relies on the relationships he is able to build.</w:t>
                            </w:r>
                          </w:p>
                          <w:p w14:paraId="5484808A" w14:textId="337C6A2C" w:rsidR="000B1DD2" w:rsidRPr="006D6DBD" w:rsidRDefault="000B1DD2" w:rsidP="00E06C4B">
                            <w:pPr>
                              <w:pStyle w:val="QuoteNoafterspace"/>
                              <w:jc w:val="right"/>
                              <w:rPr>
                                <w:b/>
                                <w:bCs/>
                              </w:rPr>
                            </w:pPr>
                            <w:bookmarkStart w:id="123" w:name="_Hlk72954060"/>
                            <w:bookmarkStart w:id="124" w:name="_Hlk72954061"/>
                            <w:bookmarkStart w:id="125" w:name="_Hlk72954070"/>
                            <w:bookmarkStart w:id="126" w:name="_Hlk72954071"/>
                            <w:bookmarkStart w:id="127" w:name="_Hlk72954072"/>
                            <w:bookmarkStart w:id="128" w:name="_Hlk72954073"/>
                            <w:bookmarkStart w:id="129" w:name="_Hlk72954074"/>
                            <w:bookmarkStart w:id="130" w:name="_Hlk72954075"/>
                            <w:bookmarkStart w:id="131" w:name="_Hlk72954076"/>
                            <w:bookmarkStart w:id="132" w:name="_Hlk72954077"/>
                            <w:bookmarkStart w:id="133" w:name="_Hlk72954078"/>
                            <w:bookmarkStart w:id="134" w:name="_Hlk72954079"/>
                            <w:r w:rsidRPr="006D6DBD">
                              <w:rPr>
                                <w:b/>
                                <w:bCs/>
                              </w:rPr>
                              <w:t xml:space="preserve">- </w:t>
                            </w:r>
                            <w:r>
                              <w:rPr>
                                <w:b/>
                                <w:bCs/>
                              </w:rPr>
                              <w:t xml:space="preserve">TWES </w:t>
                            </w:r>
                            <w:bookmarkEnd w:id="123"/>
                            <w:bookmarkEnd w:id="124"/>
                            <w:bookmarkEnd w:id="125"/>
                            <w:bookmarkEnd w:id="126"/>
                            <w:bookmarkEnd w:id="127"/>
                            <w:bookmarkEnd w:id="128"/>
                            <w:bookmarkEnd w:id="129"/>
                            <w:bookmarkEnd w:id="130"/>
                            <w:bookmarkEnd w:id="131"/>
                            <w:bookmarkEnd w:id="132"/>
                            <w:bookmarkEnd w:id="133"/>
                            <w:bookmarkEnd w:id="134"/>
                            <w:r>
                              <w:rPr>
                                <w:b/>
                                <w:bCs/>
                              </w:rPr>
                              <w:t>provider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06A91A" id="Rectangle: Rounded Corners 70" o:spid="_x0000_s1059" style="width:485.6pt;height:84.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" fillcolor="#def0fa" stroked="f" strokeweight="2pt">
                <v:textbox inset="0,0,0,0">
                  <w:txbxContent>
                    <w:p w14:paraId="08135F35" w14:textId="2FFB18A4" w:rsidR="000B1DD2" w:rsidRDefault="000B1DD2" w:rsidP="00E06C4B">
                      <w:pPr>
                        <w:pStyle w:val="QuoteNoafterspace"/>
                      </w:pPr>
                      <w:r w:rsidRPr="00AF4573">
                        <w:t xml:space="preserve">The level of access he [TWES staff member] receives and what facilities he </w:t>
                      </w:r>
                      <w:proofErr w:type="gramStart"/>
                      <w:r w:rsidRPr="00AF4573">
                        <w:t>is able to</w:t>
                      </w:r>
                      <w:proofErr w:type="gramEnd"/>
                      <w:r w:rsidRPr="00AF4573">
                        <w:t xml:space="preserve"> utilise at each centre depends on the level of access he has been granted which relies on the relationships he is able to build.</w:t>
                      </w:r>
                    </w:p>
                    <w:p w14:paraId="5484808A" w14:textId="337C6A2C" w:rsidR="000B1DD2" w:rsidRPr="006D6DBD" w:rsidRDefault="000B1DD2" w:rsidP="00E06C4B">
                      <w:pPr>
                        <w:pStyle w:val="QuoteNoafterspace"/>
                        <w:jc w:val="right"/>
                        <w:rPr>
                          <w:b/>
                          <w:bCs/>
                        </w:rPr>
                      </w:pPr>
                      <w:bookmarkStart w:id="134" w:name="_Hlk72954060"/>
                      <w:bookmarkStart w:id="135" w:name="_Hlk72954061"/>
                      <w:bookmarkStart w:id="136" w:name="_Hlk72954070"/>
                      <w:bookmarkStart w:id="137" w:name="_Hlk72954071"/>
                      <w:bookmarkStart w:id="138" w:name="_Hlk72954072"/>
                      <w:bookmarkStart w:id="139" w:name="_Hlk72954073"/>
                      <w:bookmarkStart w:id="140" w:name="_Hlk72954074"/>
                      <w:bookmarkStart w:id="141" w:name="_Hlk72954075"/>
                      <w:bookmarkStart w:id="142" w:name="_Hlk72954076"/>
                      <w:bookmarkStart w:id="143" w:name="_Hlk72954077"/>
                      <w:bookmarkStart w:id="144" w:name="_Hlk72954078"/>
                      <w:bookmarkStart w:id="145" w:name="_Hlk72954079"/>
                      <w:r w:rsidRPr="006D6DBD">
                        <w:rPr>
                          <w:b/>
                          <w:bCs/>
                        </w:rPr>
                        <w:t xml:space="preserve">- </w:t>
                      </w:r>
                      <w:r>
                        <w:rPr>
                          <w:b/>
                          <w:bCs/>
                        </w:rPr>
                        <w:t xml:space="preserve">TWES </w:t>
                      </w:r>
                      <w:bookmarkEnd w:id="134"/>
                      <w:bookmarkEnd w:id="135"/>
                      <w:bookmarkEnd w:id="136"/>
                      <w:bookmarkEnd w:id="137"/>
                      <w:bookmarkEnd w:id="138"/>
                      <w:bookmarkEnd w:id="139"/>
                      <w:bookmarkEnd w:id="140"/>
                      <w:bookmarkEnd w:id="141"/>
                      <w:bookmarkEnd w:id="142"/>
                      <w:bookmarkEnd w:id="143"/>
                      <w:bookmarkEnd w:id="144"/>
                      <w:bookmarkEnd w:id="145"/>
                      <w:r>
                        <w:rPr>
                          <w:b/>
                          <w:bCs/>
                        </w:rPr>
                        <w:t>provider</w:t>
                      </w:r>
                    </w:p>
                  </w:txbxContent>
                </v:textbox>
                <w10:anchorlock/>
              </v:roundrect>
            </w:pict>
          </mc:Fallback>
        </mc:AlternateContent>
      </w:r>
    </w:p>
    <w:p w14:paraId="43CF4519" w14:textId="27DDC9B3" w:rsidR="00ED2D1D" w:rsidRDefault="00470855" w:rsidP="00305B4B">
      <w:pPr>
        <w:pStyle w:val="BodyText"/>
        <w:ind w:right="3"/>
      </w:pPr>
      <w:r>
        <w:rPr>
          <w:noProof/>
        </w:rPr>
        <mc:AlternateContent>
          <mc:Choice Requires="wps">
            <w:drawing>
              <wp:inline distT="0" distB="0" distL="0" distR="0" wp14:anchorId="7EC5813F" wp14:editId="47D966BD">
                <wp:extent cx="6167120" cy="1855694"/>
                <wp:effectExtent l="0" t="0" r="5080" b="0"/>
                <wp:docPr id="71" name="Rectangle: Rounded Corners 71"/>
                <wp:cNvGraphicFramePr/>
                <a:graphic xmlns:a="http://schemas.openxmlformats.org/drawingml/2006/main">
                  <a:graphicData uri="http://schemas.microsoft.com/office/word/2010/wordprocessingShape">
                    <wps:wsp>
                      <wps:cNvSpPr/>
                      <wps:spPr>
                        <a:xfrm>
                          <a:off x="0" y="0"/>
                          <a:ext cx="6167120" cy="1855694"/>
                        </a:xfrm>
                        <a:prstGeom prst="roundRect">
                          <a:avLst/>
                        </a:prstGeom>
                        <a:solidFill>
                          <a:srgbClr val="58B6E7">
                            <a:lumMod val="20000"/>
                            <a:lumOff val="80000"/>
                          </a:srgbClr>
                        </a:solidFill>
                        <a:ln w="25400" cap="flat" cmpd="sng" algn="ctr">
                          <a:noFill/>
                          <a:prstDash val="solid"/>
                        </a:ln>
                        <a:effectLst/>
                      </wps:spPr>
                      <wps:txbx>
                        <w:txbxContent>
                          <w:p w14:paraId="5ABD8C9E" w14:textId="0D4266B9" w:rsidR="000B1DD2" w:rsidRDefault="000B1DD2" w:rsidP="00E06C4B">
                            <w:pPr>
                              <w:pStyle w:val="QuoteNoafterspace"/>
                            </w:pPr>
                            <w:r w:rsidRPr="00F04688">
                              <w:t>The process was made easier because of the time and relationships developed by us with staff and prisoners. However, the structure of TWES particularly the timeframes did not allow for barriers typical for prison settings such as movements of prisoners, escorts available, prisoners going into behavioural areas, lockdown and so on. There might also be barriers in making the initial appointment with the prisoners due to rooms available, and now COVID-19 has provided an extra barrier because you're not meeting face to face but virtually.</w:t>
                            </w:r>
                          </w:p>
                          <w:p w14:paraId="34C87FDC" w14:textId="4701F7F2" w:rsidR="000B1DD2" w:rsidRPr="006D6DBD" w:rsidRDefault="000B1DD2" w:rsidP="00E06C4B">
                            <w:pPr>
                              <w:pStyle w:val="QuoteNoafterspace"/>
                              <w:jc w:val="right"/>
                              <w:rPr>
                                <w:b/>
                                <w:bCs/>
                              </w:rPr>
                            </w:pPr>
                            <w:r w:rsidRPr="006D6DBD">
                              <w:rPr>
                                <w:b/>
                                <w:bCs/>
                              </w:rPr>
                              <w:t xml:space="preserve">- </w:t>
                            </w:r>
                            <w:r>
                              <w:rPr>
                                <w:b/>
                                <w:bCs/>
                              </w:rPr>
                              <w:t>TWES provider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C5813F" id="Rectangle: Rounded Corners 71" o:spid="_x0000_s1060" style="width:485.6pt;height:146.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" fillcolor="#def0fa" stroked="f" strokeweight="2pt">
                <v:textbox inset="0,0,0,0">
                  <w:txbxContent>
                    <w:p w14:paraId="5ABD8C9E" w14:textId="0D4266B9" w:rsidR="000B1DD2" w:rsidRDefault="000B1DD2" w:rsidP="00E06C4B">
                      <w:pPr>
                        <w:pStyle w:val="QuoteNoafterspace"/>
                      </w:pPr>
                      <w:r w:rsidRPr="00F04688">
                        <w:t>The process was made easier because of the time and relationships developed by us with staff and prisoners. However, the structure of TWES particularly the timeframes did not allow for barriers typical for prison settings such as movements of prisoners, escorts available, prisoners going into behavioural areas, lockdown and so on. There might also be barriers in making the initial appointment with the prisoners due to rooms available, and now COVID-19 has provided an extra barrier because you're not meeting face to face but virtually.</w:t>
                      </w:r>
                    </w:p>
                    <w:p w14:paraId="34C87FDC" w14:textId="4701F7F2" w:rsidR="000B1DD2" w:rsidRPr="006D6DBD" w:rsidRDefault="000B1DD2" w:rsidP="00E06C4B">
                      <w:pPr>
                        <w:pStyle w:val="QuoteNoafterspace"/>
                        <w:jc w:val="right"/>
                        <w:rPr>
                          <w:b/>
                          <w:bCs/>
                        </w:rPr>
                      </w:pPr>
                      <w:r w:rsidRPr="006D6DBD">
                        <w:rPr>
                          <w:b/>
                          <w:bCs/>
                        </w:rPr>
                        <w:t xml:space="preserve">- </w:t>
                      </w:r>
                      <w:r>
                        <w:rPr>
                          <w:b/>
                          <w:bCs/>
                        </w:rPr>
                        <w:t>TWES provider</w:t>
                      </w:r>
                    </w:p>
                  </w:txbxContent>
                </v:textbox>
                <w10:anchorlock/>
              </v:roundrect>
            </w:pict>
          </mc:Fallback>
        </mc:AlternateContent>
      </w:r>
    </w:p>
    <w:p w14:paraId="43CEA40F" w14:textId="0E8C6C2E" w:rsidR="00CE7A70" w:rsidRPr="00D82168" w:rsidRDefault="00EB33F3" w:rsidP="007F09E7">
      <w:pPr>
        <w:pStyle w:val="Numberedlist"/>
      </w:pPr>
      <w:r w:rsidRPr="00D82168">
        <w:rPr>
          <w:b/>
        </w:rPr>
        <w:t xml:space="preserve">A </w:t>
      </w:r>
      <w:r w:rsidR="00CD2961" w:rsidRPr="00D82168">
        <w:rPr>
          <w:b/>
        </w:rPr>
        <w:t xml:space="preserve">holistic view </w:t>
      </w:r>
      <w:r w:rsidRPr="00D82168">
        <w:rPr>
          <w:b/>
        </w:rPr>
        <w:t>of participants</w:t>
      </w:r>
      <w:r w:rsidR="003528A4" w:rsidRPr="00D82168">
        <w:rPr>
          <w:b/>
        </w:rPr>
        <w:t>’</w:t>
      </w:r>
      <w:r w:rsidRPr="00D82168">
        <w:rPr>
          <w:b/>
        </w:rPr>
        <w:t xml:space="preserve"> strengths and needs</w:t>
      </w:r>
      <w:r w:rsidR="00CD2961" w:rsidRPr="00D82168">
        <w:rPr>
          <w:b/>
        </w:rPr>
        <w:t>:</w:t>
      </w:r>
      <w:r w:rsidR="00CD2961" w:rsidRPr="00D82168">
        <w:t xml:space="preserve"> TWES was enabled where </w:t>
      </w:r>
      <w:r w:rsidR="00C9076E" w:rsidRPr="00D82168">
        <w:t xml:space="preserve">providers </w:t>
      </w:r>
      <w:r w:rsidR="00CD2961" w:rsidRPr="00D82168">
        <w:t>took a holistic approach to servicing TWES participants – identifying what other supports they might need and connecting them with relevant service providers. Early findings suggest that Indigenous-led organisations or providers in smaller, remote towns may have been better placed to do this</w:t>
      </w:r>
      <w:r w:rsidR="00FF1477" w:rsidRPr="00D82168">
        <w:t>.</w:t>
      </w:r>
    </w:p>
    <w:p w14:paraId="383A9770" w14:textId="15C98DEC" w:rsidR="00483FCE" w:rsidRPr="00D82168" w:rsidRDefault="009925CD" w:rsidP="007F09E7">
      <w:pPr>
        <w:pStyle w:val="Numberedlist"/>
      </w:pPr>
      <w:r w:rsidRPr="00D82168">
        <w:rPr>
          <w:b/>
        </w:rPr>
        <w:t>E</w:t>
      </w:r>
      <w:r w:rsidR="006D6817" w:rsidRPr="00D82168">
        <w:rPr>
          <w:b/>
        </w:rPr>
        <w:t>xperienced</w:t>
      </w:r>
      <w:r w:rsidR="00483FCE" w:rsidRPr="00D82168">
        <w:rPr>
          <w:b/>
        </w:rPr>
        <w:t xml:space="preserve"> Aboriginal </w:t>
      </w:r>
      <w:r w:rsidR="006D6817" w:rsidRPr="00D82168">
        <w:rPr>
          <w:b/>
        </w:rPr>
        <w:t>and</w:t>
      </w:r>
      <w:r w:rsidR="00483FCE" w:rsidRPr="00D82168">
        <w:rPr>
          <w:b/>
        </w:rPr>
        <w:t xml:space="preserve"> Torres Strait Islander staff</w:t>
      </w:r>
      <w:r w:rsidR="00AF1186" w:rsidRPr="00D82168">
        <w:rPr>
          <w:b/>
        </w:rPr>
        <w:t>:</w:t>
      </w:r>
      <w:r w:rsidR="00AF1186" w:rsidRPr="00D82168">
        <w:t xml:space="preserve"> </w:t>
      </w:r>
      <w:r w:rsidR="00C54ABA" w:rsidRPr="00D82168">
        <w:t xml:space="preserve">Aboriginal and Torres Strait Islander staff </w:t>
      </w:r>
      <w:r w:rsidR="00412E6C" w:rsidRPr="00D82168">
        <w:t>may</w:t>
      </w:r>
      <w:r w:rsidR="00C54ABA" w:rsidRPr="00D82168">
        <w:t xml:space="preserve"> help participants feel more comfortable and culturally safe, </w:t>
      </w:r>
      <w:r w:rsidR="00412E6C" w:rsidRPr="00D82168">
        <w:t xml:space="preserve">build stronger relationships / rapport with </w:t>
      </w:r>
      <w:r w:rsidR="000B1513" w:rsidRPr="00D82168">
        <w:t>participants to support outcomes, especially where staff have strong knowledge of and/or connection to local culture and communities</w:t>
      </w:r>
      <w:r w:rsidR="00FF1477" w:rsidRPr="00D82168">
        <w:t>.</w:t>
      </w:r>
    </w:p>
    <w:p w14:paraId="450DA64B" w14:textId="3C24D57C" w:rsidR="00C75D9D" w:rsidRDefault="00C75D9D" w:rsidP="00305B4B">
      <w:pPr>
        <w:pStyle w:val="BodyText"/>
        <w:ind w:right="3"/>
        <w:rPr>
          <w:color w:val="000000"/>
        </w:rPr>
      </w:pPr>
      <w:r>
        <w:rPr>
          <w:noProof/>
        </w:rPr>
        <mc:AlternateContent>
          <mc:Choice Requires="wps">
            <w:drawing>
              <wp:inline distT="0" distB="0" distL="0" distR="0" wp14:anchorId="229CF9A1" wp14:editId="0CEC2555">
                <wp:extent cx="6148873" cy="1272988"/>
                <wp:effectExtent l="0" t="0" r="0" b="0"/>
                <wp:docPr id="72" name="Rectangle: Rounded Corners 72"/>
                <wp:cNvGraphicFramePr/>
                <a:graphic xmlns:a="http://schemas.openxmlformats.org/drawingml/2006/main">
                  <a:graphicData uri="http://schemas.microsoft.com/office/word/2010/wordprocessingShape">
                    <wps:wsp>
                      <wps:cNvSpPr/>
                      <wps:spPr>
                        <a:xfrm>
                          <a:off x="0" y="0"/>
                          <a:ext cx="6148873" cy="1272988"/>
                        </a:xfrm>
                        <a:prstGeom prst="roundRect">
                          <a:avLst/>
                        </a:prstGeom>
                        <a:solidFill>
                          <a:srgbClr val="58B6E7">
                            <a:lumMod val="20000"/>
                            <a:lumOff val="80000"/>
                          </a:srgbClr>
                        </a:solidFill>
                        <a:ln w="25400" cap="flat" cmpd="sng" algn="ctr">
                          <a:noFill/>
                          <a:prstDash val="solid"/>
                        </a:ln>
                        <a:effectLst/>
                      </wps:spPr>
                      <wps:txbx>
                        <w:txbxContent>
                          <w:p w14:paraId="7150F609" w14:textId="0984E841" w:rsidR="000B1DD2" w:rsidRDefault="000B1DD2" w:rsidP="00E06C4B">
                            <w:pPr>
                              <w:pStyle w:val="QuoteNoafterspace"/>
                            </w:pPr>
                            <w:r w:rsidRPr="00C75D9D">
                              <w:t>There are challenges in recruiting local people. It’s not appealing for many people to work in prisons and security processes can cause delays in recruiting. We wanted local Aboriginal people in the roles but there is potential for staff to have relationships with people inside which is a problem. And really you need two staff – male and female</w:t>
                            </w:r>
                            <w:r w:rsidRPr="00F04688">
                              <w:t>.</w:t>
                            </w:r>
                          </w:p>
                          <w:p w14:paraId="49FBBBAB" w14:textId="42C50BBE" w:rsidR="000B1DD2" w:rsidRPr="006D6DBD" w:rsidRDefault="000B1DD2" w:rsidP="00E06C4B">
                            <w:pPr>
                              <w:pStyle w:val="QuoteNoafterspace"/>
                              <w:jc w:val="right"/>
                              <w:rPr>
                                <w:b/>
                                <w:bCs/>
                              </w:rPr>
                            </w:pPr>
                            <w:r w:rsidRPr="006D6DBD">
                              <w:rPr>
                                <w:b/>
                                <w:bCs/>
                              </w:rPr>
                              <w:t xml:space="preserve">- </w:t>
                            </w:r>
                            <w:r>
                              <w:rPr>
                                <w:b/>
                                <w:bCs/>
                              </w:rPr>
                              <w:t>Government stakeholder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9CF9A1" id="Rectangle: Rounded Corners 72" o:spid="_x0000_s1061" style="width:484.15pt;height:10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" fillcolor="#def0fa" stroked="f" strokeweight="2pt">
                <v:textbox inset="0,0,0,0">
                  <w:txbxContent>
                    <w:p w14:paraId="7150F609" w14:textId="0984E841" w:rsidR="000B1DD2" w:rsidRDefault="000B1DD2" w:rsidP="00E06C4B">
                      <w:pPr>
                        <w:pStyle w:val="QuoteNoafterspace"/>
                      </w:pPr>
                      <w:r w:rsidRPr="00C75D9D">
                        <w:t>There are challenges in recruiting local people. It’s not appealing for many people to work in prisons and security processes can cause delays in recruiting. We wanted local Aboriginal people in the roles but there is potential for staff to have relationships with people inside which is a problem. And really you need two staff – male and female</w:t>
                      </w:r>
                      <w:r w:rsidRPr="00F04688">
                        <w:t>.</w:t>
                      </w:r>
                    </w:p>
                    <w:p w14:paraId="49FBBBAB" w14:textId="42C50BBE" w:rsidR="000B1DD2" w:rsidRPr="006D6DBD" w:rsidRDefault="000B1DD2" w:rsidP="00E06C4B">
                      <w:pPr>
                        <w:pStyle w:val="QuoteNoafterspace"/>
                        <w:jc w:val="right"/>
                        <w:rPr>
                          <w:b/>
                          <w:bCs/>
                        </w:rPr>
                      </w:pPr>
                      <w:r w:rsidRPr="006D6DBD">
                        <w:rPr>
                          <w:b/>
                          <w:bCs/>
                        </w:rPr>
                        <w:t xml:space="preserve">- </w:t>
                      </w:r>
                      <w:r>
                        <w:rPr>
                          <w:b/>
                          <w:bCs/>
                        </w:rPr>
                        <w:t>Government stakeholder</w:t>
                      </w:r>
                    </w:p>
                  </w:txbxContent>
                </v:textbox>
                <w10:anchorlock/>
              </v:roundrect>
            </w:pict>
          </mc:Fallback>
        </mc:AlternateContent>
      </w:r>
    </w:p>
    <w:p w14:paraId="20DFB4B4" w14:textId="2AFB3A69" w:rsidR="00CD2961" w:rsidRPr="00FF3D15" w:rsidRDefault="00C90475" w:rsidP="007F09E7">
      <w:pPr>
        <w:pStyle w:val="Numberedlist"/>
      </w:pPr>
      <w:r>
        <w:rPr>
          <w:b/>
        </w:rPr>
        <w:t xml:space="preserve">Experience delivering </w:t>
      </w:r>
      <w:r w:rsidR="00CD2961" w:rsidRPr="00FF3D15">
        <w:rPr>
          <w:b/>
        </w:rPr>
        <w:t>other</w:t>
      </w:r>
      <w:r w:rsidR="00CD2961" w:rsidRPr="00FF3D15">
        <w:rPr>
          <w:b/>
          <w:spacing w:val="-6"/>
        </w:rPr>
        <w:t xml:space="preserve"> </w:t>
      </w:r>
      <w:r>
        <w:rPr>
          <w:b/>
        </w:rPr>
        <w:t xml:space="preserve">services </w:t>
      </w:r>
      <w:r w:rsidR="00CD2961" w:rsidRPr="00FF3D15">
        <w:rPr>
          <w:b/>
        </w:rPr>
        <w:t>in</w:t>
      </w:r>
      <w:r w:rsidR="00CD2961" w:rsidRPr="00FF3D15">
        <w:rPr>
          <w:b/>
          <w:spacing w:val="-7"/>
        </w:rPr>
        <w:t xml:space="preserve"> </w:t>
      </w:r>
      <w:r w:rsidR="00CD2961" w:rsidRPr="00FF3D15">
        <w:rPr>
          <w:b/>
        </w:rPr>
        <w:t>prisons</w:t>
      </w:r>
      <w:r w:rsidR="00483FCE" w:rsidRPr="00FF3D15">
        <w:rPr>
          <w:b/>
        </w:rPr>
        <w:t>:</w:t>
      </w:r>
      <w:r w:rsidR="00483FCE" w:rsidRPr="00FF3D15">
        <w:rPr>
          <w:b/>
          <w:spacing w:val="-5"/>
        </w:rPr>
        <w:t xml:space="preserve"> </w:t>
      </w:r>
      <w:r w:rsidR="00A263DA">
        <w:rPr>
          <w:bCs/>
          <w:spacing w:val="-5"/>
        </w:rPr>
        <w:t xml:space="preserve">This helps to </w:t>
      </w:r>
      <w:r w:rsidR="00483FCE" w:rsidRPr="00FF3D15">
        <w:t>cover</w:t>
      </w:r>
      <w:r w:rsidR="00483FCE" w:rsidRPr="00FF3D15">
        <w:rPr>
          <w:spacing w:val="-7"/>
        </w:rPr>
        <w:t xml:space="preserve"> </w:t>
      </w:r>
      <w:r w:rsidR="00F32695">
        <w:rPr>
          <w:spacing w:val="-7"/>
        </w:rPr>
        <w:t xml:space="preserve">the </w:t>
      </w:r>
      <w:r w:rsidR="00483FCE" w:rsidRPr="00FF3D15">
        <w:t>costs</w:t>
      </w:r>
      <w:r w:rsidR="00483FCE" w:rsidRPr="00FF3D15">
        <w:rPr>
          <w:spacing w:val="-5"/>
        </w:rPr>
        <w:t xml:space="preserve"> </w:t>
      </w:r>
      <w:r w:rsidR="00483FCE" w:rsidRPr="00FF3D15">
        <w:rPr>
          <w:spacing w:val="-1"/>
        </w:rPr>
        <w:t>of</w:t>
      </w:r>
      <w:r w:rsidR="00483FCE">
        <w:rPr>
          <w:spacing w:val="-1"/>
        </w:rPr>
        <w:t xml:space="preserve"> delivering</w:t>
      </w:r>
      <w:r w:rsidR="00483FCE" w:rsidRPr="00FF3D15">
        <w:rPr>
          <w:spacing w:val="-7"/>
        </w:rPr>
        <w:t xml:space="preserve"> </w:t>
      </w:r>
      <w:r w:rsidR="00483FCE" w:rsidRPr="00FF3D15">
        <w:t>TWES</w:t>
      </w:r>
      <w:r w:rsidR="00483FCE" w:rsidRPr="00FF3D15">
        <w:rPr>
          <w:spacing w:val="-6"/>
        </w:rPr>
        <w:t xml:space="preserve"> </w:t>
      </w:r>
      <w:r w:rsidR="00483FCE" w:rsidRPr="00FF3D15">
        <w:t>–</w:t>
      </w:r>
      <w:r w:rsidR="00483FCE" w:rsidRPr="00FF3D15">
        <w:rPr>
          <w:spacing w:val="-4"/>
        </w:rPr>
        <w:t xml:space="preserve"> </w:t>
      </w:r>
      <w:r w:rsidR="00483FCE" w:rsidRPr="00FF3D15">
        <w:t>including</w:t>
      </w:r>
      <w:r w:rsidR="00483FCE" w:rsidRPr="00FF3D15">
        <w:rPr>
          <w:spacing w:val="-5"/>
        </w:rPr>
        <w:t xml:space="preserve"> </w:t>
      </w:r>
      <w:r w:rsidR="00483FCE" w:rsidRPr="00FF3D15">
        <w:t>splitting</w:t>
      </w:r>
      <w:r w:rsidR="00483FCE" w:rsidRPr="00FF3D15">
        <w:rPr>
          <w:spacing w:val="-7"/>
        </w:rPr>
        <w:t xml:space="preserve"> </w:t>
      </w:r>
      <w:r w:rsidR="00483FCE" w:rsidRPr="00FF3D15">
        <w:t>staff</w:t>
      </w:r>
      <w:r w:rsidR="00483FCE" w:rsidRPr="00FF3D15">
        <w:rPr>
          <w:spacing w:val="-5"/>
        </w:rPr>
        <w:t xml:space="preserve"> </w:t>
      </w:r>
      <w:r w:rsidR="00483FCE" w:rsidRPr="00FF3D15">
        <w:t>across</w:t>
      </w:r>
      <w:r w:rsidR="00483FCE" w:rsidRPr="00FF3D15">
        <w:rPr>
          <w:spacing w:val="-6"/>
        </w:rPr>
        <w:t xml:space="preserve"> </w:t>
      </w:r>
      <w:r w:rsidR="00483FCE" w:rsidRPr="00FF3D15">
        <w:t>TWES</w:t>
      </w:r>
      <w:r w:rsidR="00483FCE" w:rsidRPr="00FF3D15">
        <w:rPr>
          <w:spacing w:val="-6"/>
        </w:rPr>
        <w:t xml:space="preserve"> </w:t>
      </w:r>
      <w:r w:rsidR="00483FCE" w:rsidRPr="00FF3D15">
        <w:t>and</w:t>
      </w:r>
      <w:r w:rsidR="00483FCE" w:rsidRPr="00FF3D15">
        <w:rPr>
          <w:spacing w:val="-6"/>
        </w:rPr>
        <w:t xml:space="preserve"> </w:t>
      </w:r>
      <w:r w:rsidR="00483FCE" w:rsidRPr="00FF3D15">
        <w:t>other</w:t>
      </w:r>
      <w:r w:rsidR="00483FCE" w:rsidRPr="00FF3D15">
        <w:rPr>
          <w:spacing w:val="-6"/>
        </w:rPr>
        <w:t xml:space="preserve"> </w:t>
      </w:r>
      <w:r w:rsidR="00483FCE" w:rsidRPr="00FF3D15">
        <w:t>service</w:t>
      </w:r>
      <w:r w:rsidR="00483FCE" w:rsidRPr="00FF3D15">
        <w:rPr>
          <w:spacing w:val="-5"/>
        </w:rPr>
        <w:t xml:space="preserve"> </w:t>
      </w:r>
      <w:r w:rsidR="00483FCE" w:rsidRPr="00FF3D15">
        <w:t>delivery</w:t>
      </w:r>
      <w:r w:rsidR="00483FCE" w:rsidRPr="00FF3D15">
        <w:rPr>
          <w:spacing w:val="-3"/>
        </w:rPr>
        <w:t xml:space="preserve"> </w:t>
      </w:r>
      <w:r w:rsidR="00483FCE" w:rsidRPr="00FF3D15">
        <w:t>–</w:t>
      </w:r>
      <w:r w:rsidR="00483FCE" w:rsidRPr="00FF3D15">
        <w:rPr>
          <w:spacing w:val="-7"/>
        </w:rPr>
        <w:t xml:space="preserve"> </w:t>
      </w:r>
      <w:r w:rsidR="00483FCE" w:rsidRPr="00FF3D15">
        <w:rPr>
          <w:spacing w:val="-1"/>
        </w:rPr>
        <w:t>and</w:t>
      </w:r>
      <w:r w:rsidR="00483FCE" w:rsidRPr="00FF3D15">
        <w:rPr>
          <w:spacing w:val="28"/>
          <w:w w:val="99"/>
        </w:rPr>
        <w:t xml:space="preserve"> </w:t>
      </w:r>
      <w:r w:rsidR="00483FCE" w:rsidRPr="00FF3D15">
        <w:t>leverag</w:t>
      </w:r>
      <w:r w:rsidR="00D062F0">
        <w:t>ing</w:t>
      </w:r>
      <w:r w:rsidR="00483FCE" w:rsidRPr="00FF3D15">
        <w:rPr>
          <w:spacing w:val="-9"/>
        </w:rPr>
        <w:t xml:space="preserve"> </w:t>
      </w:r>
      <w:r w:rsidR="00483FCE" w:rsidRPr="00FF3D15">
        <w:t>existing</w:t>
      </w:r>
      <w:r w:rsidR="00483FCE" w:rsidRPr="00FF3D15">
        <w:rPr>
          <w:spacing w:val="-6"/>
        </w:rPr>
        <w:t xml:space="preserve"> </w:t>
      </w:r>
      <w:r w:rsidR="00483FCE" w:rsidRPr="00FF3D15">
        <w:t>relationships</w:t>
      </w:r>
      <w:r w:rsidR="00483FCE" w:rsidRPr="00FF3D15">
        <w:rPr>
          <w:spacing w:val="-6"/>
        </w:rPr>
        <w:t xml:space="preserve"> </w:t>
      </w:r>
      <w:r w:rsidR="00483FCE" w:rsidRPr="00FF3D15">
        <w:t>with</w:t>
      </w:r>
      <w:r w:rsidR="00483FCE" w:rsidRPr="00FF3D15">
        <w:rPr>
          <w:spacing w:val="-9"/>
        </w:rPr>
        <w:t xml:space="preserve"> </w:t>
      </w:r>
      <w:r w:rsidR="00483FCE" w:rsidRPr="00FF3D15">
        <w:t>prisons</w:t>
      </w:r>
      <w:r w:rsidR="00483FCE" w:rsidRPr="00FF3D15">
        <w:rPr>
          <w:spacing w:val="-7"/>
        </w:rPr>
        <w:t xml:space="preserve"> </w:t>
      </w:r>
      <w:r w:rsidR="00483FCE" w:rsidRPr="00FF3D15">
        <w:t>and</w:t>
      </w:r>
      <w:r w:rsidR="00483FCE" w:rsidRPr="00FF3D15">
        <w:rPr>
          <w:spacing w:val="-8"/>
        </w:rPr>
        <w:t xml:space="preserve"> </w:t>
      </w:r>
      <w:r w:rsidR="00483FCE" w:rsidRPr="00FF3D15">
        <w:t>other</w:t>
      </w:r>
      <w:r w:rsidR="00483FCE" w:rsidRPr="00FF3D15">
        <w:rPr>
          <w:spacing w:val="-7"/>
        </w:rPr>
        <w:t xml:space="preserve"> </w:t>
      </w:r>
      <w:r w:rsidR="00483FCE" w:rsidRPr="00FF3D15">
        <w:t>services</w:t>
      </w:r>
      <w:r w:rsidR="00FF1477">
        <w:t>.</w:t>
      </w:r>
    </w:p>
    <w:p w14:paraId="220CE4E0" w14:textId="5138C4AE" w:rsidR="00D801EB" w:rsidRPr="00D801EB" w:rsidRDefault="00D801EB" w:rsidP="00305B4B">
      <w:pPr>
        <w:pStyle w:val="Heading4"/>
        <w:ind w:right="3"/>
      </w:pPr>
      <w:r w:rsidRPr="00AA2D3E">
        <w:t>Barriers</w:t>
      </w:r>
    </w:p>
    <w:p w14:paraId="64E68F16" w14:textId="11C24C72" w:rsidR="00853035" w:rsidRPr="00064835" w:rsidRDefault="00853035" w:rsidP="00305B4B">
      <w:pPr>
        <w:pStyle w:val="BodyText"/>
        <w:ind w:right="3"/>
      </w:pPr>
      <w:r w:rsidRPr="00064835">
        <w:lastRenderedPageBreak/>
        <w:t>Barriers are</w:t>
      </w:r>
      <w:r w:rsidR="00C90475" w:rsidRPr="00064835">
        <w:t xml:space="preserve"> defined as</w:t>
      </w:r>
      <w:r w:rsidRPr="00064835">
        <w:t xml:space="preserve"> the challenges that </w:t>
      </w:r>
      <w:r w:rsidR="00C90475" w:rsidRPr="00064835">
        <w:t xml:space="preserve">make it </w:t>
      </w:r>
      <w:r w:rsidRPr="00064835">
        <w:t xml:space="preserve">difficult for </w:t>
      </w:r>
      <w:r w:rsidR="00C9076E" w:rsidRPr="00064835">
        <w:t xml:space="preserve">providers </w:t>
      </w:r>
      <w:r w:rsidRPr="00064835">
        <w:t xml:space="preserve">and others to implement TWES successfully. Key barriers identified in </w:t>
      </w:r>
      <w:r w:rsidR="00CD46C1" w:rsidRPr="00064835">
        <w:t xml:space="preserve">the evaluation </w:t>
      </w:r>
      <w:r w:rsidRPr="00064835">
        <w:t>are:</w:t>
      </w:r>
    </w:p>
    <w:p w14:paraId="4269DF48" w14:textId="65B66354" w:rsidR="009705D4" w:rsidRPr="00FF3D15" w:rsidRDefault="005E0ADC" w:rsidP="000C3506">
      <w:pPr>
        <w:pStyle w:val="Numberedlist"/>
        <w:numPr>
          <w:ilvl w:val="0"/>
          <w:numId w:val="29"/>
        </w:numPr>
        <w:ind w:left="709"/>
      </w:pPr>
      <w:r w:rsidRPr="007F09E7">
        <w:rPr>
          <w:b/>
        </w:rPr>
        <w:t>Time constraints</w:t>
      </w:r>
      <w:r w:rsidR="00744D93" w:rsidRPr="007F09E7">
        <w:rPr>
          <w:b/>
        </w:rPr>
        <w:t>:</w:t>
      </w:r>
      <w:r w:rsidR="00744D93" w:rsidRPr="007F09E7">
        <w:rPr>
          <w:b/>
          <w:spacing w:val="-7"/>
        </w:rPr>
        <w:t xml:space="preserve"> </w:t>
      </w:r>
      <w:r w:rsidR="00981268" w:rsidRPr="00FF3D15">
        <w:t>Some</w:t>
      </w:r>
      <w:r w:rsidR="00981268" w:rsidRPr="007F09E7">
        <w:rPr>
          <w:spacing w:val="-5"/>
        </w:rPr>
        <w:t xml:space="preserve"> </w:t>
      </w:r>
      <w:r w:rsidR="00981268" w:rsidRPr="00FF3D15">
        <w:t>TWES</w:t>
      </w:r>
      <w:r w:rsidR="00981268" w:rsidRPr="007F09E7">
        <w:rPr>
          <w:spacing w:val="-6"/>
        </w:rPr>
        <w:t xml:space="preserve"> </w:t>
      </w:r>
      <w:r w:rsidR="00C9076E">
        <w:t>p</w:t>
      </w:r>
      <w:r w:rsidR="00C9076E" w:rsidRPr="00FF3D15">
        <w:t>roviders</w:t>
      </w:r>
      <w:r w:rsidR="00C9076E" w:rsidRPr="007F09E7">
        <w:rPr>
          <w:spacing w:val="-6"/>
        </w:rPr>
        <w:t xml:space="preserve"> </w:t>
      </w:r>
      <w:r w:rsidR="00981268" w:rsidRPr="007F09E7">
        <w:rPr>
          <w:spacing w:val="-1"/>
        </w:rPr>
        <w:t>and</w:t>
      </w:r>
      <w:r w:rsidR="00981268" w:rsidRPr="007F09E7">
        <w:rPr>
          <w:spacing w:val="-5"/>
        </w:rPr>
        <w:t xml:space="preserve"> </w:t>
      </w:r>
      <w:r w:rsidR="00981268" w:rsidRPr="007F09E7">
        <w:rPr>
          <w:spacing w:val="-1"/>
        </w:rPr>
        <w:t>corrections</w:t>
      </w:r>
      <w:r w:rsidR="00981268" w:rsidRPr="007F09E7">
        <w:rPr>
          <w:spacing w:val="-2"/>
        </w:rPr>
        <w:t xml:space="preserve"> </w:t>
      </w:r>
      <w:r w:rsidR="00744D93" w:rsidRPr="007F09E7">
        <w:rPr>
          <w:spacing w:val="-1"/>
        </w:rPr>
        <w:t>stakeholders</w:t>
      </w:r>
      <w:r w:rsidR="00744D93" w:rsidRPr="007F09E7">
        <w:rPr>
          <w:spacing w:val="-7"/>
        </w:rPr>
        <w:t xml:space="preserve"> </w:t>
      </w:r>
      <w:r w:rsidR="00744D93" w:rsidRPr="00FF3D15">
        <w:t>noted</w:t>
      </w:r>
      <w:r w:rsidR="00744D93" w:rsidRPr="007F09E7">
        <w:rPr>
          <w:spacing w:val="-7"/>
        </w:rPr>
        <w:t xml:space="preserve"> </w:t>
      </w:r>
      <w:r w:rsidR="00744D93" w:rsidRPr="007F09E7">
        <w:rPr>
          <w:spacing w:val="-1"/>
        </w:rPr>
        <w:t>that</w:t>
      </w:r>
      <w:r w:rsidR="00744D93" w:rsidRPr="007F09E7">
        <w:rPr>
          <w:spacing w:val="-4"/>
        </w:rPr>
        <w:t xml:space="preserve"> </w:t>
      </w:r>
      <w:r w:rsidR="00CA514A" w:rsidRPr="00FF3D15">
        <w:t>more</w:t>
      </w:r>
      <w:r w:rsidR="00CA514A" w:rsidRPr="007F09E7">
        <w:rPr>
          <w:spacing w:val="-7"/>
        </w:rPr>
        <w:t xml:space="preserve"> </w:t>
      </w:r>
      <w:r w:rsidR="00CA514A" w:rsidRPr="007F09E7">
        <w:rPr>
          <w:spacing w:val="-1"/>
        </w:rPr>
        <w:t>touch</w:t>
      </w:r>
      <w:r w:rsidR="00D062F0" w:rsidRPr="007F09E7">
        <w:rPr>
          <w:spacing w:val="-1"/>
        </w:rPr>
        <w:t>points</w:t>
      </w:r>
      <w:r w:rsidR="00CA514A" w:rsidRPr="007F09E7">
        <w:rPr>
          <w:spacing w:val="-6"/>
        </w:rPr>
        <w:t xml:space="preserve"> </w:t>
      </w:r>
      <w:r w:rsidR="00CA514A" w:rsidRPr="007F09E7">
        <w:rPr>
          <w:spacing w:val="-1"/>
        </w:rPr>
        <w:t>and/or</w:t>
      </w:r>
      <w:r w:rsidR="00CA514A" w:rsidRPr="007F09E7">
        <w:rPr>
          <w:spacing w:val="-5"/>
        </w:rPr>
        <w:t xml:space="preserve"> </w:t>
      </w:r>
      <w:r w:rsidR="00CA514A" w:rsidRPr="00FF3D15">
        <w:t>a</w:t>
      </w:r>
      <w:r w:rsidR="00CA514A" w:rsidRPr="007F09E7">
        <w:rPr>
          <w:spacing w:val="-5"/>
        </w:rPr>
        <w:t xml:space="preserve"> </w:t>
      </w:r>
      <w:r w:rsidR="00932A75" w:rsidRPr="007F09E7">
        <w:rPr>
          <w:spacing w:val="-1"/>
        </w:rPr>
        <w:t>longer</w:t>
      </w:r>
      <w:r w:rsidR="00932A75" w:rsidRPr="007F09E7">
        <w:rPr>
          <w:spacing w:val="-4"/>
        </w:rPr>
        <w:t xml:space="preserve"> </w:t>
      </w:r>
      <w:r w:rsidR="00932A75" w:rsidRPr="00FF3D15">
        <w:t>timeframe</w:t>
      </w:r>
      <w:r w:rsidR="008C24BF" w:rsidRPr="007F09E7">
        <w:rPr>
          <w:spacing w:val="-4"/>
        </w:rPr>
        <w:t xml:space="preserve"> </w:t>
      </w:r>
      <w:r w:rsidR="00572E44" w:rsidRPr="007F09E7">
        <w:rPr>
          <w:spacing w:val="-1"/>
        </w:rPr>
        <w:t>is</w:t>
      </w:r>
      <w:r w:rsidR="00572E44" w:rsidRPr="007F09E7">
        <w:rPr>
          <w:spacing w:val="-5"/>
        </w:rPr>
        <w:t xml:space="preserve"> </w:t>
      </w:r>
      <w:r w:rsidR="00572E44" w:rsidRPr="007F09E7">
        <w:rPr>
          <w:spacing w:val="-1"/>
        </w:rPr>
        <w:t>needed</w:t>
      </w:r>
      <w:r w:rsidR="00572E44" w:rsidRPr="007F09E7">
        <w:rPr>
          <w:spacing w:val="-4"/>
        </w:rPr>
        <w:t xml:space="preserve"> </w:t>
      </w:r>
      <w:r w:rsidR="00572E44" w:rsidRPr="00FF3D15">
        <w:t>to</w:t>
      </w:r>
      <w:r w:rsidR="00572E44" w:rsidRPr="007F09E7">
        <w:rPr>
          <w:spacing w:val="-6"/>
        </w:rPr>
        <w:t xml:space="preserve"> </w:t>
      </w:r>
      <w:r w:rsidR="00572E44" w:rsidRPr="00FF3D15">
        <w:t>effectively</w:t>
      </w:r>
      <w:r w:rsidR="00572E44" w:rsidRPr="007F09E7">
        <w:rPr>
          <w:spacing w:val="-5"/>
        </w:rPr>
        <w:t xml:space="preserve"> </w:t>
      </w:r>
      <w:r w:rsidR="00572E44" w:rsidRPr="007F09E7">
        <w:rPr>
          <w:spacing w:val="-1"/>
        </w:rPr>
        <w:t>build</w:t>
      </w:r>
      <w:r w:rsidR="00572E44" w:rsidRPr="007F09E7">
        <w:rPr>
          <w:spacing w:val="-4"/>
        </w:rPr>
        <w:t xml:space="preserve"> </w:t>
      </w:r>
      <w:r w:rsidR="00572E44" w:rsidRPr="00FF3D15">
        <w:t>a</w:t>
      </w:r>
      <w:r w:rsidR="00572E44" w:rsidRPr="007F09E7">
        <w:rPr>
          <w:spacing w:val="-5"/>
        </w:rPr>
        <w:t xml:space="preserve"> </w:t>
      </w:r>
      <w:r w:rsidR="00572E44" w:rsidRPr="00FF3D15">
        <w:t>relationship</w:t>
      </w:r>
      <w:r w:rsidR="00572E44" w:rsidRPr="007F09E7">
        <w:rPr>
          <w:spacing w:val="-5"/>
        </w:rPr>
        <w:t xml:space="preserve"> </w:t>
      </w:r>
      <w:r w:rsidR="004905BC" w:rsidRPr="00FF3D15">
        <w:t>and</w:t>
      </w:r>
      <w:r w:rsidR="004905BC" w:rsidRPr="007F09E7">
        <w:rPr>
          <w:spacing w:val="-7"/>
        </w:rPr>
        <w:t xml:space="preserve"> </w:t>
      </w:r>
      <w:r w:rsidR="004905BC" w:rsidRPr="00FF3D15">
        <w:t>deliver</w:t>
      </w:r>
      <w:r w:rsidR="004905BC">
        <w:t xml:space="preserve"> </w:t>
      </w:r>
      <w:r w:rsidR="004905BC" w:rsidRPr="00FF3D15">
        <w:t>TWES</w:t>
      </w:r>
      <w:r w:rsidR="004905BC" w:rsidRPr="007F09E7">
        <w:rPr>
          <w:spacing w:val="-10"/>
        </w:rPr>
        <w:t xml:space="preserve"> </w:t>
      </w:r>
      <w:r w:rsidR="004905BC" w:rsidRPr="00FF3D15">
        <w:t>with</w:t>
      </w:r>
      <w:r w:rsidR="004905BC" w:rsidRPr="007F09E7">
        <w:rPr>
          <w:spacing w:val="-9"/>
        </w:rPr>
        <w:t xml:space="preserve"> </w:t>
      </w:r>
      <w:r w:rsidR="004905BC" w:rsidRPr="00FF3D15">
        <w:t>some</w:t>
      </w:r>
      <w:r w:rsidR="004905BC" w:rsidRPr="007F09E7">
        <w:rPr>
          <w:spacing w:val="-7"/>
        </w:rPr>
        <w:t xml:space="preserve"> </w:t>
      </w:r>
      <w:r w:rsidR="004905BC" w:rsidRPr="00FF3D15">
        <w:t>participants</w:t>
      </w:r>
      <w:r w:rsidR="00FF1477">
        <w:t>.</w:t>
      </w:r>
    </w:p>
    <w:p w14:paraId="00ED57C0" w14:textId="779723CA" w:rsidR="007E68F6" w:rsidRPr="00FF3D15" w:rsidRDefault="008154B8" w:rsidP="007F09E7">
      <w:pPr>
        <w:pStyle w:val="Numberedlist"/>
      </w:pPr>
      <w:r w:rsidRPr="00FF3D15">
        <w:rPr>
          <w:b/>
        </w:rPr>
        <w:t>Challenges</w:t>
      </w:r>
      <w:r w:rsidRPr="00FF3D15">
        <w:rPr>
          <w:b/>
          <w:spacing w:val="-6"/>
        </w:rPr>
        <w:t xml:space="preserve"> </w:t>
      </w:r>
      <w:r w:rsidRPr="00FF3D15">
        <w:rPr>
          <w:b/>
        </w:rPr>
        <w:t>in</w:t>
      </w:r>
      <w:r w:rsidRPr="00FF3D15">
        <w:rPr>
          <w:b/>
          <w:spacing w:val="-7"/>
        </w:rPr>
        <w:t xml:space="preserve"> </w:t>
      </w:r>
      <w:r w:rsidRPr="00FF3D15">
        <w:rPr>
          <w:b/>
        </w:rPr>
        <w:t>the</w:t>
      </w:r>
      <w:r w:rsidRPr="00FF3D15">
        <w:rPr>
          <w:b/>
          <w:spacing w:val="-4"/>
        </w:rPr>
        <w:t xml:space="preserve"> </w:t>
      </w:r>
      <w:r w:rsidR="006C5266" w:rsidRPr="00FF3D15">
        <w:rPr>
          <w:b/>
        </w:rPr>
        <w:t>ESAt</w:t>
      </w:r>
      <w:r w:rsidR="006C5266" w:rsidRPr="00FF3D15">
        <w:rPr>
          <w:b/>
          <w:spacing w:val="-6"/>
        </w:rPr>
        <w:t xml:space="preserve"> </w:t>
      </w:r>
      <w:r w:rsidR="006C5266" w:rsidRPr="00FF3D15">
        <w:rPr>
          <w:b/>
          <w:spacing w:val="-1"/>
        </w:rPr>
        <w:t>process</w:t>
      </w:r>
      <w:r w:rsidR="002C324B" w:rsidRPr="00FF3D15">
        <w:rPr>
          <w:b/>
          <w:spacing w:val="-1"/>
        </w:rPr>
        <w:t>:</w:t>
      </w:r>
      <w:r w:rsidR="002C324B" w:rsidRPr="00FF3D15">
        <w:rPr>
          <w:b/>
          <w:spacing w:val="-5"/>
        </w:rPr>
        <w:t xml:space="preserve"> </w:t>
      </w:r>
      <w:r w:rsidR="002C324B" w:rsidRPr="00FF3D15">
        <w:t>Th</w:t>
      </w:r>
      <w:r w:rsidRPr="00FF3D15">
        <w:t>e</w:t>
      </w:r>
      <w:r w:rsidRPr="00FF3D15">
        <w:rPr>
          <w:spacing w:val="-7"/>
        </w:rPr>
        <w:t xml:space="preserve"> </w:t>
      </w:r>
      <w:r w:rsidRPr="00FF3D15">
        <w:t>evaluation</w:t>
      </w:r>
      <w:r w:rsidRPr="00FF3D15">
        <w:rPr>
          <w:spacing w:val="-6"/>
        </w:rPr>
        <w:t xml:space="preserve"> </w:t>
      </w:r>
      <w:r w:rsidR="00C259A2" w:rsidRPr="00FF3D15">
        <w:t>found</w:t>
      </w:r>
      <w:r w:rsidR="00C259A2" w:rsidRPr="00FF3D15">
        <w:rPr>
          <w:spacing w:val="-6"/>
        </w:rPr>
        <w:t xml:space="preserve"> </w:t>
      </w:r>
      <w:r w:rsidR="002C324B" w:rsidRPr="00FF3D15">
        <w:t>a</w:t>
      </w:r>
      <w:r w:rsidR="002C324B" w:rsidRPr="00FF3D15">
        <w:rPr>
          <w:spacing w:val="-7"/>
        </w:rPr>
        <w:t xml:space="preserve"> </w:t>
      </w:r>
      <w:r w:rsidR="002C324B" w:rsidRPr="00FF3D15">
        <w:t>number</w:t>
      </w:r>
      <w:r w:rsidR="002C324B" w:rsidRPr="00FF3D15">
        <w:rPr>
          <w:spacing w:val="-7"/>
        </w:rPr>
        <w:t xml:space="preserve"> </w:t>
      </w:r>
      <w:r w:rsidR="002C324B" w:rsidRPr="00FF3D15">
        <w:t>of</w:t>
      </w:r>
      <w:r w:rsidR="002C324B" w:rsidRPr="00FF3D15">
        <w:rPr>
          <w:spacing w:val="-6"/>
        </w:rPr>
        <w:t xml:space="preserve"> </w:t>
      </w:r>
      <w:r w:rsidR="002C324B" w:rsidRPr="00FF3D15">
        <w:t>challenges</w:t>
      </w:r>
      <w:r w:rsidR="002C324B" w:rsidRPr="00FF3D15">
        <w:rPr>
          <w:spacing w:val="-6"/>
        </w:rPr>
        <w:t xml:space="preserve"> </w:t>
      </w:r>
      <w:r w:rsidR="002C324B" w:rsidRPr="00FF3D15">
        <w:t>that</w:t>
      </w:r>
      <w:r w:rsidR="006B1509">
        <w:rPr>
          <w:w w:val="99"/>
        </w:rPr>
        <w:t xml:space="preserve"> </w:t>
      </w:r>
      <w:r w:rsidR="00C9076E">
        <w:rPr>
          <w:spacing w:val="-1"/>
        </w:rPr>
        <w:t>p</w:t>
      </w:r>
      <w:r w:rsidR="00C9076E" w:rsidRPr="00FF3D15">
        <w:rPr>
          <w:spacing w:val="-1"/>
        </w:rPr>
        <w:t>roviders</w:t>
      </w:r>
      <w:r w:rsidR="00C9076E" w:rsidRPr="00FF3D15">
        <w:rPr>
          <w:spacing w:val="-7"/>
        </w:rPr>
        <w:t xml:space="preserve"> </w:t>
      </w:r>
      <w:r w:rsidR="00183F80" w:rsidRPr="00FF3D15">
        <w:t>have</w:t>
      </w:r>
      <w:r w:rsidR="00183F80" w:rsidRPr="00FF3D15">
        <w:rPr>
          <w:spacing w:val="-8"/>
        </w:rPr>
        <w:t xml:space="preserve"> </w:t>
      </w:r>
      <w:r w:rsidR="00183F80" w:rsidRPr="00FF3D15">
        <w:t>encountered</w:t>
      </w:r>
      <w:r w:rsidR="00183F80" w:rsidRPr="00FF3D15">
        <w:rPr>
          <w:spacing w:val="-8"/>
        </w:rPr>
        <w:t xml:space="preserve"> </w:t>
      </w:r>
      <w:r w:rsidR="002C324B" w:rsidRPr="00FF3D15">
        <w:rPr>
          <w:spacing w:val="-1"/>
        </w:rPr>
        <w:t>in</w:t>
      </w:r>
      <w:r w:rsidR="002C324B" w:rsidRPr="00FF3D15">
        <w:rPr>
          <w:spacing w:val="-6"/>
        </w:rPr>
        <w:t xml:space="preserve"> </w:t>
      </w:r>
      <w:r w:rsidR="00183F80" w:rsidRPr="00FF3D15">
        <w:t>organising</w:t>
      </w:r>
      <w:r w:rsidR="00183F80" w:rsidRPr="00FF3D15">
        <w:rPr>
          <w:spacing w:val="-5"/>
        </w:rPr>
        <w:t xml:space="preserve"> </w:t>
      </w:r>
      <w:r w:rsidR="002C324B" w:rsidRPr="00FF3D15">
        <w:t>ESAt</w:t>
      </w:r>
      <w:r w:rsidR="00183F80" w:rsidRPr="00FF3D15">
        <w:t>s</w:t>
      </w:r>
      <w:r w:rsidR="002C324B" w:rsidRPr="00FF3D15">
        <w:t>.</w:t>
      </w:r>
      <w:r w:rsidR="002C324B" w:rsidRPr="00FF3D15">
        <w:rPr>
          <w:spacing w:val="-7"/>
        </w:rPr>
        <w:t xml:space="preserve"> </w:t>
      </w:r>
      <w:r w:rsidR="00A134BD" w:rsidRPr="00FF3D15">
        <w:t>DESE</w:t>
      </w:r>
      <w:r w:rsidR="00A134BD" w:rsidRPr="00FF3D15">
        <w:rPr>
          <w:spacing w:val="-8"/>
        </w:rPr>
        <w:t xml:space="preserve"> </w:t>
      </w:r>
      <w:r w:rsidR="00A134BD" w:rsidRPr="00FF3D15">
        <w:t>and</w:t>
      </w:r>
      <w:r w:rsidR="00A134BD" w:rsidRPr="00FF3D15">
        <w:rPr>
          <w:spacing w:val="-6"/>
        </w:rPr>
        <w:t xml:space="preserve"> </w:t>
      </w:r>
      <w:r w:rsidR="00A134BD" w:rsidRPr="00FF3D15">
        <w:t>Services</w:t>
      </w:r>
      <w:r w:rsidR="00A134BD" w:rsidRPr="00FF3D15">
        <w:rPr>
          <w:spacing w:val="-7"/>
        </w:rPr>
        <w:t xml:space="preserve"> </w:t>
      </w:r>
      <w:r w:rsidR="002C324B" w:rsidRPr="00FF3D15">
        <w:t>A</w:t>
      </w:r>
      <w:r w:rsidR="00A134BD" w:rsidRPr="00FF3D15">
        <w:t>ustralia</w:t>
      </w:r>
      <w:r w:rsidR="00A134BD" w:rsidRPr="00FF3D15">
        <w:rPr>
          <w:spacing w:val="-6"/>
        </w:rPr>
        <w:t xml:space="preserve"> </w:t>
      </w:r>
      <w:r w:rsidR="00752A39" w:rsidRPr="00FF3D15">
        <w:t>reported</w:t>
      </w:r>
      <w:r w:rsidR="00752A39" w:rsidRPr="00FF3D15">
        <w:rPr>
          <w:spacing w:val="-7"/>
        </w:rPr>
        <w:t xml:space="preserve"> </w:t>
      </w:r>
      <w:r w:rsidR="00A134BD" w:rsidRPr="00FF3D15">
        <w:t>several</w:t>
      </w:r>
      <w:r w:rsidR="00A134BD" w:rsidRPr="00FF3D15">
        <w:rPr>
          <w:spacing w:val="-8"/>
        </w:rPr>
        <w:t xml:space="preserve"> </w:t>
      </w:r>
      <w:r w:rsidR="00A134BD" w:rsidRPr="00FF3D15">
        <w:t>changes</w:t>
      </w:r>
      <w:r w:rsidR="00A134BD" w:rsidRPr="00FF3D15">
        <w:rPr>
          <w:spacing w:val="-6"/>
        </w:rPr>
        <w:t xml:space="preserve"> </w:t>
      </w:r>
      <w:r w:rsidR="00A134BD" w:rsidRPr="00FF3D15">
        <w:t>have</w:t>
      </w:r>
      <w:r w:rsidR="00A134BD" w:rsidRPr="00FF3D15">
        <w:rPr>
          <w:spacing w:val="-7"/>
        </w:rPr>
        <w:t xml:space="preserve"> </w:t>
      </w:r>
      <w:r w:rsidR="00A134BD" w:rsidRPr="00FF3D15">
        <w:t>been</w:t>
      </w:r>
      <w:r w:rsidR="00A134BD" w:rsidRPr="00FF3D15">
        <w:rPr>
          <w:spacing w:val="-5"/>
        </w:rPr>
        <w:t xml:space="preserve"> </w:t>
      </w:r>
      <w:r w:rsidR="00A134BD" w:rsidRPr="00FF3D15">
        <w:t>made</w:t>
      </w:r>
      <w:r w:rsidR="00A134BD" w:rsidRPr="00FF3D15">
        <w:rPr>
          <w:spacing w:val="-6"/>
        </w:rPr>
        <w:t xml:space="preserve"> </w:t>
      </w:r>
      <w:r w:rsidR="00A134BD" w:rsidRPr="00FF3D15">
        <w:t>to</w:t>
      </w:r>
      <w:r w:rsidR="00A134BD" w:rsidRPr="00FF3D15">
        <w:rPr>
          <w:spacing w:val="-5"/>
        </w:rPr>
        <w:t xml:space="preserve"> </w:t>
      </w:r>
      <w:r w:rsidR="00A134BD" w:rsidRPr="00FF3D15">
        <w:t>improve</w:t>
      </w:r>
      <w:r w:rsidR="00A134BD" w:rsidRPr="00FF3D15">
        <w:rPr>
          <w:spacing w:val="-7"/>
        </w:rPr>
        <w:t xml:space="preserve"> </w:t>
      </w:r>
      <w:r w:rsidR="00A134BD" w:rsidRPr="00FF3D15">
        <w:t>the</w:t>
      </w:r>
      <w:r w:rsidR="00A134BD" w:rsidRPr="00FF3D15">
        <w:rPr>
          <w:spacing w:val="-6"/>
        </w:rPr>
        <w:t xml:space="preserve"> </w:t>
      </w:r>
      <w:r w:rsidR="00A134BD" w:rsidRPr="00FF3D15">
        <w:rPr>
          <w:spacing w:val="-1"/>
        </w:rPr>
        <w:t>ESAt</w:t>
      </w:r>
      <w:r w:rsidR="00A134BD" w:rsidRPr="00FF3D15">
        <w:rPr>
          <w:spacing w:val="-5"/>
        </w:rPr>
        <w:t xml:space="preserve"> </w:t>
      </w:r>
      <w:r w:rsidR="00A134BD" w:rsidRPr="00FF3D15">
        <w:t>process</w:t>
      </w:r>
      <w:r w:rsidR="00A134BD" w:rsidRPr="00FF3D15">
        <w:rPr>
          <w:spacing w:val="-5"/>
        </w:rPr>
        <w:t xml:space="preserve"> </w:t>
      </w:r>
      <w:r w:rsidR="00A134BD" w:rsidRPr="00FF3D15">
        <w:t>since</w:t>
      </w:r>
      <w:r w:rsidR="00A134BD" w:rsidRPr="00FF3D15">
        <w:rPr>
          <w:spacing w:val="-7"/>
        </w:rPr>
        <w:t xml:space="preserve"> </w:t>
      </w:r>
      <w:r w:rsidR="00A134BD" w:rsidRPr="00FF3D15">
        <w:t>TWES</w:t>
      </w:r>
      <w:r w:rsidR="00A134BD" w:rsidRPr="00FF3D15">
        <w:rPr>
          <w:spacing w:val="-5"/>
        </w:rPr>
        <w:t xml:space="preserve"> </w:t>
      </w:r>
      <w:r w:rsidR="00A134BD" w:rsidRPr="00FF3D15">
        <w:t>commenced,</w:t>
      </w:r>
      <w:r w:rsidR="00A134BD" w:rsidRPr="00FF3D15">
        <w:rPr>
          <w:spacing w:val="28"/>
          <w:w w:val="99"/>
        </w:rPr>
        <w:t xml:space="preserve"> </w:t>
      </w:r>
      <w:r w:rsidR="00A134BD" w:rsidRPr="00FF3D15">
        <w:rPr>
          <w:spacing w:val="-1"/>
        </w:rPr>
        <w:t>however</w:t>
      </w:r>
      <w:r w:rsidR="00A134BD" w:rsidRPr="00FF3D15">
        <w:rPr>
          <w:spacing w:val="-6"/>
        </w:rPr>
        <w:t xml:space="preserve"> </w:t>
      </w:r>
      <w:r w:rsidR="00752A39" w:rsidRPr="00FF3D15">
        <w:t>interviews</w:t>
      </w:r>
      <w:r w:rsidR="00752A39" w:rsidRPr="00FF3D15">
        <w:rPr>
          <w:spacing w:val="-6"/>
        </w:rPr>
        <w:t xml:space="preserve"> </w:t>
      </w:r>
      <w:r w:rsidR="00752A39" w:rsidRPr="00FF3D15">
        <w:t>with</w:t>
      </w:r>
      <w:r w:rsidR="00752A39" w:rsidRPr="00FF3D15">
        <w:rPr>
          <w:spacing w:val="-8"/>
        </w:rPr>
        <w:t xml:space="preserve"> </w:t>
      </w:r>
      <w:r w:rsidR="00752A39" w:rsidRPr="00FF3D15">
        <w:t>TWES</w:t>
      </w:r>
      <w:r w:rsidR="00752A39" w:rsidRPr="00FF3D15">
        <w:rPr>
          <w:spacing w:val="-7"/>
        </w:rPr>
        <w:t xml:space="preserve"> </w:t>
      </w:r>
      <w:r w:rsidR="00C9076E">
        <w:t>p</w:t>
      </w:r>
      <w:r w:rsidR="00C9076E" w:rsidRPr="00FF3D15">
        <w:t>roviders</w:t>
      </w:r>
      <w:r w:rsidR="00C9076E" w:rsidRPr="00FF3D15">
        <w:rPr>
          <w:spacing w:val="-6"/>
        </w:rPr>
        <w:t xml:space="preserve"> </w:t>
      </w:r>
      <w:r w:rsidR="00752A39" w:rsidRPr="00FF3D15">
        <w:t>suggest</w:t>
      </w:r>
      <w:r w:rsidR="00092B5F" w:rsidRPr="00FF3D15">
        <w:rPr>
          <w:spacing w:val="-7"/>
        </w:rPr>
        <w:t xml:space="preserve"> </w:t>
      </w:r>
      <w:r w:rsidR="00212FD3" w:rsidRPr="00FF3D15">
        <w:t>further</w:t>
      </w:r>
      <w:r w:rsidR="00212FD3" w:rsidRPr="00FF3D15">
        <w:rPr>
          <w:spacing w:val="-8"/>
        </w:rPr>
        <w:t xml:space="preserve"> </w:t>
      </w:r>
      <w:r w:rsidR="00212FD3" w:rsidRPr="00FF3D15">
        <w:t>communication</w:t>
      </w:r>
      <w:r w:rsidR="00212FD3" w:rsidRPr="00FF3D15">
        <w:rPr>
          <w:spacing w:val="-7"/>
        </w:rPr>
        <w:t xml:space="preserve"> </w:t>
      </w:r>
      <w:r w:rsidR="00212FD3" w:rsidRPr="00FF3D15">
        <w:rPr>
          <w:spacing w:val="-1"/>
        </w:rPr>
        <w:t>is</w:t>
      </w:r>
      <w:r w:rsidR="00212FD3" w:rsidRPr="00FF3D15">
        <w:rPr>
          <w:spacing w:val="-7"/>
        </w:rPr>
        <w:t xml:space="preserve"> </w:t>
      </w:r>
      <w:r w:rsidR="00212FD3" w:rsidRPr="00FF3D15">
        <w:t>needed</w:t>
      </w:r>
      <w:r w:rsidR="00212FD3" w:rsidRPr="00FF3D15">
        <w:rPr>
          <w:spacing w:val="-7"/>
        </w:rPr>
        <w:t xml:space="preserve"> </w:t>
      </w:r>
      <w:r w:rsidR="00212FD3" w:rsidRPr="00FF3D15">
        <w:t>to</w:t>
      </w:r>
      <w:r w:rsidR="00212FD3" w:rsidRPr="00FF3D15">
        <w:rPr>
          <w:spacing w:val="-5"/>
        </w:rPr>
        <w:t xml:space="preserve"> </w:t>
      </w:r>
      <w:r w:rsidR="0085675A" w:rsidRPr="00FF3D15">
        <w:t>address</w:t>
      </w:r>
      <w:r w:rsidR="0085675A" w:rsidRPr="00FF3D15">
        <w:rPr>
          <w:spacing w:val="38"/>
          <w:w w:val="99"/>
        </w:rPr>
        <w:t xml:space="preserve"> </w:t>
      </w:r>
      <w:r w:rsidR="0085675A" w:rsidRPr="00FF3D15">
        <w:rPr>
          <w:spacing w:val="-1"/>
        </w:rPr>
        <w:t>continued</w:t>
      </w:r>
      <w:r w:rsidR="0085675A" w:rsidRPr="00FF3D15">
        <w:rPr>
          <w:spacing w:val="-8"/>
        </w:rPr>
        <w:t xml:space="preserve"> </w:t>
      </w:r>
      <w:r w:rsidR="0085675A" w:rsidRPr="00FF3D15">
        <w:t>misconceptions</w:t>
      </w:r>
      <w:r w:rsidR="0085675A" w:rsidRPr="00FF3D15">
        <w:rPr>
          <w:spacing w:val="-3"/>
        </w:rPr>
        <w:t xml:space="preserve"> </w:t>
      </w:r>
      <w:r w:rsidR="007E68F6" w:rsidRPr="00FF3D15">
        <w:t>about</w:t>
      </w:r>
      <w:r w:rsidR="007E68F6" w:rsidRPr="00FF3D15">
        <w:rPr>
          <w:spacing w:val="-9"/>
        </w:rPr>
        <w:t xml:space="preserve"> </w:t>
      </w:r>
      <w:r w:rsidR="007E68F6" w:rsidRPr="00FF3D15">
        <w:t>the</w:t>
      </w:r>
      <w:r w:rsidR="007E68F6" w:rsidRPr="00FF3D15">
        <w:rPr>
          <w:spacing w:val="-9"/>
        </w:rPr>
        <w:t xml:space="preserve"> </w:t>
      </w:r>
      <w:r w:rsidR="007E68F6" w:rsidRPr="00FF3D15">
        <w:t>ESAt</w:t>
      </w:r>
      <w:r w:rsidR="007E68F6" w:rsidRPr="00FF3D15">
        <w:rPr>
          <w:spacing w:val="-9"/>
        </w:rPr>
        <w:t xml:space="preserve"> </w:t>
      </w:r>
      <w:r w:rsidR="007E68F6" w:rsidRPr="00FF3D15">
        <w:rPr>
          <w:spacing w:val="-1"/>
        </w:rPr>
        <w:t>process</w:t>
      </w:r>
      <w:r w:rsidR="00FF1477">
        <w:rPr>
          <w:spacing w:val="-1"/>
        </w:rPr>
        <w:t>.</w:t>
      </w:r>
    </w:p>
    <w:p w14:paraId="4D0A640F" w14:textId="1F9FE48F" w:rsidR="00791FC7" w:rsidRPr="00FF3D15" w:rsidRDefault="00791FC7" w:rsidP="007F09E7">
      <w:pPr>
        <w:pStyle w:val="Numberedlist"/>
      </w:pPr>
      <w:r w:rsidRPr="00FF3D15">
        <w:rPr>
          <w:b/>
          <w:spacing w:val="-1"/>
        </w:rPr>
        <w:t>Cultural</w:t>
      </w:r>
      <w:r w:rsidRPr="00FF3D15">
        <w:rPr>
          <w:b/>
          <w:spacing w:val="-9"/>
        </w:rPr>
        <w:t xml:space="preserve"> </w:t>
      </w:r>
      <w:r w:rsidRPr="00FF3D15">
        <w:rPr>
          <w:b/>
        </w:rPr>
        <w:t>competence</w:t>
      </w:r>
      <w:r w:rsidRPr="00FF3D15">
        <w:rPr>
          <w:b/>
          <w:spacing w:val="-8"/>
        </w:rPr>
        <w:t xml:space="preserve"> </w:t>
      </w:r>
      <w:r w:rsidRPr="00FF3D15">
        <w:rPr>
          <w:b/>
        </w:rPr>
        <w:t>within</w:t>
      </w:r>
      <w:r w:rsidRPr="00FF3D15">
        <w:rPr>
          <w:b/>
          <w:spacing w:val="-6"/>
        </w:rPr>
        <w:t xml:space="preserve"> </w:t>
      </w:r>
      <w:r w:rsidRPr="00FF3D15">
        <w:rPr>
          <w:b/>
        </w:rPr>
        <w:t>corrections</w:t>
      </w:r>
      <w:r w:rsidRPr="00FF3D15">
        <w:rPr>
          <w:b/>
          <w:spacing w:val="-6"/>
        </w:rPr>
        <w:t xml:space="preserve"> </w:t>
      </w:r>
      <w:r w:rsidRPr="00FF3D15">
        <w:rPr>
          <w:b/>
          <w:spacing w:val="-1"/>
        </w:rPr>
        <w:t>system:</w:t>
      </w:r>
      <w:r w:rsidRPr="00FF3D15">
        <w:rPr>
          <w:b/>
          <w:spacing w:val="-8"/>
        </w:rPr>
        <w:t xml:space="preserve"> </w:t>
      </w:r>
      <w:r w:rsidR="005073BA" w:rsidRPr="00FF3D15">
        <w:t>State</w:t>
      </w:r>
      <w:r w:rsidR="005073BA" w:rsidRPr="00FF3D15">
        <w:rPr>
          <w:spacing w:val="-8"/>
        </w:rPr>
        <w:t xml:space="preserve"> </w:t>
      </w:r>
      <w:r w:rsidR="005073BA" w:rsidRPr="00FF3D15">
        <w:t>and</w:t>
      </w:r>
      <w:r w:rsidR="005073BA" w:rsidRPr="00FF3D15">
        <w:rPr>
          <w:spacing w:val="-9"/>
        </w:rPr>
        <w:t xml:space="preserve"> </w:t>
      </w:r>
      <w:r w:rsidR="00467A51">
        <w:rPr>
          <w:spacing w:val="-9"/>
        </w:rPr>
        <w:t>territory</w:t>
      </w:r>
      <w:r w:rsidR="005073BA" w:rsidRPr="00FF3D15">
        <w:rPr>
          <w:spacing w:val="-6"/>
        </w:rPr>
        <w:t xml:space="preserve"> </w:t>
      </w:r>
      <w:r w:rsidR="00B8505B" w:rsidRPr="00FF3D15">
        <w:t>governments</w:t>
      </w:r>
      <w:r w:rsidR="00B8505B" w:rsidRPr="00FF3D15">
        <w:rPr>
          <w:spacing w:val="-8"/>
        </w:rPr>
        <w:t xml:space="preserve"> </w:t>
      </w:r>
      <w:r w:rsidR="006422C4" w:rsidRPr="00FF3D15">
        <w:t>are</w:t>
      </w:r>
      <w:r w:rsidR="006422C4" w:rsidRPr="00FF3D15">
        <w:rPr>
          <w:spacing w:val="-8"/>
        </w:rPr>
        <w:t xml:space="preserve"> </w:t>
      </w:r>
      <w:r w:rsidR="005073BA" w:rsidRPr="00FF3D15">
        <w:t>key</w:t>
      </w:r>
      <w:r w:rsidR="005073BA" w:rsidRPr="00FF3D15">
        <w:rPr>
          <w:spacing w:val="52"/>
          <w:w w:val="99"/>
        </w:rPr>
        <w:t xml:space="preserve"> </w:t>
      </w:r>
      <w:r w:rsidR="005073BA" w:rsidRPr="00FF3D15">
        <w:rPr>
          <w:spacing w:val="-1"/>
        </w:rPr>
        <w:t>stakeholders</w:t>
      </w:r>
      <w:r w:rsidR="005073BA" w:rsidRPr="00FF3D15">
        <w:rPr>
          <w:spacing w:val="-6"/>
        </w:rPr>
        <w:t xml:space="preserve"> </w:t>
      </w:r>
      <w:r w:rsidR="005073BA" w:rsidRPr="00FF3D15">
        <w:t>in</w:t>
      </w:r>
      <w:r w:rsidR="005073BA" w:rsidRPr="00FF3D15">
        <w:rPr>
          <w:spacing w:val="-6"/>
        </w:rPr>
        <w:t xml:space="preserve"> </w:t>
      </w:r>
      <w:r w:rsidR="005073BA" w:rsidRPr="00FF3D15">
        <w:t>delivering</w:t>
      </w:r>
      <w:r w:rsidR="005073BA" w:rsidRPr="00FF3D15">
        <w:rPr>
          <w:spacing w:val="-4"/>
        </w:rPr>
        <w:t xml:space="preserve"> </w:t>
      </w:r>
      <w:r w:rsidR="005073BA" w:rsidRPr="00FF3D15">
        <w:t>TWES</w:t>
      </w:r>
      <w:r w:rsidR="006422C4" w:rsidRPr="00FF3D15">
        <w:t>,</w:t>
      </w:r>
      <w:r w:rsidR="006422C4" w:rsidRPr="00FF3D15">
        <w:rPr>
          <w:spacing w:val="-6"/>
        </w:rPr>
        <w:t xml:space="preserve"> </w:t>
      </w:r>
      <w:r w:rsidR="006422C4" w:rsidRPr="00FF3D15">
        <w:t>and</w:t>
      </w:r>
      <w:r w:rsidR="006422C4" w:rsidRPr="00FF3D15">
        <w:rPr>
          <w:spacing w:val="-5"/>
        </w:rPr>
        <w:t xml:space="preserve"> </w:t>
      </w:r>
      <w:r w:rsidR="006422C4" w:rsidRPr="00FF3D15">
        <w:t>their</w:t>
      </w:r>
      <w:r w:rsidR="006422C4" w:rsidRPr="00FF3D15">
        <w:rPr>
          <w:spacing w:val="-5"/>
        </w:rPr>
        <w:t xml:space="preserve"> </w:t>
      </w:r>
      <w:r w:rsidR="006422C4" w:rsidRPr="00FF3D15">
        <w:t>support</w:t>
      </w:r>
      <w:r w:rsidR="006422C4" w:rsidRPr="00FF3D15">
        <w:rPr>
          <w:spacing w:val="-6"/>
        </w:rPr>
        <w:t xml:space="preserve"> </w:t>
      </w:r>
      <w:r w:rsidR="006422C4" w:rsidRPr="00FF3D15">
        <w:rPr>
          <w:spacing w:val="-1"/>
        </w:rPr>
        <w:t>is</w:t>
      </w:r>
      <w:r w:rsidR="006422C4" w:rsidRPr="00FF3D15">
        <w:rPr>
          <w:spacing w:val="-5"/>
        </w:rPr>
        <w:t xml:space="preserve"> </w:t>
      </w:r>
      <w:r w:rsidR="006422C4" w:rsidRPr="00FF3D15">
        <w:t>critical</w:t>
      </w:r>
      <w:r w:rsidR="006422C4" w:rsidRPr="00FF3D15">
        <w:rPr>
          <w:spacing w:val="-6"/>
        </w:rPr>
        <w:t xml:space="preserve"> </w:t>
      </w:r>
      <w:r w:rsidR="006422C4" w:rsidRPr="00FF3D15">
        <w:t>to</w:t>
      </w:r>
      <w:r w:rsidR="006422C4" w:rsidRPr="00FF3D15">
        <w:rPr>
          <w:spacing w:val="-6"/>
        </w:rPr>
        <w:t xml:space="preserve"> </w:t>
      </w:r>
      <w:r w:rsidR="006422C4" w:rsidRPr="00FF3D15">
        <w:t>the</w:t>
      </w:r>
      <w:r w:rsidR="006422C4" w:rsidRPr="00FF3D15">
        <w:rPr>
          <w:spacing w:val="-6"/>
        </w:rPr>
        <w:t xml:space="preserve"> </w:t>
      </w:r>
      <w:r w:rsidR="006422C4" w:rsidRPr="00FF3D15">
        <w:t>success</w:t>
      </w:r>
      <w:r w:rsidR="006422C4" w:rsidRPr="00FF3D15">
        <w:rPr>
          <w:spacing w:val="-5"/>
        </w:rPr>
        <w:t xml:space="preserve"> </w:t>
      </w:r>
      <w:r w:rsidR="006422C4" w:rsidRPr="00FF3D15">
        <w:t>of</w:t>
      </w:r>
      <w:r w:rsidR="006422C4" w:rsidRPr="00FF3D15">
        <w:rPr>
          <w:spacing w:val="-3"/>
        </w:rPr>
        <w:t xml:space="preserve"> </w:t>
      </w:r>
      <w:r w:rsidR="006422C4" w:rsidRPr="00FF3D15">
        <w:t>the</w:t>
      </w:r>
      <w:r w:rsidR="006422C4" w:rsidRPr="00FF3D15">
        <w:rPr>
          <w:spacing w:val="-4"/>
        </w:rPr>
        <w:t xml:space="preserve"> </w:t>
      </w:r>
      <w:r w:rsidR="006422C4" w:rsidRPr="00FF3D15">
        <w:t>service.</w:t>
      </w:r>
      <w:r w:rsidR="006422C4" w:rsidRPr="00FF3D15">
        <w:rPr>
          <w:spacing w:val="50"/>
          <w:w w:val="99"/>
        </w:rPr>
        <w:t xml:space="preserve"> </w:t>
      </w:r>
      <w:r w:rsidR="00B8505B" w:rsidRPr="00FF3D15">
        <w:rPr>
          <w:spacing w:val="-1"/>
        </w:rPr>
        <w:t>Interviews</w:t>
      </w:r>
      <w:r w:rsidR="00B8505B" w:rsidRPr="00FF3D15">
        <w:rPr>
          <w:spacing w:val="-8"/>
        </w:rPr>
        <w:t xml:space="preserve"> </w:t>
      </w:r>
      <w:r w:rsidR="00B8505B" w:rsidRPr="00FF3D15">
        <w:t>with</w:t>
      </w:r>
      <w:r w:rsidR="00B8505B" w:rsidRPr="00FF3D15">
        <w:rPr>
          <w:spacing w:val="-8"/>
        </w:rPr>
        <w:t xml:space="preserve"> </w:t>
      </w:r>
      <w:r w:rsidR="00B8505B" w:rsidRPr="00FF3D15">
        <w:t>representatives</w:t>
      </w:r>
      <w:r w:rsidR="00B8505B" w:rsidRPr="00FF3D15">
        <w:rPr>
          <w:spacing w:val="-8"/>
        </w:rPr>
        <w:t xml:space="preserve"> </w:t>
      </w:r>
      <w:r w:rsidR="00B8505B" w:rsidRPr="00FF3D15">
        <w:t>of</w:t>
      </w:r>
      <w:r w:rsidR="00B8505B" w:rsidRPr="00FF3D15">
        <w:rPr>
          <w:spacing w:val="-7"/>
        </w:rPr>
        <w:t xml:space="preserve"> </w:t>
      </w:r>
      <w:r w:rsidR="004E0511" w:rsidRPr="00FF3D15">
        <w:t>all</w:t>
      </w:r>
      <w:r w:rsidR="004E0511" w:rsidRPr="00FF3D15">
        <w:rPr>
          <w:spacing w:val="-10"/>
        </w:rPr>
        <w:t xml:space="preserve"> </w:t>
      </w:r>
      <w:r w:rsidR="00B63B84">
        <w:t>s</w:t>
      </w:r>
      <w:r w:rsidR="00B63B84" w:rsidRPr="00FF3D15">
        <w:t>tate</w:t>
      </w:r>
      <w:r w:rsidR="00B8505B" w:rsidRPr="00FF3D15">
        <w:t>/</w:t>
      </w:r>
      <w:r w:rsidR="00B63B84">
        <w:t>t</w:t>
      </w:r>
      <w:r w:rsidR="00B63B84" w:rsidRPr="00FF3D15">
        <w:t>erritory</w:t>
      </w:r>
      <w:r w:rsidR="00B63B84" w:rsidRPr="00FF3D15">
        <w:rPr>
          <w:spacing w:val="-6"/>
        </w:rPr>
        <w:t xml:space="preserve"> </w:t>
      </w:r>
      <w:r w:rsidR="00920DC7">
        <w:rPr>
          <w:spacing w:val="-6"/>
        </w:rPr>
        <w:t>g</w:t>
      </w:r>
      <w:r w:rsidR="005E0ADC">
        <w:rPr>
          <w:spacing w:val="-6"/>
        </w:rPr>
        <w:t xml:space="preserve">overnment stakeholders </w:t>
      </w:r>
      <w:r w:rsidR="004E0511" w:rsidRPr="00FF3D15">
        <w:t>found</w:t>
      </w:r>
      <w:r w:rsidR="004E0511" w:rsidRPr="00FF3D15">
        <w:rPr>
          <w:spacing w:val="-6"/>
        </w:rPr>
        <w:t xml:space="preserve"> </w:t>
      </w:r>
      <w:r w:rsidR="00E736F1" w:rsidRPr="00FF3D15">
        <w:rPr>
          <w:spacing w:val="-1"/>
        </w:rPr>
        <w:t>one</w:t>
      </w:r>
      <w:r w:rsidR="00E736F1" w:rsidRPr="00FF3D15">
        <w:rPr>
          <w:spacing w:val="-9"/>
        </w:rPr>
        <w:t xml:space="preserve"> </w:t>
      </w:r>
      <w:r w:rsidR="00E736F1" w:rsidRPr="00FF3D15">
        <w:t>case</w:t>
      </w:r>
      <w:r w:rsidR="00E736F1">
        <w:t xml:space="preserve"> where</w:t>
      </w:r>
      <w:r w:rsidR="00E736F1" w:rsidRPr="00FF3D15">
        <w:rPr>
          <w:spacing w:val="-8"/>
        </w:rPr>
        <w:t xml:space="preserve"> </w:t>
      </w:r>
      <w:r w:rsidR="007312DA" w:rsidRPr="00FF3D15">
        <w:rPr>
          <w:spacing w:val="1"/>
        </w:rPr>
        <w:t>an</w:t>
      </w:r>
      <w:r w:rsidR="007312DA" w:rsidRPr="00FF3D15">
        <w:rPr>
          <w:spacing w:val="-5"/>
        </w:rPr>
        <w:t xml:space="preserve"> </w:t>
      </w:r>
      <w:r w:rsidR="007312DA" w:rsidRPr="00FF3D15">
        <w:t>interviewee</w:t>
      </w:r>
      <w:r w:rsidR="007312DA" w:rsidRPr="00FF3D15">
        <w:rPr>
          <w:spacing w:val="-6"/>
        </w:rPr>
        <w:t xml:space="preserve"> </w:t>
      </w:r>
      <w:r w:rsidR="007312DA" w:rsidRPr="00FF3D15">
        <w:t>expressed</w:t>
      </w:r>
      <w:r w:rsidR="007312DA" w:rsidRPr="00FF3D15">
        <w:rPr>
          <w:spacing w:val="-8"/>
        </w:rPr>
        <w:t xml:space="preserve"> </w:t>
      </w:r>
      <w:r w:rsidR="007312DA" w:rsidRPr="00FF3D15">
        <w:rPr>
          <w:spacing w:val="-1"/>
        </w:rPr>
        <w:t>views</w:t>
      </w:r>
      <w:r w:rsidR="007312DA" w:rsidRPr="00FF3D15">
        <w:rPr>
          <w:spacing w:val="-6"/>
        </w:rPr>
        <w:t xml:space="preserve"> </w:t>
      </w:r>
      <w:r w:rsidR="007312DA" w:rsidRPr="00FF3D15">
        <w:t>that</w:t>
      </w:r>
      <w:r w:rsidR="00144EF3">
        <w:t xml:space="preserve"> </w:t>
      </w:r>
      <w:r w:rsidR="00920DC7">
        <w:t>the</w:t>
      </w:r>
      <w:r w:rsidR="00144EF3">
        <w:t xml:space="preserve"> </w:t>
      </w:r>
      <w:r w:rsidR="006F233E">
        <w:t>Evaluation Team</w:t>
      </w:r>
      <w:r w:rsidR="00144EF3">
        <w:t xml:space="preserve"> </w:t>
      </w:r>
      <w:r w:rsidR="006A42E3">
        <w:t xml:space="preserve">felt </w:t>
      </w:r>
      <w:r w:rsidR="007312DA" w:rsidRPr="00FF3D15">
        <w:rPr>
          <w:spacing w:val="1"/>
        </w:rPr>
        <w:t>were</w:t>
      </w:r>
      <w:r w:rsidR="007312DA" w:rsidRPr="00FF3D15">
        <w:rPr>
          <w:spacing w:val="-7"/>
        </w:rPr>
        <w:t xml:space="preserve"> </w:t>
      </w:r>
      <w:r w:rsidR="008602F1" w:rsidRPr="00FF3D15">
        <w:t>highly</w:t>
      </w:r>
      <w:r w:rsidR="008602F1" w:rsidRPr="00FF3D15">
        <w:rPr>
          <w:spacing w:val="-7"/>
        </w:rPr>
        <w:t xml:space="preserve"> </w:t>
      </w:r>
      <w:r w:rsidR="008602F1" w:rsidRPr="00FF3D15">
        <w:t>disrespectful</w:t>
      </w:r>
      <w:r w:rsidR="008602F1" w:rsidRPr="00FF3D15">
        <w:rPr>
          <w:spacing w:val="-6"/>
        </w:rPr>
        <w:t xml:space="preserve"> </w:t>
      </w:r>
      <w:r w:rsidR="008602F1" w:rsidRPr="00FF3D15">
        <w:t>of</w:t>
      </w:r>
      <w:r w:rsidR="008602F1" w:rsidRPr="00FF3D15">
        <w:rPr>
          <w:spacing w:val="-6"/>
        </w:rPr>
        <w:t xml:space="preserve"> </w:t>
      </w:r>
      <w:r w:rsidR="00FF765A" w:rsidRPr="00FF3D15">
        <w:t>Aboriginal</w:t>
      </w:r>
      <w:r w:rsidR="00FF765A" w:rsidRPr="00FF3D15">
        <w:rPr>
          <w:spacing w:val="-5"/>
        </w:rPr>
        <w:t xml:space="preserve"> </w:t>
      </w:r>
      <w:r w:rsidR="00FF765A" w:rsidRPr="00FF3D15">
        <w:rPr>
          <w:spacing w:val="-1"/>
        </w:rPr>
        <w:t>and</w:t>
      </w:r>
      <w:r w:rsidR="00FF765A" w:rsidRPr="00FF3D15">
        <w:rPr>
          <w:spacing w:val="-7"/>
        </w:rPr>
        <w:t xml:space="preserve"> </w:t>
      </w:r>
      <w:r w:rsidR="00FF765A" w:rsidRPr="00FF3D15">
        <w:t>Torres</w:t>
      </w:r>
      <w:r w:rsidR="00FF765A" w:rsidRPr="00FF3D15">
        <w:rPr>
          <w:spacing w:val="32"/>
          <w:w w:val="99"/>
        </w:rPr>
        <w:t xml:space="preserve"> </w:t>
      </w:r>
      <w:r w:rsidR="00FF765A" w:rsidRPr="00FF3D15">
        <w:rPr>
          <w:spacing w:val="-1"/>
        </w:rPr>
        <w:t>Strait</w:t>
      </w:r>
      <w:r w:rsidR="00FF765A" w:rsidRPr="00FF3D15">
        <w:rPr>
          <w:spacing w:val="-8"/>
        </w:rPr>
        <w:t xml:space="preserve"> </w:t>
      </w:r>
      <w:r w:rsidR="00FF765A" w:rsidRPr="00FF3D15">
        <w:rPr>
          <w:spacing w:val="-1"/>
        </w:rPr>
        <w:t>Islander</w:t>
      </w:r>
      <w:r w:rsidR="00FF765A" w:rsidRPr="00FF3D15">
        <w:rPr>
          <w:spacing w:val="-5"/>
        </w:rPr>
        <w:t xml:space="preserve"> </w:t>
      </w:r>
      <w:r w:rsidR="00FF765A" w:rsidRPr="00FF3D15">
        <w:t>people</w:t>
      </w:r>
      <w:r w:rsidR="00FF765A" w:rsidRPr="00FF3D15">
        <w:rPr>
          <w:spacing w:val="-6"/>
        </w:rPr>
        <w:t xml:space="preserve"> </w:t>
      </w:r>
      <w:r w:rsidR="00FF765A" w:rsidRPr="00FF3D15">
        <w:t>and</w:t>
      </w:r>
      <w:r w:rsidR="00FF765A" w:rsidRPr="00FF3D15">
        <w:rPr>
          <w:spacing w:val="-7"/>
        </w:rPr>
        <w:t xml:space="preserve"> </w:t>
      </w:r>
      <w:r w:rsidR="00FF765A" w:rsidRPr="00FF3D15">
        <w:t>communities</w:t>
      </w:r>
      <w:r w:rsidR="00A47497" w:rsidRPr="00FF3D15">
        <w:t>.</w:t>
      </w:r>
      <w:r w:rsidR="00A47497" w:rsidRPr="00FF3D15">
        <w:rPr>
          <w:spacing w:val="-6"/>
        </w:rPr>
        <w:t xml:space="preserve"> </w:t>
      </w:r>
      <w:r w:rsidR="000260EF">
        <w:t>T</w:t>
      </w:r>
      <w:r w:rsidR="00705F80" w:rsidRPr="00FF3D15">
        <w:t>he</w:t>
      </w:r>
      <w:r w:rsidR="00705F80" w:rsidRPr="00FF3D15">
        <w:rPr>
          <w:spacing w:val="-5"/>
        </w:rPr>
        <w:t xml:space="preserve"> </w:t>
      </w:r>
      <w:r w:rsidR="00612A39" w:rsidRPr="00FF3D15">
        <w:t>views</w:t>
      </w:r>
      <w:r w:rsidR="00612A39" w:rsidRPr="00FF3D15">
        <w:rPr>
          <w:spacing w:val="-6"/>
        </w:rPr>
        <w:t xml:space="preserve"> </w:t>
      </w:r>
      <w:r w:rsidR="00612A39" w:rsidRPr="00FF3D15">
        <w:t>expressed</w:t>
      </w:r>
      <w:r w:rsidR="00612A39" w:rsidRPr="00FF3D15">
        <w:rPr>
          <w:spacing w:val="-8"/>
        </w:rPr>
        <w:t xml:space="preserve"> </w:t>
      </w:r>
      <w:r w:rsidR="00612A39" w:rsidRPr="00FF3D15">
        <w:rPr>
          <w:spacing w:val="-1"/>
        </w:rPr>
        <w:t>were</w:t>
      </w:r>
      <w:r w:rsidR="00612A39" w:rsidRPr="00FF3D15">
        <w:rPr>
          <w:spacing w:val="-8"/>
        </w:rPr>
        <w:t xml:space="preserve"> </w:t>
      </w:r>
      <w:r w:rsidR="0053679F" w:rsidRPr="00FF3D15">
        <w:t>at</w:t>
      </w:r>
      <w:r w:rsidR="0053679F" w:rsidRPr="00FF3D15">
        <w:rPr>
          <w:spacing w:val="-6"/>
        </w:rPr>
        <w:t xml:space="preserve"> </w:t>
      </w:r>
      <w:r w:rsidR="0053679F" w:rsidRPr="00FF3D15">
        <w:t>odds</w:t>
      </w:r>
      <w:r w:rsidR="0053679F" w:rsidRPr="00FF3D15">
        <w:rPr>
          <w:spacing w:val="-5"/>
        </w:rPr>
        <w:t xml:space="preserve"> </w:t>
      </w:r>
      <w:r w:rsidR="0053679F" w:rsidRPr="00FF3D15">
        <w:t>with</w:t>
      </w:r>
      <w:r w:rsidR="0053679F" w:rsidRPr="00FF3D15">
        <w:rPr>
          <w:spacing w:val="-4"/>
        </w:rPr>
        <w:t xml:space="preserve"> </w:t>
      </w:r>
      <w:r w:rsidR="00FB6BE1" w:rsidRPr="00FF3D15">
        <w:t>the</w:t>
      </w:r>
      <w:r w:rsidR="00FB6BE1" w:rsidRPr="00FF3D15">
        <w:rPr>
          <w:spacing w:val="-5"/>
        </w:rPr>
        <w:t xml:space="preserve"> </w:t>
      </w:r>
      <w:r w:rsidR="00AA1B53" w:rsidRPr="00FF3D15">
        <w:t>intent</w:t>
      </w:r>
      <w:r w:rsidR="00AA1B53" w:rsidRPr="00FF3D15">
        <w:rPr>
          <w:spacing w:val="-6"/>
        </w:rPr>
        <w:t xml:space="preserve"> </w:t>
      </w:r>
      <w:r w:rsidR="00AA1B53" w:rsidRPr="00FF3D15">
        <w:t>of</w:t>
      </w:r>
      <w:r w:rsidR="00AA1B53" w:rsidRPr="00FF3D15">
        <w:rPr>
          <w:spacing w:val="-3"/>
        </w:rPr>
        <w:t xml:space="preserve"> </w:t>
      </w:r>
      <w:r w:rsidR="00AA1B53" w:rsidRPr="00FF3D15">
        <w:t>the</w:t>
      </w:r>
      <w:r w:rsidR="00AA1B53" w:rsidRPr="00FF3D15">
        <w:rPr>
          <w:spacing w:val="-6"/>
        </w:rPr>
        <w:t xml:space="preserve"> </w:t>
      </w:r>
      <w:r w:rsidR="00AA1B53" w:rsidRPr="00FF3D15">
        <w:t>IAS</w:t>
      </w:r>
      <w:r w:rsidR="00AA1B53" w:rsidRPr="00FF3D15">
        <w:rPr>
          <w:spacing w:val="-5"/>
        </w:rPr>
        <w:t xml:space="preserve"> </w:t>
      </w:r>
      <w:r w:rsidR="00AA1B53" w:rsidRPr="00FF3D15">
        <w:rPr>
          <w:spacing w:val="-1"/>
        </w:rPr>
        <w:t>Evaluation</w:t>
      </w:r>
      <w:r w:rsidR="00AA1B53" w:rsidRPr="00FF3D15">
        <w:rPr>
          <w:spacing w:val="-5"/>
        </w:rPr>
        <w:t xml:space="preserve"> </w:t>
      </w:r>
      <w:r w:rsidR="00AA1B53" w:rsidRPr="00FF3D15">
        <w:t>Framework.</w:t>
      </w:r>
      <w:r w:rsidR="00AA1B53" w:rsidRPr="00FF3D15">
        <w:rPr>
          <w:spacing w:val="-5"/>
        </w:rPr>
        <w:t xml:space="preserve"> </w:t>
      </w:r>
      <w:r w:rsidR="006875DA" w:rsidRPr="00FF3D15">
        <w:t>While</w:t>
      </w:r>
      <w:r w:rsidR="006875DA" w:rsidRPr="00FF3D15">
        <w:rPr>
          <w:spacing w:val="-5"/>
        </w:rPr>
        <w:t xml:space="preserve"> </w:t>
      </w:r>
      <w:r w:rsidR="006875DA" w:rsidRPr="00FF3D15">
        <w:t>the</w:t>
      </w:r>
      <w:r w:rsidR="006875DA" w:rsidRPr="00FF3D15">
        <w:rPr>
          <w:spacing w:val="-5"/>
        </w:rPr>
        <w:t xml:space="preserve"> </w:t>
      </w:r>
      <w:r w:rsidR="006875DA" w:rsidRPr="00FF3D15">
        <w:t>existence</w:t>
      </w:r>
      <w:r w:rsidR="006875DA" w:rsidRPr="00FF3D15">
        <w:rPr>
          <w:spacing w:val="-5"/>
        </w:rPr>
        <w:t xml:space="preserve"> </w:t>
      </w:r>
      <w:r w:rsidR="000260EF">
        <w:t xml:space="preserve">of such </w:t>
      </w:r>
      <w:r w:rsidR="007E5D6C">
        <w:t xml:space="preserve">attitudes </w:t>
      </w:r>
      <w:r w:rsidR="00C66C71" w:rsidRPr="00FF3D15">
        <w:rPr>
          <w:spacing w:val="-1"/>
        </w:rPr>
        <w:t>is</w:t>
      </w:r>
      <w:r w:rsidR="00C66C71" w:rsidRPr="00FF3D15">
        <w:rPr>
          <w:spacing w:val="-4"/>
        </w:rPr>
        <w:t xml:space="preserve"> </w:t>
      </w:r>
      <w:r w:rsidR="00C66C71" w:rsidRPr="00FF3D15">
        <w:t>beyond</w:t>
      </w:r>
      <w:r w:rsidR="00C66C71" w:rsidRPr="00FF3D15">
        <w:rPr>
          <w:spacing w:val="-5"/>
        </w:rPr>
        <w:t xml:space="preserve"> </w:t>
      </w:r>
      <w:r w:rsidR="00C66C71" w:rsidRPr="00FF3D15">
        <w:t>the</w:t>
      </w:r>
      <w:r w:rsidR="00C66C71" w:rsidRPr="00FF3D15">
        <w:rPr>
          <w:spacing w:val="-6"/>
        </w:rPr>
        <w:t xml:space="preserve"> </w:t>
      </w:r>
      <w:r w:rsidR="007E5D6C">
        <w:t xml:space="preserve">scope of </w:t>
      </w:r>
      <w:r w:rsidR="00C66C71" w:rsidRPr="00FF3D15">
        <w:t>TWES</w:t>
      </w:r>
      <w:r w:rsidR="007E5D6C">
        <w:t>, or NIAA and DESE</w:t>
      </w:r>
      <w:r w:rsidR="00B812A3" w:rsidRPr="00FF3D15">
        <w:t>,</w:t>
      </w:r>
      <w:r w:rsidR="00B812A3" w:rsidRPr="00FF3D15">
        <w:rPr>
          <w:spacing w:val="-3"/>
        </w:rPr>
        <w:t xml:space="preserve"> </w:t>
      </w:r>
      <w:r w:rsidR="00B812A3" w:rsidRPr="00FF3D15">
        <w:rPr>
          <w:spacing w:val="-1"/>
        </w:rPr>
        <w:t>they</w:t>
      </w:r>
      <w:r w:rsidR="00B812A3" w:rsidRPr="00FF3D15">
        <w:rPr>
          <w:spacing w:val="-3"/>
        </w:rPr>
        <w:t xml:space="preserve"> </w:t>
      </w:r>
      <w:r w:rsidR="00B812A3" w:rsidRPr="00FF3D15">
        <w:rPr>
          <w:spacing w:val="-1"/>
        </w:rPr>
        <w:t>reflect</w:t>
      </w:r>
      <w:r w:rsidR="00B812A3" w:rsidRPr="00FF3D15">
        <w:rPr>
          <w:spacing w:val="-5"/>
        </w:rPr>
        <w:t xml:space="preserve"> </w:t>
      </w:r>
      <w:r w:rsidR="00B812A3" w:rsidRPr="00FF3D15">
        <w:t>a</w:t>
      </w:r>
      <w:r w:rsidR="00B812A3" w:rsidRPr="00FF3D15">
        <w:rPr>
          <w:spacing w:val="-3"/>
        </w:rPr>
        <w:t xml:space="preserve"> </w:t>
      </w:r>
      <w:r w:rsidR="00B812A3" w:rsidRPr="00FF3D15">
        <w:t>barrier</w:t>
      </w:r>
      <w:r w:rsidR="00B812A3" w:rsidRPr="00FF3D15">
        <w:rPr>
          <w:spacing w:val="-6"/>
        </w:rPr>
        <w:t xml:space="preserve"> </w:t>
      </w:r>
      <w:r w:rsidR="00B812A3" w:rsidRPr="00FF3D15">
        <w:t>to</w:t>
      </w:r>
      <w:r w:rsidR="00B812A3" w:rsidRPr="00FF3D15">
        <w:rPr>
          <w:spacing w:val="-5"/>
        </w:rPr>
        <w:t xml:space="preserve"> </w:t>
      </w:r>
      <w:r w:rsidR="00B812A3" w:rsidRPr="00FF3D15">
        <w:t>the</w:t>
      </w:r>
      <w:r w:rsidR="00B812A3" w:rsidRPr="00FF3D15">
        <w:rPr>
          <w:spacing w:val="-5"/>
        </w:rPr>
        <w:t xml:space="preserve"> </w:t>
      </w:r>
      <w:r w:rsidR="00B812A3" w:rsidRPr="00FF3D15">
        <w:t>success</w:t>
      </w:r>
      <w:r w:rsidR="00B812A3" w:rsidRPr="00FF3D15">
        <w:rPr>
          <w:spacing w:val="-4"/>
        </w:rPr>
        <w:t xml:space="preserve"> </w:t>
      </w:r>
      <w:r w:rsidR="00B812A3" w:rsidRPr="00FF3D15">
        <w:t>of</w:t>
      </w:r>
      <w:r w:rsidR="00130C3E">
        <w:rPr>
          <w:spacing w:val="-5"/>
        </w:rPr>
        <w:t xml:space="preserve"> </w:t>
      </w:r>
      <w:r w:rsidR="00850715">
        <w:t>a service like TWES</w:t>
      </w:r>
      <w:r w:rsidR="00C34E22" w:rsidRPr="00FF3D15">
        <w:rPr>
          <w:spacing w:val="-5"/>
        </w:rPr>
        <w:t xml:space="preserve"> </w:t>
      </w:r>
      <w:r w:rsidR="00C34E22" w:rsidRPr="00FF3D15">
        <w:rPr>
          <w:spacing w:val="-1"/>
        </w:rPr>
        <w:t>in</w:t>
      </w:r>
      <w:r w:rsidR="00C34E22" w:rsidRPr="00FF3D15">
        <w:rPr>
          <w:spacing w:val="-5"/>
        </w:rPr>
        <w:t xml:space="preserve"> </w:t>
      </w:r>
      <w:r w:rsidR="00C34E22" w:rsidRPr="00FF3D15">
        <w:t>creating</w:t>
      </w:r>
      <w:r w:rsidR="00C34E22" w:rsidRPr="00FF3D15">
        <w:rPr>
          <w:spacing w:val="-7"/>
        </w:rPr>
        <w:t xml:space="preserve"> </w:t>
      </w:r>
      <w:r w:rsidR="00C34E22" w:rsidRPr="00FF3D15">
        <w:t>better</w:t>
      </w:r>
      <w:r w:rsidR="00C34E22" w:rsidRPr="00FF3D15">
        <w:rPr>
          <w:spacing w:val="-7"/>
        </w:rPr>
        <w:t xml:space="preserve"> </w:t>
      </w:r>
      <w:r w:rsidR="00C34E22" w:rsidRPr="00FF3D15">
        <w:t>outcomes</w:t>
      </w:r>
      <w:r w:rsidR="00C34E22" w:rsidRPr="00FF3D15">
        <w:rPr>
          <w:spacing w:val="-6"/>
        </w:rPr>
        <w:t xml:space="preserve"> </w:t>
      </w:r>
      <w:r w:rsidR="00C34E22" w:rsidRPr="00FF3D15">
        <w:rPr>
          <w:spacing w:val="-1"/>
        </w:rPr>
        <w:t>for</w:t>
      </w:r>
      <w:r w:rsidR="00C34E22" w:rsidRPr="00FF3D15">
        <w:rPr>
          <w:spacing w:val="-4"/>
        </w:rPr>
        <w:t xml:space="preserve"> </w:t>
      </w:r>
      <w:r w:rsidR="00850715">
        <w:rPr>
          <w:spacing w:val="-4"/>
        </w:rPr>
        <w:t xml:space="preserve">Aboriginal and Torres Strait Islander </w:t>
      </w:r>
      <w:r w:rsidR="00C34E22" w:rsidRPr="00FF3D15">
        <w:t>prisoners</w:t>
      </w:r>
      <w:r w:rsidR="00CE7125">
        <w:t>. N</w:t>
      </w:r>
      <w:r w:rsidR="002B6DAC" w:rsidRPr="00FF3D15">
        <w:t>IAA</w:t>
      </w:r>
      <w:r w:rsidR="002B6DAC" w:rsidRPr="00FF3D15">
        <w:rPr>
          <w:spacing w:val="-6"/>
        </w:rPr>
        <w:t xml:space="preserve"> </w:t>
      </w:r>
      <w:r w:rsidR="002B6DAC" w:rsidRPr="00FF3D15">
        <w:rPr>
          <w:spacing w:val="-1"/>
        </w:rPr>
        <w:t>and</w:t>
      </w:r>
      <w:r w:rsidR="002B6DAC" w:rsidRPr="00FF3D15">
        <w:rPr>
          <w:spacing w:val="-5"/>
        </w:rPr>
        <w:t xml:space="preserve"> </w:t>
      </w:r>
      <w:r w:rsidR="002B6DAC" w:rsidRPr="00FF3D15">
        <w:t>DESE</w:t>
      </w:r>
      <w:r w:rsidR="002B6DAC" w:rsidRPr="00FF3D15">
        <w:rPr>
          <w:spacing w:val="-7"/>
        </w:rPr>
        <w:t xml:space="preserve"> </w:t>
      </w:r>
      <w:r w:rsidR="002B6DAC" w:rsidRPr="00FF3D15">
        <w:t>could</w:t>
      </w:r>
      <w:r w:rsidR="002B6DAC" w:rsidRPr="00FF3D15">
        <w:rPr>
          <w:spacing w:val="-7"/>
        </w:rPr>
        <w:t xml:space="preserve"> </w:t>
      </w:r>
      <w:r w:rsidR="002B6DAC" w:rsidRPr="00FF3D15">
        <w:rPr>
          <w:spacing w:val="-1"/>
        </w:rPr>
        <w:t>consider</w:t>
      </w:r>
      <w:r w:rsidR="002B6DAC" w:rsidRPr="00FF3D15">
        <w:rPr>
          <w:spacing w:val="40"/>
          <w:w w:val="99"/>
        </w:rPr>
        <w:t xml:space="preserve"> </w:t>
      </w:r>
      <w:r w:rsidR="002B6DAC" w:rsidRPr="00FF3D15">
        <w:t>opportunities</w:t>
      </w:r>
      <w:r w:rsidR="002B6DAC" w:rsidRPr="00FF3D15">
        <w:rPr>
          <w:spacing w:val="-8"/>
        </w:rPr>
        <w:t xml:space="preserve"> </w:t>
      </w:r>
      <w:r w:rsidR="002B6DAC" w:rsidRPr="00FF3D15">
        <w:t>to</w:t>
      </w:r>
      <w:r w:rsidR="002B6DAC" w:rsidRPr="00FF3D15">
        <w:rPr>
          <w:spacing w:val="-6"/>
        </w:rPr>
        <w:t xml:space="preserve"> </w:t>
      </w:r>
      <w:r w:rsidR="004F0C13" w:rsidRPr="00FF3D15">
        <w:t>influence</w:t>
      </w:r>
      <w:r w:rsidR="004F0C13" w:rsidRPr="00FF3D15">
        <w:rPr>
          <w:spacing w:val="-7"/>
        </w:rPr>
        <w:t xml:space="preserve"> </w:t>
      </w:r>
      <w:r w:rsidR="00467A51">
        <w:t>state</w:t>
      </w:r>
      <w:r w:rsidR="004F0C13" w:rsidRPr="00FF3D15">
        <w:t>/</w:t>
      </w:r>
      <w:r w:rsidR="00467A51">
        <w:t>territory</w:t>
      </w:r>
      <w:r w:rsidR="004F0C13" w:rsidRPr="00FF3D15">
        <w:rPr>
          <w:spacing w:val="-7"/>
        </w:rPr>
        <w:t xml:space="preserve"> </w:t>
      </w:r>
      <w:r w:rsidR="004F0C13" w:rsidRPr="00FF3D15">
        <w:t>governments</w:t>
      </w:r>
      <w:r w:rsidR="004F0C13" w:rsidRPr="00FF3D15">
        <w:rPr>
          <w:spacing w:val="-7"/>
        </w:rPr>
        <w:t xml:space="preserve"> </w:t>
      </w:r>
      <w:r w:rsidR="004F0C13" w:rsidRPr="00FF3D15">
        <w:t>through</w:t>
      </w:r>
      <w:r w:rsidR="004F0C13" w:rsidRPr="00FF3D15">
        <w:rPr>
          <w:spacing w:val="-5"/>
        </w:rPr>
        <w:t xml:space="preserve"> </w:t>
      </w:r>
      <w:r w:rsidR="004F0C13" w:rsidRPr="00FF3D15">
        <w:t>mechanisms</w:t>
      </w:r>
      <w:r w:rsidR="004F0C13" w:rsidRPr="00FF3D15">
        <w:rPr>
          <w:spacing w:val="-7"/>
        </w:rPr>
        <w:t xml:space="preserve"> </w:t>
      </w:r>
      <w:r w:rsidR="004F0C13" w:rsidRPr="00FF3D15">
        <w:t>such</w:t>
      </w:r>
      <w:r w:rsidR="004F0C13" w:rsidRPr="00FF3D15">
        <w:rPr>
          <w:spacing w:val="-6"/>
        </w:rPr>
        <w:t xml:space="preserve"> </w:t>
      </w:r>
      <w:r w:rsidR="004F0C13" w:rsidRPr="00FF3D15">
        <w:t>as</w:t>
      </w:r>
      <w:r w:rsidR="004F0C13" w:rsidRPr="00FF3D15">
        <w:rPr>
          <w:spacing w:val="-8"/>
        </w:rPr>
        <w:t xml:space="preserve"> </w:t>
      </w:r>
      <w:r w:rsidR="004F0C13" w:rsidRPr="00FF3D15">
        <w:rPr>
          <w:spacing w:val="-1"/>
        </w:rPr>
        <w:t>the</w:t>
      </w:r>
      <w:r w:rsidR="004F0C13" w:rsidRPr="00FF3D15">
        <w:rPr>
          <w:spacing w:val="-7"/>
        </w:rPr>
        <w:t xml:space="preserve"> </w:t>
      </w:r>
      <w:r w:rsidR="004F0C13" w:rsidRPr="00FF3D15">
        <w:t>MOU</w:t>
      </w:r>
      <w:r w:rsidR="00FF1477">
        <w:t>.</w:t>
      </w:r>
    </w:p>
    <w:p w14:paraId="0F48ED08" w14:textId="47EF6FF4" w:rsidR="008E44A8" w:rsidRPr="00FA4D5E" w:rsidRDefault="009B3286" w:rsidP="007F09E7">
      <w:pPr>
        <w:pStyle w:val="Numberedlist"/>
      </w:pPr>
      <w:r w:rsidRPr="00FF3D15">
        <w:rPr>
          <w:b/>
          <w:spacing w:val="-1"/>
        </w:rPr>
        <w:t>Constraints</w:t>
      </w:r>
      <w:r w:rsidRPr="00FF3D15">
        <w:rPr>
          <w:b/>
          <w:spacing w:val="-8"/>
        </w:rPr>
        <w:t xml:space="preserve"> </w:t>
      </w:r>
      <w:r w:rsidRPr="00FF3D15">
        <w:rPr>
          <w:b/>
        </w:rPr>
        <w:t>on</w:t>
      </w:r>
      <w:r w:rsidRPr="00FF3D15">
        <w:rPr>
          <w:b/>
          <w:spacing w:val="-6"/>
        </w:rPr>
        <w:t xml:space="preserve"> </w:t>
      </w:r>
      <w:r w:rsidRPr="00FF3D15">
        <w:rPr>
          <w:b/>
        </w:rPr>
        <w:t>prison</w:t>
      </w:r>
      <w:r w:rsidRPr="00FF3D15">
        <w:rPr>
          <w:b/>
          <w:spacing w:val="-6"/>
        </w:rPr>
        <w:t xml:space="preserve"> </w:t>
      </w:r>
      <w:r w:rsidRPr="00FF3D15">
        <w:rPr>
          <w:b/>
        </w:rPr>
        <w:t>facilities:</w:t>
      </w:r>
      <w:r w:rsidRPr="00FF3D15">
        <w:rPr>
          <w:b/>
          <w:spacing w:val="-8"/>
        </w:rPr>
        <w:t xml:space="preserve"> </w:t>
      </w:r>
      <w:r w:rsidR="00861F05" w:rsidRPr="00FF3D15">
        <w:t>Many</w:t>
      </w:r>
      <w:r w:rsidR="00861F05" w:rsidRPr="00FF3D15">
        <w:rPr>
          <w:spacing w:val="-6"/>
        </w:rPr>
        <w:t xml:space="preserve"> </w:t>
      </w:r>
      <w:r w:rsidR="00861F05" w:rsidRPr="00FF3D15">
        <w:t>prisons</w:t>
      </w:r>
      <w:r w:rsidR="00861F05" w:rsidRPr="00FF3D15">
        <w:rPr>
          <w:spacing w:val="-5"/>
        </w:rPr>
        <w:t xml:space="preserve"> </w:t>
      </w:r>
      <w:r w:rsidR="00861F05" w:rsidRPr="00FF3D15">
        <w:t>face</w:t>
      </w:r>
      <w:r w:rsidR="00861F05" w:rsidRPr="00FF3D15">
        <w:rPr>
          <w:spacing w:val="-7"/>
        </w:rPr>
        <w:t xml:space="preserve"> </w:t>
      </w:r>
      <w:r w:rsidR="00861F05" w:rsidRPr="00FF3D15">
        <w:t>constraints</w:t>
      </w:r>
      <w:r w:rsidR="00861F05" w:rsidRPr="00FF3D15">
        <w:rPr>
          <w:spacing w:val="-6"/>
        </w:rPr>
        <w:t xml:space="preserve"> </w:t>
      </w:r>
      <w:r w:rsidR="00861F05" w:rsidRPr="00FF3D15">
        <w:t>on</w:t>
      </w:r>
      <w:r w:rsidR="00861F05" w:rsidRPr="00FF3D15">
        <w:rPr>
          <w:spacing w:val="-6"/>
        </w:rPr>
        <w:t xml:space="preserve"> </w:t>
      </w:r>
      <w:r w:rsidR="00861F05" w:rsidRPr="00FF3D15">
        <w:t>the</w:t>
      </w:r>
      <w:r w:rsidR="00861F05" w:rsidRPr="00FF3D15">
        <w:rPr>
          <w:spacing w:val="-6"/>
        </w:rPr>
        <w:t xml:space="preserve"> </w:t>
      </w:r>
      <w:r w:rsidR="00DE34A2" w:rsidRPr="00FF3D15">
        <w:t>availability</w:t>
      </w:r>
      <w:r w:rsidR="00DE34A2" w:rsidRPr="00FF3D15">
        <w:rPr>
          <w:spacing w:val="-6"/>
        </w:rPr>
        <w:t xml:space="preserve"> </w:t>
      </w:r>
      <w:r w:rsidR="00DE34A2" w:rsidRPr="00FF3D15">
        <w:t>of</w:t>
      </w:r>
      <w:r w:rsidR="00DE34A2" w:rsidRPr="00FF3D15">
        <w:rPr>
          <w:spacing w:val="-7"/>
        </w:rPr>
        <w:t xml:space="preserve"> </w:t>
      </w:r>
      <w:r w:rsidR="00861F05" w:rsidRPr="00FF3D15">
        <w:rPr>
          <w:spacing w:val="-1"/>
        </w:rPr>
        <w:t>f</w:t>
      </w:r>
      <w:r w:rsidR="00B021AC" w:rsidRPr="00FF3D15">
        <w:rPr>
          <w:spacing w:val="-1"/>
        </w:rPr>
        <w:t>acilities</w:t>
      </w:r>
      <w:r w:rsidR="00B021AC">
        <w:rPr>
          <w:spacing w:val="-1"/>
        </w:rPr>
        <w:t xml:space="preserve"> </w:t>
      </w:r>
      <w:r w:rsidR="00532F9F" w:rsidRPr="00FF3D15">
        <w:rPr>
          <w:spacing w:val="-1"/>
        </w:rPr>
        <w:t>and</w:t>
      </w:r>
      <w:r w:rsidR="00532F9F" w:rsidRPr="00FF3D15">
        <w:rPr>
          <w:spacing w:val="-7"/>
        </w:rPr>
        <w:t xml:space="preserve"> </w:t>
      </w:r>
      <w:r w:rsidR="00532F9F" w:rsidRPr="00FF3D15">
        <w:t>resources</w:t>
      </w:r>
      <w:r w:rsidR="00532F9F" w:rsidRPr="00FF3D15">
        <w:rPr>
          <w:spacing w:val="-5"/>
        </w:rPr>
        <w:t xml:space="preserve"> </w:t>
      </w:r>
      <w:r w:rsidR="00DE34A2" w:rsidRPr="00FF3D15">
        <w:rPr>
          <w:spacing w:val="-1"/>
        </w:rPr>
        <w:t>needed</w:t>
      </w:r>
      <w:r w:rsidR="00DE34A2" w:rsidRPr="00FF3D15">
        <w:rPr>
          <w:spacing w:val="-4"/>
        </w:rPr>
        <w:t xml:space="preserve"> </w:t>
      </w:r>
      <w:r w:rsidR="00DE34A2" w:rsidRPr="00FF3D15">
        <w:t>for</w:t>
      </w:r>
      <w:r w:rsidR="00DE34A2" w:rsidRPr="00FF3D15">
        <w:rPr>
          <w:spacing w:val="-4"/>
        </w:rPr>
        <w:t xml:space="preserve"> </w:t>
      </w:r>
      <w:r w:rsidR="00DE34A2" w:rsidRPr="00FF3D15">
        <w:t>TWES</w:t>
      </w:r>
      <w:r w:rsidR="00DE34A2" w:rsidRPr="00FF3D15">
        <w:rPr>
          <w:spacing w:val="-7"/>
        </w:rPr>
        <w:t xml:space="preserve"> </w:t>
      </w:r>
      <w:r w:rsidR="00C9076E">
        <w:t>p</w:t>
      </w:r>
      <w:r w:rsidR="00C9076E" w:rsidRPr="00FF3D15">
        <w:t>roviders</w:t>
      </w:r>
      <w:r w:rsidR="00C9076E" w:rsidRPr="00FF3D15">
        <w:rPr>
          <w:spacing w:val="-6"/>
        </w:rPr>
        <w:t xml:space="preserve"> </w:t>
      </w:r>
      <w:r w:rsidR="00DE34A2" w:rsidRPr="00FF3D15">
        <w:t>to</w:t>
      </w:r>
      <w:r w:rsidR="00DE34A2" w:rsidRPr="00FF3D15">
        <w:rPr>
          <w:spacing w:val="-7"/>
        </w:rPr>
        <w:t xml:space="preserve"> </w:t>
      </w:r>
      <w:r w:rsidR="00DE34A2" w:rsidRPr="00FF3D15">
        <w:rPr>
          <w:spacing w:val="-1"/>
        </w:rPr>
        <w:t>deliver</w:t>
      </w:r>
      <w:r w:rsidR="00DE34A2" w:rsidRPr="00FF3D15">
        <w:rPr>
          <w:spacing w:val="-2"/>
        </w:rPr>
        <w:t xml:space="preserve"> </w:t>
      </w:r>
      <w:r w:rsidR="00DE34A2" w:rsidRPr="00FF3D15">
        <w:t>core</w:t>
      </w:r>
      <w:r w:rsidR="00DE34A2" w:rsidRPr="00FF3D15">
        <w:rPr>
          <w:spacing w:val="-7"/>
        </w:rPr>
        <w:t xml:space="preserve"> </w:t>
      </w:r>
      <w:r w:rsidR="00DE34A2" w:rsidRPr="00FF3D15">
        <w:t>servicing</w:t>
      </w:r>
      <w:r w:rsidR="00DE34A2" w:rsidRPr="00FF3D15">
        <w:rPr>
          <w:spacing w:val="-5"/>
        </w:rPr>
        <w:t xml:space="preserve"> </w:t>
      </w:r>
      <w:r w:rsidR="00DE34A2" w:rsidRPr="00FF3D15">
        <w:rPr>
          <w:spacing w:val="-1"/>
        </w:rPr>
        <w:t>activities</w:t>
      </w:r>
      <w:r w:rsidR="00FA1948" w:rsidRPr="00FF3D15">
        <w:rPr>
          <w:spacing w:val="-5"/>
        </w:rPr>
        <w:t xml:space="preserve"> </w:t>
      </w:r>
      <w:r w:rsidR="00FA1948" w:rsidRPr="00FF3D15">
        <w:t>–</w:t>
      </w:r>
      <w:r w:rsidR="00FA1948" w:rsidRPr="00FF3D15">
        <w:rPr>
          <w:spacing w:val="-5"/>
        </w:rPr>
        <w:t xml:space="preserve"> </w:t>
      </w:r>
      <w:r w:rsidR="00FA1948" w:rsidRPr="00FF3D15">
        <w:t>including</w:t>
      </w:r>
      <w:r w:rsidR="00FA1948">
        <w:t xml:space="preserve"> </w:t>
      </w:r>
      <w:r w:rsidR="00FA1948" w:rsidRPr="00FF3D15">
        <w:t>private</w:t>
      </w:r>
      <w:r w:rsidR="00FA1948" w:rsidRPr="00FF3D15">
        <w:rPr>
          <w:spacing w:val="-7"/>
        </w:rPr>
        <w:t xml:space="preserve"> </w:t>
      </w:r>
      <w:r w:rsidR="00FA1948" w:rsidRPr="00FF3D15">
        <w:rPr>
          <w:spacing w:val="-1"/>
        </w:rPr>
        <w:t>meeting</w:t>
      </w:r>
      <w:r w:rsidR="00FA1948" w:rsidRPr="00FF3D15">
        <w:rPr>
          <w:spacing w:val="-9"/>
        </w:rPr>
        <w:t xml:space="preserve"> </w:t>
      </w:r>
      <w:r w:rsidR="00FA1948" w:rsidRPr="00FF3D15">
        <w:t>rooms,</w:t>
      </w:r>
      <w:r w:rsidR="00FA1948" w:rsidRPr="00FF3D15">
        <w:rPr>
          <w:spacing w:val="-8"/>
        </w:rPr>
        <w:t xml:space="preserve"> </w:t>
      </w:r>
      <w:r w:rsidR="00FA1948" w:rsidRPr="00FF3D15">
        <w:t>phone</w:t>
      </w:r>
      <w:r w:rsidR="00FA1948" w:rsidRPr="00FF3D15">
        <w:rPr>
          <w:spacing w:val="-8"/>
        </w:rPr>
        <w:t xml:space="preserve"> </w:t>
      </w:r>
      <w:r w:rsidR="00FA1948" w:rsidRPr="00FF3D15">
        <w:t>lines</w:t>
      </w:r>
      <w:r w:rsidR="00161B14" w:rsidRPr="00FF3D15">
        <w:rPr>
          <w:spacing w:val="-8"/>
        </w:rPr>
        <w:t xml:space="preserve"> </w:t>
      </w:r>
      <w:r w:rsidR="00161B14" w:rsidRPr="00FF3D15">
        <w:rPr>
          <w:spacing w:val="-1"/>
        </w:rPr>
        <w:t>and</w:t>
      </w:r>
      <w:r w:rsidR="00161B14" w:rsidRPr="00FF3D15">
        <w:rPr>
          <w:spacing w:val="-6"/>
        </w:rPr>
        <w:t xml:space="preserve"> </w:t>
      </w:r>
      <w:r w:rsidR="00161B14" w:rsidRPr="00FF3D15">
        <w:t>videoconferencing</w:t>
      </w:r>
      <w:r w:rsidR="00161B14" w:rsidRPr="00FF3D15">
        <w:rPr>
          <w:spacing w:val="-9"/>
        </w:rPr>
        <w:t xml:space="preserve"> </w:t>
      </w:r>
      <w:r w:rsidR="00161B14" w:rsidRPr="00FF3D15">
        <w:t>facilities.</w:t>
      </w:r>
      <w:r w:rsidR="00161B14" w:rsidRPr="00FF3D15">
        <w:rPr>
          <w:spacing w:val="-7"/>
        </w:rPr>
        <w:t xml:space="preserve"> </w:t>
      </w:r>
      <w:r w:rsidR="00161B14" w:rsidRPr="00FF3D15">
        <w:t>TWES</w:t>
      </w:r>
      <w:r w:rsidR="00161B14" w:rsidRPr="00FF3D15">
        <w:rPr>
          <w:spacing w:val="-7"/>
        </w:rPr>
        <w:t xml:space="preserve"> </w:t>
      </w:r>
      <w:r w:rsidR="00161B14" w:rsidRPr="00FF3D15">
        <w:t>often</w:t>
      </w:r>
      <w:r w:rsidR="00161B14" w:rsidRPr="00FF3D15">
        <w:rPr>
          <w:spacing w:val="-8"/>
        </w:rPr>
        <w:t xml:space="preserve"> </w:t>
      </w:r>
      <w:r w:rsidR="00161B14" w:rsidRPr="00FF3D15">
        <w:t>competes</w:t>
      </w:r>
      <w:r w:rsidR="00161B14" w:rsidRPr="00FF3D15">
        <w:rPr>
          <w:spacing w:val="42"/>
          <w:w w:val="99"/>
        </w:rPr>
        <w:t xml:space="preserve"> </w:t>
      </w:r>
      <w:r w:rsidR="00161B14" w:rsidRPr="00FF3D15">
        <w:rPr>
          <w:spacing w:val="-1"/>
        </w:rPr>
        <w:t>with</w:t>
      </w:r>
      <w:r w:rsidR="00161B14" w:rsidRPr="00FF3D15">
        <w:rPr>
          <w:spacing w:val="-5"/>
        </w:rPr>
        <w:t xml:space="preserve"> </w:t>
      </w:r>
      <w:r w:rsidR="00161B14" w:rsidRPr="00FF3D15">
        <w:t>other</w:t>
      </w:r>
      <w:r w:rsidR="00161B14" w:rsidRPr="00FF3D15">
        <w:rPr>
          <w:spacing w:val="-6"/>
        </w:rPr>
        <w:t xml:space="preserve"> </w:t>
      </w:r>
      <w:r w:rsidR="00560C04" w:rsidRPr="00FF3D15">
        <w:rPr>
          <w:spacing w:val="-1"/>
        </w:rPr>
        <w:t>in-prison</w:t>
      </w:r>
      <w:r w:rsidR="00560C04" w:rsidRPr="00FF3D15">
        <w:rPr>
          <w:spacing w:val="-6"/>
        </w:rPr>
        <w:t xml:space="preserve"> </w:t>
      </w:r>
      <w:r w:rsidR="002D1579" w:rsidRPr="00FF3D15">
        <w:t>services</w:t>
      </w:r>
      <w:r w:rsidR="00FE7A8C" w:rsidRPr="00FF3D15">
        <w:rPr>
          <w:spacing w:val="-4"/>
        </w:rPr>
        <w:t xml:space="preserve"> </w:t>
      </w:r>
      <w:r w:rsidR="00FE7A8C" w:rsidRPr="00FF3D15">
        <w:rPr>
          <w:spacing w:val="-1"/>
        </w:rPr>
        <w:t>and</w:t>
      </w:r>
      <w:r w:rsidR="00560C04" w:rsidRPr="00FF3D15">
        <w:rPr>
          <w:spacing w:val="-5"/>
        </w:rPr>
        <w:t xml:space="preserve"> </w:t>
      </w:r>
      <w:r w:rsidR="00560C04" w:rsidRPr="00FF3D15">
        <w:t>legal</w:t>
      </w:r>
      <w:r w:rsidR="00560C04" w:rsidRPr="00FF3D15">
        <w:rPr>
          <w:spacing w:val="-7"/>
        </w:rPr>
        <w:t xml:space="preserve"> </w:t>
      </w:r>
      <w:r w:rsidR="00450234" w:rsidRPr="00FF3D15">
        <w:t>services</w:t>
      </w:r>
      <w:r w:rsidR="00FE7A8C" w:rsidRPr="00FF3D15">
        <w:rPr>
          <w:spacing w:val="-6"/>
        </w:rPr>
        <w:t xml:space="preserve"> </w:t>
      </w:r>
      <w:r w:rsidR="00FE7A8C" w:rsidRPr="00FF3D15">
        <w:t>for</w:t>
      </w:r>
      <w:r w:rsidR="00FE7A8C" w:rsidRPr="00FF3D15">
        <w:rPr>
          <w:spacing w:val="-5"/>
        </w:rPr>
        <w:t xml:space="preserve"> </w:t>
      </w:r>
      <w:r w:rsidR="00FE7A8C" w:rsidRPr="00FF3D15">
        <w:t>these</w:t>
      </w:r>
      <w:r w:rsidR="00FE7A8C" w:rsidRPr="00FF3D15">
        <w:rPr>
          <w:spacing w:val="-7"/>
        </w:rPr>
        <w:t xml:space="preserve"> </w:t>
      </w:r>
      <w:r w:rsidR="00FE7A8C" w:rsidRPr="00FF3D15">
        <w:t>facilities</w:t>
      </w:r>
      <w:r w:rsidR="00237519" w:rsidRPr="00FF3D15">
        <w:t>,</w:t>
      </w:r>
      <w:r w:rsidR="00237519" w:rsidRPr="00FF3D15">
        <w:rPr>
          <w:spacing w:val="-6"/>
        </w:rPr>
        <w:t xml:space="preserve"> </w:t>
      </w:r>
      <w:r w:rsidR="001B6B1D" w:rsidRPr="00FF3D15">
        <w:t>which</w:t>
      </w:r>
      <w:r w:rsidR="001B6B1D" w:rsidRPr="00FF3D15">
        <w:rPr>
          <w:spacing w:val="-6"/>
        </w:rPr>
        <w:t xml:space="preserve"> </w:t>
      </w:r>
      <w:r w:rsidR="001B6B1D" w:rsidRPr="00FF3D15">
        <w:t>posed</w:t>
      </w:r>
      <w:r w:rsidR="001B6B1D" w:rsidRPr="00FF3D15">
        <w:rPr>
          <w:spacing w:val="-6"/>
        </w:rPr>
        <w:t xml:space="preserve"> </w:t>
      </w:r>
      <w:r w:rsidR="001B6B1D" w:rsidRPr="00FF3D15">
        <w:t>a</w:t>
      </w:r>
      <w:r w:rsidR="001B6B1D" w:rsidRPr="00FF3D15">
        <w:rPr>
          <w:spacing w:val="-4"/>
        </w:rPr>
        <w:t xml:space="preserve"> </w:t>
      </w:r>
      <w:r w:rsidR="001B6B1D" w:rsidRPr="00FF3D15">
        <w:t>greater</w:t>
      </w:r>
      <w:r w:rsidR="001B6B1D">
        <w:t xml:space="preserve"> </w:t>
      </w:r>
      <w:r w:rsidR="001B6B1D" w:rsidRPr="00FF3D15">
        <w:t>challenge</w:t>
      </w:r>
      <w:r w:rsidR="001B6B1D" w:rsidRPr="00FF3D15">
        <w:rPr>
          <w:spacing w:val="-7"/>
        </w:rPr>
        <w:t xml:space="preserve"> </w:t>
      </w:r>
      <w:r w:rsidR="001B6B1D" w:rsidRPr="00FF3D15">
        <w:rPr>
          <w:spacing w:val="-1"/>
        </w:rPr>
        <w:t>to</w:t>
      </w:r>
      <w:r w:rsidR="001B6B1D" w:rsidRPr="00FF3D15">
        <w:rPr>
          <w:spacing w:val="-3"/>
        </w:rPr>
        <w:t xml:space="preserve"> </w:t>
      </w:r>
      <w:r w:rsidR="001B6B1D" w:rsidRPr="00FF3D15">
        <w:t>delivering</w:t>
      </w:r>
      <w:r w:rsidR="001B6B1D" w:rsidRPr="00FF3D15">
        <w:rPr>
          <w:spacing w:val="-5"/>
        </w:rPr>
        <w:t xml:space="preserve"> </w:t>
      </w:r>
      <w:r w:rsidR="001B6B1D" w:rsidRPr="00FF3D15">
        <w:t>TWES</w:t>
      </w:r>
      <w:r w:rsidR="001B6B1D" w:rsidRPr="00FF3D15">
        <w:rPr>
          <w:spacing w:val="-6"/>
        </w:rPr>
        <w:t xml:space="preserve"> </w:t>
      </w:r>
      <w:r w:rsidR="001B6B1D" w:rsidRPr="00FF3D15">
        <w:rPr>
          <w:spacing w:val="-1"/>
        </w:rPr>
        <w:t>within</w:t>
      </w:r>
      <w:r w:rsidR="001B6B1D" w:rsidRPr="00FF3D15">
        <w:rPr>
          <w:spacing w:val="-4"/>
        </w:rPr>
        <w:t xml:space="preserve"> </w:t>
      </w:r>
      <w:r w:rsidR="001B6B1D" w:rsidRPr="00FF3D15">
        <w:t>a</w:t>
      </w:r>
      <w:r w:rsidR="001B6B1D" w:rsidRPr="00FF3D15">
        <w:rPr>
          <w:spacing w:val="-6"/>
        </w:rPr>
        <w:t xml:space="preserve"> </w:t>
      </w:r>
      <w:r w:rsidR="00350CAB" w:rsidRPr="00FF3D15">
        <w:t>three</w:t>
      </w:r>
      <w:r w:rsidR="00350CAB" w:rsidRPr="00FF3D15">
        <w:rPr>
          <w:spacing w:val="-6"/>
        </w:rPr>
        <w:t xml:space="preserve"> </w:t>
      </w:r>
      <w:r w:rsidR="00350CAB" w:rsidRPr="00FF3D15">
        <w:t>to</w:t>
      </w:r>
      <w:r w:rsidR="00350CAB" w:rsidRPr="00FF3D15">
        <w:rPr>
          <w:spacing w:val="-6"/>
        </w:rPr>
        <w:t xml:space="preserve"> </w:t>
      </w:r>
      <w:r w:rsidR="00350CAB" w:rsidRPr="00FF3D15">
        <w:t>four</w:t>
      </w:r>
      <w:r w:rsidR="001B6B1D" w:rsidRPr="00FF3D15">
        <w:rPr>
          <w:spacing w:val="-5"/>
        </w:rPr>
        <w:t xml:space="preserve"> </w:t>
      </w:r>
      <w:r w:rsidR="001B6B1D" w:rsidRPr="00FF3D15">
        <w:rPr>
          <w:spacing w:val="-1"/>
        </w:rPr>
        <w:t>month</w:t>
      </w:r>
      <w:r w:rsidR="001B6B1D" w:rsidRPr="00FF3D15">
        <w:rPr>
          <w:spacing w:val="-4"/>
        </w:rPr>
        <w:t xml:space="preserve"> </w:t>
      </w:r>
      <w:r w:rsidR="001B6B1D" w:rsidRPr="00FF3D15">
        <w:rPr>
          <w:spacing w:val="-1"/>
        </w:rPr>
        <w:t>window</w:t>
      </w:r>
      <w:r w:rsidR="00FF1477">
        <w:rPr>
          <w:spacing w:val="-1"/>
        </w:rPr>
        <w:t>.</w:t>
      </w:r>
    </w:p>
    <w:p w14:paraId="2F6D4E31" w14:textId="0BC017B6" w:rsidR="00C75D9D" w:rsidRPr="00FA4D5E" w:rsidRDefault="00E74863" w:rsidP="00305B4B">
      <w:pPr>
        <w:pStyle w:val="BodyText"/>
        <w:ind w:right="3"/>
        <w:rPr>
          <w:color w:val="000000"/>
        </w:rPr>
      </w:pPr>
      <w:r>
        <w:rPr>
          <w:noProof/>
        </w:rPr>
        <mc:AlternateContent>
          <mc:Choice Requires="wps">
            <w:drawing>
              <wp:inline distT="0" distB="0" distL="0" distR="0" wp14:anchorId="635A4C80" wp14:editId="053B7639">
                <wp:extent cx="6294146" cy="1246094"/>
                <wp:effectExtent l="0" t="0" r="5080" b="0"/>
                <wp:docPr id="73" name="Rectangle: Rounded Corners 73"/>
                <wp:cNvGraphicFramePr/>
                <a:graphic xmlns:a="http://schemas.openxmlformats.org/drawingml/2006/main">
                  <a:graphicData uri="http://schemas.microsoft.com/office/word/2010/wordprocessingShape">
                    <wps:wsp>
                      <wps:cNvSpPr/>
                      <wps:spPr>
                        <a:xfrm>
                          <a:off x="0" y="0"/>
                          <a:ext cx="6294146" cy="1246094"/>
                        </a:xfrm>
                        <a:prstGeom prst="roundRect">
                          <a:avLst/>
                        </a:prstGeom>
                        <a:solidFill>
                          <a:srgbClr val="58B6E7">
                            <a:lumMod val="20000"/>
                            <a:lumOff val="80000"/>
                          </a:srgbClr>
                        </a:solidFill>
                        <a:ln w="25400" cap="flat" cmpd="sng" algn="ctr">
                          <a:noFill/>
                          <a:prstDash val="solid"/>
                        </a:ln>
                        <a:effectLst/>
                      </wps:spPr>
                      <wps:txbx>
                        <w:txbxContent>
                          <w:p w14:paraId="083FC0D4" w14:textId="4848BA9F" w:rsidR="000B1DD2" w:rsidRPr="00064835" w:rsidRDefault="000B1DD2" w:rsidP="00E06C4B">
                            <w:pPr>
                              <w:pStyle w:val="QuoteNoafterspace"/>
                            </w:pPr>
                            <w:r w:rsidRPr="00064835">
                              <w:t>Organising the prison facilities is always a problem. TWES is not a high priority for the prisons as such, they are usually quite resource constrained and we often aren't able to get rooms. Sometimes we have to do appointments in the employment coordinators’ office, sometimes in the visits areas, it depends on the individual prison and its infrastructure.</w:t>
                            </w:r>
                          </w:p>
                          <w:p w14:paraId="153ACC66" w14:textId="51D58AEE" w:rsidR="000B1DD2" w:rsidRPr="00064835" w:rsidRDefault="000B1DD2" w:rsidP="00E06C4B">
                            <w:pPr>
                              <w:pStyle w:val="QuoteNoafterspace"/>
                              <w:jc w:val="right"/>
                            </w:pPr>
                            <w:r w:rsidRPr="00064835">
                              <w:t xml:space="preserve">- </w:t>
                            </w:r>
                            <w:r w:rsidRPr="00064835">
                              <w:rPr>
                                <w:b/>
                                <w:bCs/>
                              </w:rPr>
                              <w:t>Corrections stakeholder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5A4C80" id="Rectangle: Rounded Corners 73" o:spid="_x0000_s1062" style="width:495.6pt;height:98.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" fillcolor="#def0fa" stroked="f" strokeweight="2pt">
                <v:textbox inset="0,0,0,0">
                  <w:txbxContent>
                    <w:p w14:paraId="083FC0D4" w14:textId="4848BA9F" w:rsidR="000B1DD2" w:rsidRPr="00064835" w:rsidRDefault="000B1DD2" w:rsidP="00E06C4B">
                      <w:pPr>
                        <w:pStyle w:val="QuoteNoafterspace"/>
                      </w:pPr>
                      <w:r w:rsidRPr="00064835">
                        <w:t xml:space="preserve">Organising the prison facilities is always a problem. TWES is not a high priority for the prisons as such, they are usually quite resource constrained and we often aren't able to get rooms. Sometimes we have to do appointments in the employment coordinators’ office, sometimes in the </w:t>
                      </w:r>
                      <w:proofErr w:type="gramStart"/>
                      <w:r w:rsidRPr="00064835">
                        <w:t>visits</w:t>
                      </w:r>
                      <w:proofErr w:type="gramEnd"/>
                      <w:r w:rsidRPr="00064835">
                        <w:t xml:space="preserve"> areas, it depends on the individual prison and its infrastructure.</w:t>
                      </w:r>
                    </w:p>
                    <w:p w14:paraId="153ACC66" w14:textId="51D58AEE" w:rsidR="000B1DD2" w:rsidRPr="00064835" w:rsidRDefault="000B1DD2" w:rsidP="00E06C4B">
                      <w:pPr>
                        <w:pStyle w:val="QuoteNoafterspace"/>
                        <w:jc w:val="right"/>
                      </w:pPr>
                      <w:r w:rsidRPr="00064835">
                        <w:t xml:space="preserve">- </w:t>
                      </w:r>
                      <w:r w:rsidRPr="00064835">
                        <w:rPr>
                          <w:b/>
                          <w:bCs/>
                        </w:rPr>
                        <w:t>Corrections stakeholder</w:t>
                      </w:r>
                    </w:p>
                  </w:txbxContent>
                </v:textbox>
                <w10:anchorlock/>
              </v:roundrect>
            </w:pict>
          </mc:Fallback>
        </mc:AlternateContent>
      </w:r>
    </w:p>
    <w:p w14:paraId="7E8C8CC5" w14:textId="5E570A7C" w:rsidR="0032769C" w:rsidRDefault="00101F70" w:rsidP="007F09E7">
      <w:pPr>
        <w:pStyle w:val="Numberedlist"/>
      </w:pPr>
      <w:r w:rsidRPr="00FF3D15">
        <w:rPr>
          <w:b/>
        </w:rPr>
        <w:t>Coordination</w:t>
      </w:r>
      <w:r w:rsidRPr="00FF3D15">
        <w:rPr>
          <w:b/>
          <w:spacing w:val="-10"/>
        </w:rPr>
        <w:t xml:space="preserve"> </w:t>
      </w:r>
      <w:r w:rsidRPr="00FF3D15">
        <w:rPr>
          <w:b/>
        </w:rPr>
        <w:t>challenges</w:t>
      </w:r>
      <w:r w:rsidRPr="00FF3D15">
        <w:rPr>
          <w:b/>
          <w:spacing w:val="-8"/>
        </w:rPr>
        <w:t xml:space="preserve"> </w:t>
      </w:r>
      <w:r w:rsidRPr="00FF3D15">
        <w:rPr>
          <w:b/>
          <w:spacing w:val="-1"/>
        </w:rPr>
        <w:t>across</w:t>
      </w:r>
      <w:r w:rsidRPr="00FF3D15">
        <w:rPr>
          <w:b/>
          <w:spacing w:val="-10"/>
        </w:rPr>
        <w:t xml:space="preserve"> </w:t>
      </w:r>
      <w:r w:rsidRPr="00FF3D15">
        <w:rPr>
          <w:b/>
        </w:rPr>
        <w:t>Commonwealth</w:t>
      </w:r>
      <w:r w:rsidRPr="00FF3D15">
        <w:rPr>
          <w:b/>
          <w:spacing w:val="-10"/>
        </w:rPr>
        <w:t xml:space="preserve"> </w:t>
      </w:r>
      <w:r w:rsidRPr="00FF3D15">
        <w:rPr>
          <w:b/>
        </w:rPr>
        <w:t>and</w:t>
      </w:r>
      <w:r w:rsidRPr="00FF3D15">
        <w:rPr>
          <w:b/>
          <w:spacing w:val="-10"/>
        </w:rPr>
        <w:t xml:space="preserve"> </w:t>
      </w:r>
      <w:r w:rsidRPr="00FF3D15">
        <w:rPr>
          <w:b/>
        </w:rPr>
        <w:t>states/territories</w:t>
      </w:r>
      <w:r w:rsidR="00EF17A6" w:rsidRPr="00FF3D15">
        <w:rPr>
          <w:b/>
        </w:rPr>
        <w:t>:</w:t>
      </w:r>
      <w:r w:rsidR="00EF17A6" w:rsidRPr="00FF3D15">
        <w:rPr>
          <w:b/>
          <w:spacing w:val="-7"/>
        </w:rPr>
        <w:t xml:space="preserve"> </w:t>
      </w:r>
      <w:r w:rsidR="00760E2A" w:rsidRPr="00FF3D15">
        <w:t>Because</w:t>
      </w:r>
      <w:r w:rsidR="00760E2A" w:rsidRPr="00FF3D15">
        <w:rPr>
          <w:spacing w:val="-11"/>
        </w:rPr>
        <w:t xml:space="preserve"> </w:t>
      </w:r>
      <w:r w:rsidR="00760E2A" w:rsidRPr="00FF3D15">
        <w:t>TWES</w:t>
      </w:r>
      <w:r w:rsidR="00760E2A" w:rsidRPr="00FF3D15">
        <w:rPr>
          <w:spacing w:val="-8"/>
        </w:rPr>
        <w:t xml:space="preserve"> </w:t>
      </w:r>
      <w:r w:rsidR="00760E2A" w:rsidRPr="00FF3D15">
        <w:rPr>
          <w:spacing w:val="-1"/>
        </w:rPr>
        <w:t>is</w:t>
      </w:r>
      <w:r w:rsidR="00760E2A" w:rsidRPr="00FF3D15">
        <w:rPr>
          <w:spacing w:val="28"/>
          <w:w w:val="99"/>
        </w:rPr>
        <w:t xml:space="preserve"> </w:t>
      </w:r>
      <w:r w:rsidR="00760E2A" w:rsidRPr="00FF3D15">
        <w:t>a</w:t>
      </w:r>
      <w:r w:rsidR="00760E2A" w:rsidRPr="00FF3D15">
        <w:rPr>
          <w:spacing w:val="-9"/>
        </w:rPr>
        <w:t xml:space="preserve"> </w:t>
      </w:r>
      <w:r w:rsidR="00760E2A" w:rsidRPr="00FF3D15">
        <w:t>Commonwealth</w:t>
      </w:r>
      <w:r w:rsidR="00760E2A" w:rsidRPr="00FF3D15">
        <w:rPr>
          <w:spacing w:val="-7"/>
        </w:rPr>
        <w:t xml:space="preserve"> </w:t>
      </w:r>
      <w:r w:rsidR="00760E2A" w:rsidRPr="00FF3D15">
        <w:t>Government-funded</w:t>
      </w:r>
      <w:r w:rsidR="00760E2A" w:rsidRPr="00FF3D15">
        <w:rPr>
          <w:spacing w:val="-9"/>
        </w:rPr>
        <w:t xml:space="preserve"> </w:t>
      </w:r>
      <w:r w:rsidR="00760E2A" w:rsidRPr="00FF3D15">
        <w:t>program</w:t>
      </w:r>
      <w:r w:rsidR="00760E2A" w:rsidRPr="00FF3D15">
        <w:rPr>
          <w:spacing w:val="-9"/>
        </w:rPr>
        <w:t xml:space="preserve"> </w:t>
      </w:r>
      <w:r w:rsidR="00760E2A" w:rsidRPr="00FF3D15">
        <w:t>being</w:t>
      </w:r>
      <w:r w:rsidR="00760E2A" w:rsidRPr="00FF3D15">
        <w:rPr>
          <w:spacing w:val="-8"/>
        </w:rPr>
        <w:t xml:space="preserve"> </w:t>
      </w:r>
      <w:r w:rsidR="00760E2A" w:rsidRPr="00FF3D15">
        <w:t>delivered</w:t>
      </w:r>
      <w:r w:rsidR="00760E2A" w:rsidRPr="00FF3D15">
        <w:rPr>
          <w:spacing w:val="-7"/>
        </w:rPr>
        <w:t xml:space="preserve"> </w:t>
      </w:r>
      <w:r w:rsidR="00760E2A" w:rsidRPr="00FF3D15">
        <w:rPr>
          <w:spacing w:val="-1"/>
        </w:rPr>
        <w:t>within</w:t>
      </w:r>
      <w:r w:rsidR="00760E2A" w:rsidRPr="00FF3D15">
        <w:rPr>
          <w:spacing w:val="-7"/>
        </w:rPr>
        <w:t xml:space="preserve"> </w:t>
      </w:r>
      <w:r w:rsidR="00760E2A" w:rsidRPr="00FF3D15">
        <w:t>prisons</w:t>
      </w:r>
      <w:r w:rsidR="00760E2A" w:rsidRPr="00FF3D15">
        <w:rPr>
          <w:spacing w:val="-8"/>
        </w:rPr>
        <w:t xml:space="preserve"> </w:t>
      </w:r>
      <w:r w:rsidR="00760E2A" w:rsidRPr="00FF3D15">
        <w:t>that</w:t>
      </w:r>
      <w:r w:rsidR="00760E2A" w:rsidRPr="00FF3D15">
        <w:rPr>
          <w:spacing w:val="-9"/>
        </w:rPr>
        <w:t xml:space="preserve"> </w:t>
      </w:r>
      <w:r w:rsidR="00760E2A" w:rsidRPr="00FF3D15">
        <w:rPr>
          <w:spacing w:val="-1"/>
        </w:rPr>
        <w:t>are</w:t>
      </w:r>
      <w:r w:rsidR="00760E2A">
        <w:rPr>
          <w:spacing w:val="-1"/>
        </w:rPr>
        <w:t xml:space="preserve"> managed</w:t>
      </w:r>
      <w:r w:rsidR="00760E2A" w:rsidRPr="00FF3D15">
        <w:rPr>
          <w:spacing w:val="-9"/>
        </w:rPr>
        <w:t xml:space="preserve"> </w:t>
      </w:r>
      <w:r w:rsidR="00760E2A" w:rsidRPr="00FF3D15">
        <w:rPr>
          <w:spacing w:val="-1"/>
        </w:rPr>
        <w:t>by</w:t>
      </w:r>
      <w:r w:rsidR="00760E2A" w:rsidRPr="00FF3D15">
        <w:rPr>
          <w:spacing w:val="-7"/>
        </w:rPr>
        <w:t xml:space="preserve"> </w:t>
      </w:r>
      <w:r w:rsidR="00467A51">
        <w:t>state</w:t>
      </w:r>
      <w:r w:rsidR="00760E2A" w:rsidRPr="00FF3D15">
        <w:t>/</w:t>
      </w:r>
      <w:r w:rsidR="00467A51">
        <w:t>territory</w:t>
      </w:r>
      <w:r w:rsidR="00760E2A" w:rsidRPr="00FF3D15">
        <w:rPr>
          <w:spacing w:val="-8"/>
        </w:rPr>
        <w:t xml:space="preserve"> </w:t>
      </w:r>
      <w:r w:rsidR="00760E2A" w:rsidRPr="00FF3D15">
        <w:t>governments,</w:t>
      </w:r>
      <w:r w:rsidR="00760E2A" w:rsidRPr="00FF3D15">
        <w:rPr>
          <w:spacing w:val="-7"/>
        </w:rPr>
        <w:t xml:space="preserve"> </w:t>
      </w:r>
      <w:r w:rsidR="00792608" w:rsidRPr="00FF3D15">
        <w:t>this</w:t>
      </w:r>
      <w:r w:rsidR="00792608" w:rsidRPr="00FF3D15">
        <w:rPr>
          <w:spacing w:val="-7"/>
        </w:rPr>
        <w:t xml:space="preserve"> </w:t>
      </w:r>
      <w:r w:rsidR="00792608" w:rsidRPr="00FF3D15">
        <w:t>poses</w:t>
      </w:r>
      <w:r w:rsidR="00792608" w:rsidRPr="00FF3D15">
        <w:rPr>
          <w:spacing w:val="-8"/>
        </w:rPr>
        <w:t xml:space="preserve"> </w:t>
      </w:r>
      <w:r w:rsidR="00792608" w:rsidRPr="00FF3D15">
        <w:rPr>
          <w:spacing w:val="-1"/>
        </w:rPr>
        <w:t>challenges</w:t>
      </w:r>
      <w:r w:rsidR="00792608" w:rsidRPr="00FF3D15">
        <w:rPr>
          <w:spacing w:val="-7"/>
        </w:rPr>
        <w:t xml:space="preserve"> </w:t>
      </w:r>
      <w:r w:rsidR="00792608" w:rsidRPr="00FF3D15">
        <w:t>to</w:t>
      </w:r>
      <w:r w:rsidR="00792608" w:rsidRPr="00FF3D15">
        <w:rPr>
          <w:spacing w:val="-7"/>
        </w:rPr>
        <w:t xml:space="preserve"> </w:t>
      </w:r>
      <w:r w:rsidR="00023A5B" w:rsidRPr="00FF3D15">
        <w:t>coordinating</w:t>
      </w:r>
      <w:r w:rsidR="00023A5B" w:rsidRPr="00FF3D15">
        <w:rPr>
          <w:spacing w:val="-8"/>
        </w:rPr>
        <w:t xml:space="preserve"> </w:t>
      </w:r>
      <w:r w:rsidR="00023A5B" w:rsidRPr="00FF3D15">
        <w:t>TWES</w:t>
      </w:r>
      <w:r w:rsidR="00023A5B" w:rsidRPr="00FF3D15">
        <w:rPr>
          <w:spacing w:val="-8"/>
        </w:rPr>
        <w:t xml:space="preserve"> </w:t>
      </w:r>
      <w:r w:rsidR="00023A5B" w:rsidRPr="00FF3D15">
        <w:t>with</w:t>
      </w:r>
      <w:r w:rsidR="00023A5B">
        <w:t xml:space="preserve"> other</w:t>
      </w:r>
      <w:r w:rsidR="00023A5B" w:rsidRPr="00FF3D15">
        <w:rPr>
          <w:spacing w:val="-8"/>
        </w:rPr>
        <w:t xml:space="preserve"> </w:t>
      </w:r>
      <w:r w:rsidR="00023A5B" w:rsidRPr="00FF3D15">
        <w:t>services</w:t>
      </w:r>
      <w:r w:rsidR="0040565B" w:rsidRPr="00FF3D15">
        <w:t>,</w:t>
      </w:r>
      <w:r w:rsidR="0040565B" w:rsidRPr="00FF3D15">
        <w:rPr>
          <w:spacing w:val="-7"/>
        </w:rPr>
        <w:t xml:space="preserve"> </w:t>
      </w:r>
      <w:r w:rsidR="0064236A" w:rsidRPr="00FF3D15">
        <w:t>and</w:t>
      </w:r>
      <w:r w:rsidR="0064236A" w:rsidRPr="00FF3D15">
        <w:rPr>
          <w:spacing w:val="-7"/>
        </w:rPr>
        <w:t xml:space="preserve"> </w:t>
      </w:r>
      <w:r w:rsidR="0064236A" w:rsidRPr="00FF3D15">
        <w:t>TWES</w:t>
      </w:r>
      <w:r w:rsidR="0064236A" w:rsidRPr="00FF3D15">
        <w:rPr>
          <w:spacing w:val="-6"/>
        </w:rPr>
        <w:t xml:space="preserve"> </w:t>
      </w:r>
      <w:r w:rsidR="0064236A" w:rsidRPr="00FF3D15">
        <w:t>being</w:t>
      </w:r>
      <w:r w:rsidR="0064236A" w:rsidRPr="00FF3D15">
        <w:rPr>
          <w:spacing w:val="-7"/>
        </w:rPr>
        <w:t xml:space="preserve"> </w:t>
      </w:r>
      <w:r w:rsidR="0064236A" w:rsidRPr="00FF3D15">
        <w:t>given</w:t>
      </w:r>
      <w:r w:rsidR="0064236A" w:rsidRPr="00FF3D15">
        <w:rPr>
          <w:spacing w:val="-7"/>
        </w:rPr>
        <w:t xml:space="preserve"> </w:t>
      </w:r>
      <w:r w:rsidR="0064236A" w:rsidRPr="00FF3D15">
        <w:t>sufficient</w:t>
      </w:r>
      <w:r w:rsidR="0064236A" w:rsidRPr="00FF3D15">
        <w:rPr>
          <w:spacing w:val="-5"/>
        </w:rPr>
        <w:t xml:space="preserve"> </w:t>
      </w:r>
      <w:r w:rsidR="0064236A" w:rsidRPr="00FF3D15">
        <w:t>priority</w:t>
      </w:r>
      <w:r w:rsidR="0064236A" w:rsidRPr="00FF3D15">
        <w:rPr>
          <w:spacing w:val="-7"/>
        </w:rPr>
        <w:t xml:space="preserve"> </w:t>
      </w:r>
      <w:r w:rsidR="0064236A" w:rsidRPr="00FF3D15">
        <w:t>by</w:t>
      </w:r>
      <w:r w:rsidR="0064236A" w:rsidRPr="00FF3D15">
        <w:rPr>
          <w:spacing w:val="-3"/>
        </w:rPr>
        <w:t xml:space="preserve"> </w:t>
      </w:r>
      <w:r w:rsidR="00BD35C8" w:rsidRPr="00FF3D15">
        <w:rPr>
          <w:spacing w:val="-1"/>
        </w:rPr>
        <w:t>corrections</w:t>
      </w:r>
      <w:r w:rsidR="00BD35C8" w:rsidRPr="00FF3D15">
        <w:rPr>
          <w:spacing w:val="-6"/>
        </w:rPr>
        <w:t xml:space="preserve"> </w:t>
      </w:r>
      <w:r w:rsidR="00BD35C8" w:rsidRPr="00FF3D15">
        <w:t>alongside</w:t>
      </w:r>
      <w:r w:rsidR="00BD35C8" w:rsidRPr="00FF3D15">
        <w:rPr>
          <w:spacing w:val="-4"/>
        </w:rPr>
        <w:t xml:space="preserve"> </w:t>
      </w:r>
      <w:r w:rsidR="00BD35C8" w:rsidRPr="00FF3D15">
        <w:rPr>
          <w:spacing w:val="-1"/>
        </w:rPr>
        <w:t>other</w:t>
      </w:r>
      <w:r w:rsidR="00BD35C8">
        <w:rPr>
          <w:spacing w:val="-1"/>
        </w:rPr>
        <w:t xml:space="preserve"> services</w:t>
      </w:r>
      <w:r w:rsidR="00FF1477">
        <w:t>.</w:t>
      </w:r>
    </w:p>
    <w:p w14:paraId="695FADBA" w14:textId="09B3B5A9" w:rsidR="001C2C6F" w:rsidRDefault="00967129" w:rsidP="007F09E7">
      <w:pPr>
        <w:pStyle w:val="Numberedlist"/>
      </w:pPr>
      <w:r w:rsidRPr="0032769C">
        <w:rPr>
          <w:b/>
        </w:rPr>
        <w:t>Recruitment</w:t>
      </w:r>
      <w:r w:rsidRPr="0032769C">
        <w:rPr>
          <w:b/>
          <w:spacing w:val="-6"/>
        </w:rPr>
        <w:t xml:space="preserve"> </w:t>
      </w:r>
      <w:r w:rsidRPr="0032769C">
        <w:rPr>
          <w:b/>
        </w:rPr>
        <w:t>of</w:t>
      </w:r>
      <w:r w:rsidRPr="0032769C">
        <w:rPr>
          <w:b/>
          <w:spacing w:val="-5"/>
        </w:rPr>
        <w:t xml:space="preserve"> </w:t>
      </w:r>
      <w:r w:rsidR="00326DFB" w:rsidRPr="0032769C">
        <w:rPr>
          <w:b/>
        </w:rPr>
        <w:t>effective</w:t>
      </w:r>
      <w:r w:rsidR="00326DFB" w:rsidRPr="0032769C">
        <w:rPr>
          <w:b/>
          <w:spacing w:val="-4"/>
        </w:rPr>
        <w:t xml:space="preserve"> </w:t>
      </w:r>
      <w:r w:rsidR="00326DFB" w:rsidRPr="0032769C">
        <w:rPr>
          <w:b/>
        </w:rPr>
        <w:t>TWES</w:t>
      </w:r>
      <w:r w:rsidR="00326DFB" w:rsidRPr="0032769C">
        <w:rPr>
          <w:b/>
          <w:spacing w:val="-7"/>
        </w:rPr>
        <w:t xml:space="preserve"> </w:t>
      </w:r>
      <w:r w:rsidR="00326DFB" w:rsidRPr="0032769C">
        <w:rPr>
          <w:b/>
        </w:rPr>
        <w:t>staff:</w:t>
      </w:r>
      <w:r w:rsidR="00326DFB" w:rsidRPr="0032769C">
        <w:rPr>
          <w:b/>
          <w:spacing w:val="-5"/>
        </w:rPr>
        <w:t xml:space="preserve"> </w:t>
      </w:r>
      <w:r w:rsidR="00E73F6E" w:rsidRPr="0032769C">
        <w:t>TWES</w:t>
      </w:r>
      <w:r w:rsidR="00E73F6E" w:rsidRPr="0032769C">
        <w:rPr>
          <w:spacing w:val="-7"/>
        </w:rPr>
        <w:t xml:space="preserve"> </w:t>
      </w:r>
      <w:r w:rsidR="00C9076E">
        <w:t>p</w:t>
      </w:r>
      <w:r w:rsidR="00C9076E" w:rsidRPr="0032769C">
        <w:t>roviders</w:t>
      </w:r>
      <w:r w:rsidR="00C9076E" w:rsidRPr="0032769C">
        <w:rPr>
          <w:spacing w:val="-4"/>
        </w:rPr>
        <w:t xml:space="preserve"> </w:t>
      </w:r>
      <w:r w:rsidR="00E73F6E" w:rsidRPr="0032769C">
        <w:rPr>
          <w:spacing w:val="-1"/>
        </w:rPr>
        <w:t>need</w:t>
      </w:r>
      <w:r w:rsidR="00E73F6E" w:rsidRPr="0032769C">
        <w:rPr>
          <w:spacing w:val="-5"/>
        </w:rPr>
        <w:t xml:space="preserve"> </w:t>
      </w:r>
      <w:r w:rsidR="00E73F6E" w:rsidRPr="0032769C">
        <w:t>to</w:t>
      </w:r>
      <w:r w:rsidR="00E73F6E" w:rsidRPr="0032769C">
        <w:rPr>
          <w:spacing w:val="-7"/>
        </w:rPr>
        <w:t xml:space="preserve"> </w:t>
      </w:r>
      <w:r w:rsidR="00E73F6E" w:rsidRPr="0032769C">
        <w:t>have</w:t>
      </w:r>
      <w:r w:rsidR="00E73F6E" w:rsidRPr="0032769C">
        <w:rPr>
          <w:spacing w:val="-6"/>
        </w:rPr>
        <w:t xml:space="preserve"> </w:t>
      </w:r>
      <w:r w:rsidR="00E73F6E" w:rsidRPr="0032769C">
        <w:t>a</w:t>
      </w:r>
      <w:r w:rsidR="00E73F6E" w:rsidRPr="0032769C">
        <w:rPr>
          <w:spacing w:val="-4"/>
        </w:rPr>
        <w:t xml:space="preserve"> </w:t>
      </w:r>
      <w:r w:rsidR="00E73F6E" w:rsidRPr="0032769C">
        <w:t>diverse</w:t>
      </w:r>
      <w:r w:rsidR="00E73F6E" w:rsidRPr="0032769C">
        <w:rPr>
          <w:spacing w:val="-6"/>
        </w:rPr>
        <w:t xml:space="preserve"> </w:t>
      </w:r>
      <w:r w:rsidR="00E73F6E" w:rsidRPr="0032769C">
        <w:t>skillset</w:t>
      </w:r>
      <w:r w:rsidR="00A95687" w:rsidRPr="0032769C">
        <w:rPr>
          <w:spacing w:val="-6"/>
        </w:rPr>
        <w:t xml:space="preserve"> </w:t>
      </w:r>
      <w:r w:rsidR="00A95687" w:rsidRPr="0032769C">
        <w:t>to</w:t>
      </w:r>
      <w:r w:rsidR="00A95687" w:rsidRPr="0032769C">
        <w:rPr>
          <w:spacing w:val="30"/>
          <w:w w:val="99"/>
        </w:rPr>
        <w:t xml:space="preserve"> </w:t>
      </w:r>
      <w:r w:rsidR="00A95687" w:rsidRPr="0032769C">
        <w:t>deliver</w:t>
      </w:r>
      <w:r w:rsidR="00A95687" w:rsidRPr="0032769C">
        <w:rPr>
          <w:spacing w:val="-7"/>
        </w:rPr>
        <w:t xml:space="preserve"> </w:t>
      </w:r>
      <w:r w:rsidR="00A95687" w:rsidRPr="0032769C">
        <w:t>the</w:t>
      </w:r>
      <w:r w:rsidR="00A95687" w:rsidRPr="0032769C">
        <w:rPr>
          <w:spacing w:val="-6"/>
        </w:rPr>
        <w:t xml:space="preserve"> </w:t>
      </w:r>
      <w:r w:rsidR="00A95687" w:rsidRPr="0032769C">
        <w:t>service</w:t>
      </w:r>
      <w:r w:rsidR="00A95687" w:rsidRPr="0032769C">
        <w:rPr>
          <w:spacing w:val="-5"/>
        </w:rPr>
        <w:t xml:space="preserve"> </w:t>
      </w:r>
      <w:r w:rsidR="00A95687" w:rsidRPr="0032769C">
        <w:t>effectively</w:t>
      </w:r>
      <w:r w:rsidR="00A95687" w:rsidRPr="0032769C">
        <w:rPr>
          <w:spacing w:val="-6"/>
        </w:rPr>
        <w:t xml:space="preserve"> </w:t>
      </w:r>
      <w:r w:rsidR="00A95687" w:rsidRPr="0032769C">
        <w:t>–</w:t>
      </w:r>
      <w:r w:rsidR="00A95687" w:rsidRPr="0032769C">
        <w:rPr>
          <w:spacing w:val="-6"/>
        </w:rPr>
        <w:t xml:space="preserve"> </w:t>
      </w:r>
      <w:r w:rsidR="00A95687" w:rsidRPr="0032769C">
        <w:t>including</w:t>
      </w:r>
      <w:r w:rsidR="00A95687" w:rsidRPr="0032769C">
        <w:rPr>
          <w:spacing w:val="-5"/>
        </w:rPr>
        <w:t xml:space="preserve"> </w:t>
      </w:r>
      <w:r w:rsidR="00A95687" w:rsidRPr="0032769C">
        <w:t>an</w:t>
      </w:r>
      <w:r w:rsidR="00A95687" w:rsidRPr="0032769C">
        <w:rPr>
          <w:spacing w:val="-7"/>
        </w:rPr>
        <w:t xml:space="preserve"> </w:t>
      </w:r>
      <w:r w:rsidR="00A95687" w:rsidRPr="0032769C">
        <w:rPr>
          <w:spacing w:val="-1"/>
        </w:rPr>
        <w:t>ability</w:t>
      </w:r>
      <w:r w:rsidR="00A95687" w:rsidRPr="0032769C">
        <w:rPr>
          <w:spacing w:val="-5"/>
        </w:rPr>
        <w:t xml:space="preserve"> </w:t>
      </w:r>
      <w:r w:rsidR="00A95687" w:rsidRPr="0032769C">
        <w:t>to</w:t>
      </w:r>
      <w:r w:rsidR="00A95687" w:rsidRPr="0032769C">
        <w:rPr>
          <w:spacing w:val="-6"/>
        </w:rPr>
        <w:t xml:space="preserve"> </w:t>
      </w:r>
      <w:r w:rsidR="00A95687" w:rsidRPr="0032769C">
        <w:t>collaborate</w:t>
      </w:r>
      <w:r w:rsidR="00A95687" w:rsidRPr="0032769C">
        <w:rPr>
          <w:spacing w:val="-5"/>
        </w:rPr>
        <w:t xml:space="preserve"> </w:t>
      </w:r>
      <w:r w:rsidR="00A95687" w:rsidRPr="0032769C">
        <w:rPr>
          <w:spacing w:val="-1"/>
        </w:rPr>
        <w:t>and</w:t>
      </w:r>
      <w:r w:rsidR="00A95687" w:rsidRPr="0032769C">
        <w:rPr>
          <w:spacing w:val="-4"/>
        </w:rPr>
        <w:t xml:space="preserve"> </w:t>
      </w:r>
      <w:r w:rsidR="00A95687" w:rsidRPr="0032769C">
        <w:t>problem</w:t>
      </w:r>
      <w:r w:rsidR="00A95687" w:rsidRPr="0032769C">
        <w:rPr>
          <w:spacing w:val="-4"/>
        </w:rPr>
        <w:t xml:space="preserve"> </w:t>
      </w:r>
      <w:r w:rsidR="00A95687" w:rsidRPr="0032769C">
        <w:t>solve</w:t>
      </w:r>
      <w:r w:rsidR="00A95687" w:rsidRPr="0032769C">
        <w:rPr>
          <w:spacing w:val="-6"/>
        </w:rPr>
        <w:t xml:space="preserve"> </w:t>
      </w:r>
      <w:r w:rsidR="00A95687" w:rsidRPr="0032769C">
        <w:rPr>
          <w:spacing w:val="-1"/>
        </w:rPr>
        <w:t>within</w:t>
      </w:r>
      <w:r w:rsidR="00A95687" w:rsidRPr="0032769C">
        <w:rPr>
          <w:spacing w:val="-4"/>
        </w:rPr>
        <w:t xml:space="preserve"> </w:t>
      </w:r>
      <w:r w:rsidR="00A95687" w:rsidRPr="0032769C">
        <w:rPr>
          <w:spacing w:val="-1"/>
        </w:rPr>
        <w:t>the</w:t>
      </w:r>
      <w:r w:rsidR="00A95687">
        <w:rPr>
          <w:spacing w:val="-1"/>
        </w:rPr>
        <w:t xml:space="preserve"> </w:t>
      </w:r>
      <w:r w:rsidR="00A95687" w:rsidRPr="0032769C">
        <w:rPr>
          <w:spacing w:val="-1"/>
        </w:rPr>
        <w:t>constraints</w:t>
      </w:r>
      <w:r w:rsidR="00A95687" w:rsidRPr="0032769C">
        <w:rPr>
          <w:spacing w:val="-7"/>
        </w:rPr>
        <w:t xml:space="preserve"> </w:t>
      </w:r>
      <w:r w:rsidR="00A95687" w:rsidRPr="0032769C">
        <w:t>and</w:t>
      </w:r>
      <w:r w:rsidR="00A95687" w:rsidRPr="0032769C">
        <w:rPr>
          <w:spacing w:val="-7"/>
        </w:rPr>
        <w:t xml:space="preserve"> </w:t>
      </w:r>
      <w:r w:rsidR="00A95687" w:rsidRPr="0032769C">
        <w:t>systems</w:t>
      </w:r>
      <w:r w:rsidR="00A95687" w:rsidRPr="0032769C">
        <w:rPr>
          <w:spacing w:val="-6"/>
        </w:rPr>
        <w:t xml:space="preserve"> </w:t>
      </w:r>
      <w:r w:rsidR="00A95687" w:rsidRPr="0032769C">
        <w:t>of</w:t>
      </w:r>
      <w:r w:rsidR="00A95687" w:rsidRPr="0032769C">
        <w:rPr>
          <w:spacing w:val="-6"/>
        </w:rPr>
        <w:t xml:space="preserve"> </w:t>
      </w:r>
      <w:r w:rsidR="00A95687" w:rsidRPr="0032769C">
        <w:t>each</w:t>
      </w:r>
      <w:r w:rsidR="00A95687" w:rsidRPr="0032769C">
        <w:rPr>
          <w:spacing w:val="-7"/>
        </w:rPr>
        <w:t xml:space="preserve"> </w:t>
      </w:r>
      <w:r w:rsidR="00A95687" w:rsidRPr="0032769C">
        <w:t>prison,</w:t>
      </w:r>
      <w:r w:rsidR="00A95687" w:rsidRPr="0032769C">
        <w:rPr>
          <w:spacing w:val="-5"/>
        </w:rPr>
        <w:t xml:space="preserve"> </w:t>
      </w:r>
      <w:r w:rsidR="00A95687" w:rsidRPr="0032769C">
        <w:t>bui</w:t>
      </w:r>
      <w:r w:rsidR="002473F2" w:rsidRPr="0032769C">
        <w:t>lding</w:t>
      </w:r>
      <w:r w:rsidR="002473F2" w:rsidRPr="0032769C">
        <w:rPr>
          <w:spacing w:val="-6"/>
        </w:rPr>
        <w:t xml:space="preserve"> </w:t>
      </w:r>
      <w:r w:rsidR="002473F2" w:rsidRPr="0032769C">
        <w:rPr>
          <w:spacing w:val="-1"/>
        </w:rPr>
        <w:t>relationships</w:t>
      </w:r>
      <w:r w:rsidR="002473F2" w:rsidRPr="0032769C">
        <w:rPr>
          <w:spacing w:val="-6"/>
        </w:rPr>
        <w:t xml:space="preserve"> </w:t>
      </w:r>
      <w:r w:rsidR="002473F2" w:rsidRPr="0032769C">
        <w:t>and</w:t>
      </w:r>
      <w:r w:rsidR="002473F2" w:rsidRPr="0032769C">
        <w:rPr>
          <w:spacing w:val="-7"/>
        </w:rPr>
        <w:t xml:space="preserve"> </w:t>
      </w:r>
      <w:r w:rsidR="002473F2" w:rsidRPr="0032769C">
        <w:t>rapport</w:t>
      </w:r>
      <w:r w:rsidR="002473F2" w:rsidRPr="0032769C">
        <w:rPr>
          <w:spacing w:val="-6"/>
        </w:rPr>
        <w:t xml:space="preserve"> </w:t>
      </w:r>
      <w:r w:rsidR="002473F2" w:rsidRPr="0032769C">
        <w:t>with</w:t>
      </w:r>
      <w:r w:rsidR="002473F2" w:rsidRPr="0032769C">
        <w:rPr>
          <w:spacing w:val="-7"/>
        </w:rPr>
        <w:t xml:space="preserve"> </w:t>
      </w:r>
      <w:r w:rsidR="002473F2" w:rsidRPr="0032769C">
        <w:t>prisoners</w:t>
      </w:r>
      <w:r w:rsidR="00576125" w:rsidRPr="0032769C">
        <w:t>,</w:t>
      </w:r>
      <w:r w:rsidR="00576125" w:rsidRPr="0032769C">
        <w:rPr>
          <w:spacing w:val="-7"/>
        </w:rPr>
        <w:t xml:space="preserve"> </w:t>
      </w:r>
      <w:r w:rsidR="00576125" w:rsidRPr="0032769C">
        <w:t>and</w:t>
      </w:r>
      <w:r w:rsidR="00576125" w:rsidRPr="0032769C">
        <w:rPr>
          <w:spacing w:val="68"/>
          <w:w w:val="99"/>
        </w:rPr>
        <w:t xml:space="preserve"> </w:t>
      </w:r>
      <w:r w:rsidR="00576125" w:rsidRPr="0032769C">
        <w:rPr>
          <w:spacing w:val="-1"/>
        </w:rPr>
        <w:t>effectively</w:t>
      </w:r>
      <w:r w:rsidR="00576125" w:rsidRPr="0032769C">
        <w:rPr>
          <w:spacing w:val="-5"/>
        </w:rPr>
        <w:t xml:space="preserve"> </w:t>
      </w:r>
      <w:r w:rsidR="00956AE8" w:rsidRPr="0032769C">
        <w:t>using</w:t>
      </w:r>
      <w:r w:rsidR="00956AE8" w:rsidRPr="0032769C">
        <w:rPr>
          <w:spacing w:val="-6"/>
        </w:rPr>
        <w:t xml:space="preserve"> </w:t>
      </w:r>
      <w:r w:rsidR="00956AE8" w:rsidRPr="0032769C">
        <w:t>data</w:t>
      </w:r>
      <w:r w:rsidR="00956AE8" w:rsidRPr="0032769C">
        <w:rPr>
          <w:spacing w:val="-6"/>
        </w:rPr>
        <w:t xml:space="preserve"> </w:t>
      </w:r>
      <w:r w:rsidR="00956AE8" w:rsidRPr="0032769C">
        <w:t>and</w:t>
      </w:r>
      <w:r w:rsidR="00956AE8" w:rsidRPr="0032769C">
        <w:rPr>
          <w:spacing w:val="-6"/>
        </w:rPr>
        <w:t xml:space="preserve"> </w:t>
      </w:r>
      <w:r w:rsidR="00956AE8" w:rsidRPr="0032769C">
        <w:t>administration</w:t>
      </w:r>
      <w:r w:rsidR="00956AE8" w:rsidRPr="0032769C">
        <w:rPr>
          <w:spacing w:val="-4"/>
        </w:rPr>
        <w:t xml:space="preserve"> </w:t>
      </w:r>
      <w:r w:rsidR="00956AE8" w:rsidRPr="0032769C">
        <w:t>systems</w:t>
      </w:r>
      <w:r w:rsidR="002427B6" w:rsidRPr="0032769C">
        <w:t>.</w:t>
      </w:r>
      <w:r w:rsidR="002427B6" w:rsidRPr="0032769C">
        <w:rPr>
          <w:spacing w:val="-7"/>
        </w:rPr>
        <w:t xml:space="preserve"> </w:t>
      </w:r>
      <w:r w:rsidR="002427B6" w:rsidRPr="0032769C">
        <w:t>Staff</w:t>
      </w:r>
      <w:r w:rsidR="002427B6" w:rsidRPr="0032769C">
        <w:rPr>
          <w:spacing w:val="-4"/>
        </w:rPr>
        <w:t xml:space="preserve"> </w:t>
      </w:r>
      <w:r w:rsidR="002427B6" w:rsidRPr="0032769C">
        <w:rPr>
          <w:spacing w:val="-1"/>
        </w:rPr>
        <w:t>also</w:t>
      </w:r>
      <w:r w:rsidR="002427B6" w:rsidRPr="0032769C">
        <w:rPr>
          <w:spacing w:val="-5"/>
        </w:rPr>
        <w:t xml:space="preserve"> </w:t>
      </w:r>
      <w:r w:rsidR="002427B6" w:rsidRPr="0032769C">
        <w:t>need</w:t>
      </w:r>
      <w:r w:rsidR="002427B6" w:rsidRPr="0032769C">
        <w:rPr>
          <w:spacing w:val="-6"/>
        </w:rPr>
        <w:t xml:space="preserve"> </w:t>
      </w:r>
      <w:r w:rsidR="002427B6" w:rsidRPr="0032769C">
        <w:rPr>
          <w:spacing w:val="-1"/>
        </w:rPr>
        <w:t>to</w:t>
      </w:r>
      <w:r w:rsidR="002427B6" w:rsidRPr="0032769C">
        <w:rPr>
          <w:spacing w:val="-4"/>
        </w:rPr>
        <w:t xml:space="preserve"> </w:t>
      </w:r>
      <w:r w:rsidR="002427B6" w:rsidRPr="0032769C">
        <w:t>be</w:t>
      </w:r>
      <w:r w:rsidR="002427B6" w:rsidRPr="0032769C">
        <w:rPr>
          <w:spacing w:val="-6"/>
        </w:rPr>
        <w:t xml:space="preserve"> </w:t>
      </w:r>
      <w:r w:rsidR="003770F5" w:rsidRPr="0032769C">
        <w:t>comfortable</w:t>
      </w:r>
      <w:r w:rsidR="003770F5" w:rsidRPr="0032769C">
        <w:rPr>
          <w:spacing w:val="-5"/>
        </w:rPr>
        <w:t xml:space="preserve"> </w:t>
      </w:r>
      <w:r w:rsidR="00F57199" w:rsidRPr="0032769C">
        <w:t>to</w:t>
      </w:r>
      <w:r w:rsidR="00F57199" w:rsidRPr="0032769C">
        <w:rPr>
          <w:spacing w:val="-6"/>
        </w:rPr>
        <w:t xml:space="preserve"> </w:t>
      </w:r>
      <w:r w:rsidR="00F57199" w:rsidRPr="0032769C">
        <w:t>work</w:t>
      </w:r>
      <w:r w:rsidR="00F57199" w:rsidRPr="0032769C">
        <w:rPr>
          <w:spacing w:val="-6"/>
        </w:rPr>
        <w:t xml:space="preserve"> </w:t>
      </w:r>
      <w:r w:rsidR="00F57199" w:rsidRPr="0032769C">
        <w:rPr>
          <w:spacing w:val="-1"/>
        </w:rPr>
        <w:t>in</w:t>
      </w:r>
      <w:r w:rsidR="00F57199">
        <w:rPr>
          <w:spacing w:val="-1"/>
        </w:rPr>
        <w:t xml:space="preserve"> a</w:t>
      </w:r>
      <w:r w:rsidR="00F57199" w:rsidRPr="0032769C">
        <w:rPr>
          <w:spacing w:val="-6"/>
        </w:rPr>
        <w:t xml:space="preserve"> </w:t>
      </w:r>
      <w:r w:rsidR="00F57199" w:rsidRPr="0032769C">
        <w:rPr>
          <w:spacing w:val="-1"/>
        </w:rPr>
        <w:t>prison</w:t>
      </w:r>
      <w:r w:rsidR="00F57199" w:rsidRPr="0032769C">
        <w:rPr>
          <w:spacing w:val="-4"/>
        </w:rPr>
        <w:t xml:space="preserve"> </w:t>
      </w:r>
      <w:r w:rsidR="00F57199" w:rsidRPr="0032769C">
        <w:t>environment.</w:t>
      </w:r>
      <w:r w:rsidR="00F57199" w:rsidRPr="0032769C">
        <w:rPr>
          <w:spacing w:val="-4"/>
        </w:rPr>
        <w:t xml:space="preserve"> </w:t>
      </w:r>
      <w:r w:rsidR="00F57199" w:rsidRPr="0032769C">
        <w:t>Staff</w:t>
      </w:r>
      <w:r w:rsidR="00F57199" w:rsidRPr="0032769C">
        <w:rPr>
          <w:spacing w:val="-5"/>
        </w:rPr>
        <w:t xml:space="preserve"> </w:t>
      </w:r>
      <w:r w:rsidR="00F57199" w:rsidRPr="0032769C">
        <w:t>who</w:t>
      </w:r>
      <w:r w:rsidR="00F57199" w:rsidRPr="0032769C">
        <w:rPr>
          <w:spacing w:val="-5"/>
        </w:rPr>
        <w:t xml:space="preserve"> </w:t>
      </w:r>
      <w:r w:rsidR="00F57199" w:rsidRPr="0032769C">
        <w:t>are</w:t>
      </w:r>
      <w:r w:rsidR="00F57199" w:rsidRPr="0032769C">
        <w:rPr>
          <w:spacing w:val="-4"/>
        </w:rPr>
        <w:t xml:space="preserve"> </w:t>
      </w:r>
      <w:r w:rsidR="00F57199" w:rsidRPr="0032769C">
        <w:t>Aboriginal</w:t>
      </w:r>
      <w:r w:rsidR="00F57199" w:rsidRPr="0032769C">
        <w:rPr>
          <w:spacing w:val="-3"/>
        </w:rPr>
        <w:t xml:space="preserve"> </w:t>
      </w:r>
      <w:r w:rsidR="00F57199" w:rsidRPr="0032769C">
        <w:t>or</w:t>
      </w:r>
      <w:r w:rsidR="00F57199" w:rsidRPr="0032769C">
        <w:rPr>
          <w:spacing w:val="-5"/>
        </w:rPr>
        <w:t xml:space="preserve"> </w:t>
      </w:r>
      <w:r w:rsidR="00F57199" w:rsidRPr="0032769C">
        <w:t>Torres</w:t>
      </w:r>
      <w:r w:rsidR="00F57199" w:rsidRPr="0032769C">
        <w:rPr>
          <w:spacing w:val="-5"/>
        </w:rPr>
        <w:t xml:space="preserve"> </w:t>
      </w:r>
      <w:r w:rsidR="00F57199" w:rsidRPr="0032769C">
        <w:rPr>
          <w:spacing w:val="-1"/>
        </w:rPr>
        <w:t>Strait</w:t>
      </w:r>
      <w:r w:rsidR="00F57199" w:rsidRPr="0032769C">
        <w:rPr>
          <w:spacing w:val="-4"/>
        </w:rPr>
        <w:t xml:space="preserve"> </w:t>
      </w:r>
      <w:r w:rsidR="00F57199" w:rsidRPr="0032769C">
        <w:rPr>
          <w:spacing w:val="-1"/>
        </w:rPr>
        <w:t>Islander</w:t>
      </w:r>
      <w:r w:rsidR="00F57199" w:rsidRPr="0032769C">
        <w:rPr>
          <w:spacing w:val="-5"/>
        </w:rPr>
        <w:t xml:space="preserve"> </w:t>
      </w:r>
      <w:r w:rsidR="00F57199" w:rsidRPr="0032769C">
        <w:rPr>
          <w:spacing w:val="1"/>
        </w:rPr>
        <w:t>are</w:t>
      </w:r>
      <w:r w:rsidR="00F57199" w:rsidRPr="0032769C">
        <w:rPr>
          <w:spacing w:val="-6"/>
        </w:rPr>
        <w:t xml:space="preserve"> </w:t>
      </w:r>
      <w:r w:rsidR="00F57199" w:rsidRPr="0032769C">
        <w:t>also</w:t>
      </w:r>
      <w:r w:rsidR="00F57199" w:rsidRPr="0032769C">
        <w:rPr>
          <w:spacing w:val="-3"/>
        </w:rPr>
        <w:t xml:space="preserve"> </w:t>
      </w:r>
      <w:r w:rsidR="0032769C">
        <w:rPr>
          <w:spacing w:val="-3"/>
        </w:rPr>
        <w:t xml:space="preserve">well placed to </w:t>
      </w:r>
      <w:r w:rsidR="001C2C6F">
        <w:rPr>
          <w:spacing w:val="-3"/>
        </w:rPr>
        <w:t>service this cohort of prisoners.</w:t>
      </w:r>
      <w:r w:rsidR="00F57199" w:rsidRPr="0032769C">
        <w:rPr>
          <w:spacing w:val="-5"/>
        </w:rPr>
        <w:t xml:space="preserve"> </w:t>
      </w:r>
      <w:r w:rsidR="002427B6" w:rsidRPr="0032769C">
        <w:t>Some</w:t>
      </w:r>
      <w:r w:rsidR="002427B6" w:rsidRPr="0032769C">
        <w:rPr>
          <w:spacing w:val="-7"/>
        </w:rPr>
        <w:t xml:space="preserve"> </w:t>
      </w:r>
      <w:r w:rsidR="002427B6" w:rsidRPr="0032769C">
        <w:t>TWES</w:t>
      </w:r>
      <w:r w:rsidR="002427B6" w:rsidRPr="0032769C">
        <w:rPr>
          <w:spacing w:val="-6"/>
        </w:rPr>
        <w:t xml:space="preserve"> </w:t>
      </w:r>
      <w:r w:rsidR="00C9076E">
        <w:t>p</w:t>
      </w:r>
      <w:r w:rsidR="00C9076E" w:rsidRPr="0032769C">
        <w:t>roviders</w:t>
      </w:r>
      <w:r w:rsidR="00C9076E" w:rsidRPr="0032769C">
        <w:rPr>
          <w:spacing w:val="-6"/>
        </w:rPr>
        <w:t xml:space="preserve"> </w:t>
      </w:r>
      <w:r w:rsidR="002427B6" w:rsidRPr="0032769C">
        <w:t>noted</w:t>
      </w:r>
      <w:r w:rsidR="002427B6" w:rsidRPr="0032769C">
        <w:rPr>
          <w:spacing w:val="-7"/>
        </w:rPr>
        <w:t xml:space="preserve"> </w:t>
      </w:r>
      <w:r w:rsidR="002427B6" w:rsidRPr="0032769C">
        <w:t>that</w:t>
      </w:r>
      <w:r w:rsidR="002427B6" w:rsidRPr="0032769C">
        <w:rPr>
          <w:spacing w:val="-7"/>
        </w:rPr>
        <w:t xml:space="preserve"> </w:t>
      </w:r>
      <w:r w:rsidR="002427B6" w:rsidRPr="0032769C">
        <w:t>recruiting</w:t>
      </w:r>
      <w:r w:rsidR="002427B6" w:rsidRPr="0032769C">
        <w:rPr>
          <w:spacing w:val="-5"/>
        </w:rPr>
        <w:t xml:space="preserve"> </w:t>
      </w:r>
      <w:r w:rsidR="006854D6" w:rsidRPr="0032769C">
        <w:t>for</w:t>
      </w:r>
      <w:r w:rsidR="006854D6" w:rsidRPr="0032769C">
        <w:rPr>
          <w:spacing w:val="-7"/>
        </w:rPr>
        <w:t xml:space="preserve"> </w:t>
      </w:r>
      <w:r w:rsidR="006854D6" w:rsidRPr="0032769C">
        <w:t>the</w:t>
      </w:r>
      <w:r w:rsidR="006854D6" w:rsidRPr="0032769C">
        <w:rPr>
          <w:spacing w:val="-7"/>
        </w:rPr>
        <w:t xml:space="preserve"> </w:t>
      </w:r>
      <w:r w:rsidR="006854D6" w:rsidRPr="0032769C">
        <w:t>role</w:t>
      </w:r>
      <w:r w:rsidR="006854D6" w:rsidRPr="0032769C">
        <w:rPr>
          <w:spacing w:val="-5"/>
        </w:rPr>
        <w:t xml:space="preserve"> </w:t>
      </w:r>
      <w:r w:rsidR="00242373" w:rsidRPr="0032769C">
        <w:rPr>
          <w:spacing w:val="-1"/>
        </w:rPr>
        <w:t>is</w:t>
      </w:r>
      <w:r w:rsidR="00242373" w:rsidRPr="0032769C">
        <w:rPr>
          <w:spacing w:val="-6"/>
        </w:rPr>
        <w:t xml:space="preserve"> </w:t>
      </w:r>
      <w:r w:rsidR="00242373" w:rsidRPr="0032769C">
        <w:rPr>
          <w:spacing w:val="-1"/>
        </w:rPr>
        <w:t>challenging,</w:t>
      </w:r>
      <w:r w:rsidR="00242373" w:rsidRPr="0032769C">
        <w:rPr>
          <w:spacing w:val="-4"/>
        </w:rPr>
        <w:t xml:space="preserve"> </w:t>
      </w:r>
      <w:r w:rsidR="00242373" w:rsidRPr="0032769C">
        <w:rPr>
          <w:spacing w:val="-1"/>
        </w:rPr>
        <w:t>especially</w:t>
      </w:r>
      <w:r w:rsidR="00242373">
        <w:rPr>
          <w:spacing w:val="-1"/>
        </w:rPr>
        <w:t xml:space="preserve"> </w:t>
      </w:r>
      <w:r w:rsidR="00242373" w:rsidRPr="0032769C">
        <w:rPr>
          <w:spacing w:val="-1"/>
        </w:rPr>
        <w:t>in</w:t>
      </w:r>
      <w:r w:rsidR="00242373" w:rsidRPr="0032769C">
        <w:rPr>
          <w:spacing w:val="-6"/>
        </w:rPr>
        <w:t xml:space="preserve"> </w:t>
      </w:r>
      <w:r w:rsidR="00242373" w:rsidRPr="0032769C">
        <w:t>remote</w:t>
      </w:r>
      <w:r w:rsidR="00242373" w:rsidRPr="0032769C">
        <w:rPr>
          <w:spacing w:val="-4"/>
        </w:rPr>
        <w:t xml:space="preserve"> </w:t>
      </w:r>
      <w:r w:rsidR="00242373" w:rsidRPr="0032769C">
        <w:rPr>
          <w:spacing w:val="-1"/>
        </w:rPr>
        <w:t>areas,</w:t>
      </w:r>
      <w:r w:rsidR="00242373" w:rsidRPr="0032769C">
        <w:rPr>
          <w:spacing w:val="-4"/>
        </w:rPr>
        <w:t xml:space="preserve"> </w:t>
      </w:r>
      <w:r w:rsidR="00242373" w:rsidRPr="0032769C">
        <w:rPr>
          <w:spacing w:val="-1"/>
        </w:rPr>
        <w:t>and</w:t>
      </w:r>
      <w:r w:rsidR="00242373" w:rsidRPr="0032769C">
        <w:rPr>
          <w:spacing w:val="-3"/>
        </w:rPr>
        <w:t xml:space="preserve"> </w:t>
      </w:r>
      <w:r w:rsidR="00242373" w:rsidRPr="0032769C">
        <w:rPr>
          <w:spacing w:val="-1"/>
        </w:rPr>
        <w:t>particularly</w:t>
      </w:r>
      <w:r w:rsidR="00242373" w:rsidRPr="0032769C">
        <w:rPr>
          <w:spacing w:val="-2"/>
        </w:rPr>
        <w:t xml:space="preserve"> </w:t>
      </w:r>
      <w:r w:rsidR="00927FC1" w:rsidRPr="0032769C">
        <w:t>given</w:t>
      </w:r>
      <w:r w:rsidR="00927FC1" w:rsidRPr="0032769C">
        <w:rPr>
          <w:spacing w:val="-5"/>
        </w:rPr>
        <w:t xml:space="preserve"> </w:t>
      </w:r>
      <w:r w:rsidR="00927FC1" w:rsidRPr="0032769C">
        <w:t>funding</w:t>
      </w:r>
      <w:r w:rsidR="00927FC1" w:rsidRPr="0032769C">
        <w:rPr>
          <w:spacing w:val="-5"/>
        </w:rPr>
        <w:t xml:space="preserve"> </w:t>
      </w:r>
      <w:r w:rsidR="00927FC1" w:rsidRPr="0032769C">
        <w:rPr>
          <w:spacing w:val="-1"/>
        </w:rPr>
        <w:t>levels</w:t>
      </w:r>
      <w:r w:rsidR="00927FC1" w:rsidRPr="0032769C">
        <w:rPr>
          <w:spacing w:val="-5"/>
        </w:rPr>
        <w:t xml:space="preserve"> </w:t>
      </w:r>
      <w:r w:rsidR="00927FC1" w:rsidRPr="0032769C">
        <w:rPr>
          <w:spacing w:val="-1"/>
        </w:rPr>
        <w:t>may</w:t>
      </w:r>
      <w:r w:rsidR="00927FC1" w:rsidRPr="0032769C">
        <w:rPr>
          <w:spacing w:val="-4"/>
        </w:rPr>
        <w:t xml:space="preserve"> </w:t>
      </w:r>
      <w:r w:rsidR="00927FC1" w:rsidRPr="0032769C">
        <w:rPr>
          <w:spacing w:val="-1"/>
        </w:rPr>
        <w:t>not</w:t>
      </w:r>
      <w:r w:rsidR="00927FC1" w:rsidRPr="0032769C">
        <w:rPr>
          <w:spacing w:val="-4"/>
        </w:rPr>
        <w:t xml:space="preserve"> </w:t>
      </w:r>
      <w:r w:rsidR="00927FC1" w:rsidRPr="0032769C">
        <w:t>be</w:t>
      </w:r>
      <w:r w:rsidR="00927FC1" w:rsidRPr="0032769C">
        <w:rPr>
          <w:spacing w:val="-5"/>
        </w:rPr>
        <w:t xml:space="preserve"> </w:t>
      </w:r>
      <w:r w:rsidR="00927FC1" w:rsidRPr="0032769C">
        <w:t>enough</w:t>
      </w:r>
      <w:r w:rsidR="00927FC1" w:rsidRPr="0032769C">
        <w:rPr>
          <w:spacing w:val="-5"/>
        </w:rPr>
        <w:t xml:space="preserve"> </w:t>
      </w:r>
      <w:r w:rsidR="00927FC1" w:rsidRPr="0032769C">
        <w:rPr>
          <w:spacing w:val="-1"/>
        </w:rPr>
        <w:t>to</w:t>
      </w:r>
      <w:r w:rsidR="00927FC1" w:rsidRPr="0032769C">
        <w:rPr>
          <w:spacing w:val="-6"/>
        </w:rPr>
        <w:t xml:space="preserve"> </w:t>
      </w:r>
      <w:r w:rsidR="00927FC1" w:rsidRPr="0032769C">
        <w:t>cover</w:t>
      </w:r>
      <w:r w:rsidR="00927FC1" w:rsidRPr="0032769C">
        <w:rPr>
          <w:spacing w:val="-1"/>
        </w:rPr>
        <w:t xml:space="preserve"> </w:t>
      </w:r>
      <w:r w:rsidR="001714D0" w:rsidRPr="0032769C">
        <w:t>a</w:t>
      </w:r>
      <w:r w:rsidR="001714D0" w:rsidRPr="0032769C">
        <w:rPr>
          <w:spacing w:val="-6"/>
        </w:rPr>
        <w:t xml:space="preserve"> </w:t>
      </w:r>
      <w:r w:rsidR="001714D0" w:rsidRPr="0032769C">
        <w:rPr>
          <w:spacing w:val="-1"/>
        </w:rPr>
        <w:t>whole</w:t>
      </w:r>
      <w:r w:rsidR="001714D0">
        <w:rPr>
          <w:spacing w:val="-1"/>
        </w:rPr>
        <w:t xml:space="preserve"> </w:t>
      </w:r>
      <w:r w:rsidR="001714D0" w:rsidRPr="0032769C">
        <w:rPr>
          <w:spacing w:val="-1"/>
        </w:rPr>
        <w:t>salary</w:t>
      </w:r>
      <w:r w:rsidR="00FF1477">
        <w:rPr>
          <w:spacing w:val="-1"/>
        </w:rPr>
        <w:t>.</w:t>
      </w:r>
    </w:p>
    <w:p w14:paraId="2F6FFC3F" w14:textId="49BF4E21" w:rsidR="008E44A8" w:rsidRPr="001C2C6F" w:rsidRDefault="00FB3874" w:rsidP="007F09E7">
      <w:pPr>
        <w:pStyle w:val="Numberedlist"/>
      </w:pPr>
      <w:r w:rsidRPr="001C2C6F">
        <w:rPr>
          <w:b/>
          <w:spacing w:val="-1"/>
        </w:rPr>
        <w:t>Poor</w:t>
      </w:r>
      <w:r w:rsidRPr="001C2C6F">
        <w:rPr>
          <w:b/>
          <w:spacing w:val="-8"/>
        </w:rPr>
        <w:t xml:space="preserve"> </w:t>
      </w:r>
      <w:r w:rsidR="008E44A8" w:rsidRPr="001C2C6F">
        <w:rPr>
          <w:b/>
        </w:rPr>
        <w:t>awareness</w:t>
      </w:r>
      <w:r w:rsidR="008E44A8" w:rsidRPr="001C2C6F">
        <w:rPr>
          <w:b/>
          <w:spacing w:val="-8"/>
        </w:rPr>
        <w:t xml:space="preserve"> </w:t>
      </w:r>
      <w:r w:rsidR="008E44A8" w:rsidRPr="001C2C6F">
        <w:rPr>
          <w:b/>
        </w:rPr>
        <w:t>of</w:t>
      </w:r>
      <w:r w:rsidR="008E44A8" w:rsidRPr="001C2C6F">
        <w:rPr>
          <w:b/>
          <w:spacing w:val="-7"/>
        </w:rPr>
        <w:t xml:space="preserve"> </w:t>
      </w:r>
      <w:r w:rsidR="008E44A8" w:rsidRPr="001C2C6F">
        <w:rPr>
          <w:b/>
        </w:rPr>
        <w:t>TWES</w:t>
      </w:r>
      <w:r w:rsidR="00F74675" w:rsidRPr="001C2C6F">
        <w:rPr>
          <w:b/>
        </w:rPr>
        <w:t>:</w:t>
      </w:r>
      <w:r w:rsidR="00F74675" w:rsidRPr="001C2C6F">
        <w:rPr>
          <w:b/>
          <w:spacing w:val="-7"/>
        </w:rPr>
        <w:t xml:space="preserve"> </w:t>
      </w:r>
      <w:r w:rsidR="00590C3B" w:rsidRPr="001C2C6F">
        <w:rPr>
          <w:spacing w:val="-1"/>
        </w:rPr>
        <w:t>Some</w:t>
      </w:r>
      <w:r w:rsidR="00590C3B" w:rsidRPr="001C2C6F">
        <w:rPr>
          <w:spacing w:val="-7"/>
        </w:rPr>
        <w:t xml:space="preserve"> </w:t>
      </w:r>
      <w:r w:rsidR="00A53877" w:rsidRPr="001C2C6F">
        <w:t>s</w:t>
      </w:r>
      <w:r w:rsidR="00590C3B" w:rsidRPr="001C2C6F">
        <w:t>takeholders</w:t>
      </w:r>
      <w:r w:rsidR="00590C3B" w:rsidRPr="001C2C6F">
        <w:rPr>
          <w:spacing w:val="-7"/>
        </w:rPr>
        <w:t xml:space="preserve"> </w:t>
      </w:r>
      <w:r w:rsidR="00590C3B" w:rsidRPr="001C2C6F">
        <w:t>reported</w:t>
      </w:r>
      <w:r w:rsidR="00590C3B" w:rsidRPr="001C2C6F">
        <w:rPr>
          <w:spacing w:val="-8"/>
        </w:rPr>
        <w:t xml:space="preserve"> </w:t>
      </w:r>
      <w:r w:rsidR="00590C3B" w:rsidRPr="001C2C6F">
        <w:t>that</w:t>
      </w:r>
      <w:r w:rsidR="00944AB0" w:rsidRPr="001C2C6F">
        <w:rPr>
          <w:spacing w:val="-6"/>
        </w:rPr>
        <w:t xml:space="preserve"> </w:t>
      </w:r>
      <w:r w:rsidR="006B1B27" w:rsidRPr="001C2C6F">
        <w:t>awareness</w:t>
      </w:r>
      <w:r w:rsidR="006B1B27" w:rsidRPr="001C2C6F">
        <w:rPr>
          <w:spacing w:val="-7"/>
        </w:rPr>
        <w:t xml:space="preserve"> </w:t>
      </w:r>
      <w:r w:rsidR="006B1B27" w:rsidRPr="001C2C6F">
        <w:t>of</w:t>
      </w:r>
      <w:r w:rsidR="006B1B27" w:rsidRPr="001C2C6F">
        <w:rPr>
          <w:spacing w:val="-7"/>
        </w:rPr>
        <w:t xml:space="preserve"> </w:t>
      </w:r>
      <w:r w:rsidR="006B1B27" w:rsidRPr="001C2C6F">
        <w:t>TWES</w:t>
      </w:r>
      <w:r w:rsidR="006B1B27" w:rsidRPr="001C2C6F">
        <w:rPr>
          <w:spacing w:val="-6"/>
        </w:rPr>
        <w:t xml:space="preserve"> </w:t>
      </w:r>
      <w:r w:rsidR="00D255F0" w:rsidRPr="001C2C6F">
        <w:rPr>
          <w:spacing w:val="-1"/>
        </w:rPr>
        <w:t>remains</w:t>
      </w:r>
      <w:r w:rsidR="00D255F0">
        <w:rPr>
          <w:spacing w:val="-1"/>
        </w:rPr>
        <w:t xml:space="preserve"> </w:t>
      </w:r>
      <w:r w:rsidR="00D255F0" w:rsidRPr="001C2C6F">
        <w:rPr>
          <w:spacing w:val="-1"/>
        </w:rPr>
        <w:t>low</w:t>
      </w:r>
      <w:r w:rsidR="00D255F0" w:rsidRPr="001C2C6F">
        <w:rPr>
          <w:spacing w:val="-6"/>
        </w:rPr>
        <w:t xml:space="preserve"> </w:t>
      </w:r>
      <w:r w:rsidR="00D255F0" w:rsidRPr="001C2C6F">
        <w:t>among</w:t>
      </w:r>
      <w:r w:rsidR="00D255F0" w:rsidRPr="001C2C6F">
        <w:rPr>
          <w:spacing w:val="-6"/>
        </w:rPr>
        <w:t xml:space="preserve"> </w:t>
      </w:r>
      <w:r w:rsidR="00944AB0" w:rsidRPr="001C2C6F">
        <w:t>some</w:t>
      </w:r>
      <w:r w:rsidR="00766308">
        <w:t xml:space="preserve"> post-release</w:t>
      </w:r>
      <w:r w:rsidR="00DD5213" w:rsidRPr="001C2C6F">
        <w:rPr>
          <w:spacing w:val="-7"/>
        </w:rPr>
        <w:t xml:space="preserve"> </w:t>
      </w:r>
      <w:r w:rsidR="00DD5213" w:rsidRPr="001C2C6F">
        <w:t>employment</w:t>
      </w:r>
      <w:r w:rsidR="00DD5213" w:rsidRPr="001C2C6F">
        <w:rPr>
          <w:spacing w:val="-6"/>
        </w:rPr>
        <w:t xml:space="preserve"> </w:t>
      </w:r>
      <w:r w:rsidR="00944AB0" w:rsidRPr="001C2C6F">
        <w:t>service</w:t>
      </w:r>
      <w:r w:rsidR="00944AB0" w:rsidRPr="001C2C6F">
        <w:rPr>
          <w:spacing w:val="-7"/>
        </w:rPr>
        <w:t xml:space="preserve"> </w:t>
      </w:r>
      <w:r w:rsidR="00944AB0" w:rsidRPr="001C2C6F">
        <w:t>providers</w:t>
      </w:r>
      <w:r w:rsidR="00D255F0" w:rsidRPr="001C2C6F">
        <w:rPr>
          <w:spacing w:val="-5"/>
        </w:rPr>
        <w:t xml:space="preserve"> </w:t>
      </w:r>
      <w:r w:rsidR="00D255F0" w:rsidRPr="001C2C6F">
        <w:t>and</w:t>
      </w:r>
      <w:r w:rsidR="00D255F0" w:rsidRPr="001C2C6F">
        <w:rPr>
          <w:spacing w:val="-7"/>
        </w:rPr>
        <w:t xml:space="preserve"> </w:t>
      </w:r>
      <w:r w:rsidR="00D255F0" w:rsidRPr="001C2C6F">
        <w:t>corrections</w:t>
      </w:r>
      <w:r w:rsidR="00D255F0" w:rsidRPr="001C2C6F">
        <w:rPr>
          <w:spacing w:val="-6"/>
        </w:rPr>
        <w:t xml:space="preserve"> </w:t>
      </w:r>
      <w:r w:rsidR="00D255F0" w:rsidRPr="001C2C6F">
        <w:t>staff,</w:t>
      </w:r>
      <w:r w:rsidR="00D255F0" w:rsidRPr="001C2C6F">
        <w:rPr>
          <w:spacing w:val="-7"/>
        </w:rPr>
        <w:t xml:space="preserve"> </w:t>
      </w:r>
      <w:r w:rsidR="00D255F0" w:rsidRPr="001C2C6F">
        <w:t>which</w:t>
      </w:r>
      <w:r w:rsidR="00D255F0" w:rsidRPr="001C2C6F">
        <w:rPr>
          <w:spacing w:val="-5"/>
        </w:rPr>
        <w:t xml:space="preserve"> </w:t>
      </w:r>
      <w:r w:rsidR="006015CE" w:rsidRPr="001C2C6F">
        <w:t>has</w:t>
      </w:r>
      <w:r w:rsidR="006015CE" w:rsidRPr="001C2C6F">
        <w:rPr>
          <w:spacing w:val="-4"/>
        </w:rPr>
        <w:t xml:space="preserve"> </w:t>
      </w:r>
      <w:r w:rsidR="006015CE" w:rsidRPr="001C2C6F">
        <w:rPr>
          <w:spacing w:val="-1"/>
        </w:rPr>
        <w:t>made</w:t>
      </w:r>
      <w:r w:rsidR="006015CE" w:rsidRPr="001C2C6F">
        <w:rPr>
          <w:spacing w:val="-5"/>
        </w:rPr>
        <w:t xml:space="preserve"> </w:t>
      </w:r>
      <w:r w:rsidR="006015CE" w:rsidRPr="001C2C6F">
        <w:rPr>
          <w:spacing w:val="-1"/>
        </w:rPr>
        <w:t>it</w:t>
      </w:r>
      <w:r w:rsidR="006015CE" w:rsidRPr="001C2C6F">
        <w:rPr>
          <w:spacing w:val="28"/>
          <w:w w:val="99"/>
        </w:rPr>
        <w:t xml:space="preserve"> </w:t>
      </w:r>
      <w:r w:rsidR="006015CE" w:rsidRPr="001C2C6F">
        <w:rPr>
          <w:spacing w:val="-1"/>
        </w:rPr>
        <w:t>difficult</w:t>
      </w:r>
      <w:r w:rsidR="006015CE" w:rsidRPr="001C2C6F">
        <w:rPr>
          <w:spacing w:val="-6"/>
        </w:rPr>
        <w:t xml:space="preserve"> </w:t>
      </w:r>
      <w:r w:rsidR="006015CE" w:rsidRPr="001C2C6F">
        <w:t>to</w:t>
      </w:r>
      <w:r w:rsidR="006015CE" w:rsidRPr="001C2C6F">
        <w:rPr>
          <w:spacing w:val="-6"/>
        </w:rPr>
        <w:t xml:space="preserve"> </w:t>
      </w:r>
      <w:r w:rsidR="006015CE" w:rsidRPr="001C2C6F">
        <w:t>promote</w:t>
      </w:r>
      <w:r w:rsidR="006015CE" w:rsidRPr="001C2C6F">
        <w:rPr>
          <w:spacing w:val="-8"/>
        </w:rPr>
        <w:t xml:space="preserve"> </w:t>
      </w:r>
      <w:r w:rsidR="006015CE" w:rsidRPr="001C2C6F">
        <w:t>the</w:t>
      </w:r>
      <w:r w:rsidR="006015CE" w:rsidRPr="001C2C6F">
        <w:rPr>
          <w:spacing w:val="-7"/>
        </w:rPr>
        <w:t xml:space="preserve"> </w:t>
      </w:r>
      <w:r w:rsidR="006015CE" w:rsidRPr="001C2C6F">
        <w:t>program</w:t>
      </w:r>
      <w:r w:rsidR="006015CE" w:rsidRPr="001C2C6F">
        <w:rPr>
          <w:spacing w:val="-7"/>
        </w:rPr>
        <w:t xml:space="preserve"> </w:t>
      </w:r>
      <w:r w:rsidR="006015CE" w:rsidRPr="001C2C6F">
        <w:t>and</w:t>
      </w:r>
      <w:r w:rsidR="006015CE" w:rsidRPr="001C2C6F">
        <w:rPr>
          <w:spacing w:val="-7"/>
        </w:rPr>
        <w:t xml:space="preserve"> </w:t>
      </w:r>
      <w:r w:rsidR="006015CE" w:rsidRPr="001C2C6F">
        <w:t>bring</w:t>
      </w:r>
      <w:r w:rsidR="006015CE" w:rsidRPr="001C2C6F">
        <w:rPr>
          <w:spacing w:val="-7"/>
        </w:rPr>
        <w:t xml:space="preserve"> </w:t>
      </w:r>
      <w:r w:rsidR="006015CE" w:rsidRPr="001C2C6F">
        <w:rPr>
          <w:spacing w:val="-1"/>
        </w:rPr>
        <w:t>employment</w:t>
      </w:r>
      <w:r w:rsidR="006015CE" w:rsidRPr="001C2C6F">
        <w:rPr>
          <w:spacing w:val="-5"/>
        </w:rPr>
        <w:t xml:space="preserve"> </w:t>
      </w:r>
      <w:r w:rsidR="006015CE" w:rsidRPr="001C2C6F">
        <w:t>services</w:t>
      </w:r>
      <w:r w:rsidR="006015CE" w:rsidRPr="001C2C6F">
        <w:rPr>
          <w:spacing w:val="-7"/>
        </w:rPr>
        <w:t xml:space="preserve"> </w:t>
      </w:r>
      <w:r w:rsidR="006015CE" w:rsidRPr="001C2C6F">
        <w:t>to</w:t>
      </w:r>
      <w:r w:rsidR="006015CE" w:rsidRPr="001C2C6F">
        <w:rPr>
          <w:spacing w:val="-7"/>
        </w:rPr>
        <w:t xml:space="preserve"> </w:t>
      </w:r>
      <w:r w:rsidR="006015CE" w:rsidRPr="001C2C6F">
        <w:t>Facilitated</w:t>
      </w:r>
      <w:r w:rsidR="006015CE" w:rsidRPr="001C2C6F">
        <w:rPr>
          <w:spacing w:val="-7"/>
        </w:rPr>
        <w:t xml:space="preserve"> </w:t>
      </w:r>
      <w:r w:rsidR="006015CE" w:rsidRPr="001C2C6F">
        <w:t>Transfer</w:t>
      </w:r>
      <w:r w:rsidR="006015CE">
        <w:t xml:space="preserve"> meetings</w:t>
      </w:r>
      <w:r w:rsidR="00FF1477">
        <w:rPr>
          <w:spacing w:val="-1"/>
        </w:rPr>
        <w:t>.</w:t>
      </w:r>
    </w:p>
    <w:p w14:paraId="1180E4B8" w14:textId="4966DA22" w:rsidR="00E74863" w:rsidRPr="00E74863" w:rsidRDefault="004B2051" w:rsidP="00305B4B">
      <w:pPr>
        <w:pStyle w:val="BodyText"/>
        <w:ind w:right="3"/>
        <w:rPr>
          <w:color w:val="000000"/>
        </w:rPr>
      </w:pPr>
      <w:r>
        <w:rPr>
          <w:noProof/>
        </w:rPr>
        <w:lastRenderedPageBreak/>
        <mc:AlternateContent>
          <mc:Choice Requires="wps">
            <w:drawing>
              <wp:inline distT="0" distB="0" distL="0" distR="0" wp14:anchorId="6ACF1D9A" wp14:editId="6341BA15">
                <wp:extent cx="6214187" cy="923365"/>
                <wp:effectExtent l="0" t="0" r="0" b="3810"/>
                <wp:docPr id="74" name="Rectangle: Rounded Corners 74"/>
                <wp:cNvGraphicFramePr/>
                <a:graphic xmlns:a="http://schemas.openxmlformats.org/drawingml/2006/main">
                  <a:graphicData uri="http://schemas.microsoft.com/office/word/2010/wordprocessingShape">
                    <wps:wsp>
                      <wps:cNvSpPr/>
                      <wps:spPr>
                        <a:xfrm>
                          <a:off x="0" y="0"/>
                          <a:ext cx="6214187" cy="923365"/>
                        </a:xfrm>
                        <a:prstGeom prst="roundRect">
                          <a:avLst/>
                        </a:prstGeom>
                        <a:solidFill>
                          <a:srgbClr val="58B6E7">
                            <a:lumMod val="20000"/>
                            <a:lumOff val="80000"/>
                          </a:srgbClr>
                        </a:solidFill>
                        <a:ln w="25400" cap="flat" cmpd="sng" algn="ctr">
                          <a:noFill/>
                          <a:prstDash val="solid"/>
                        </a:ln>
                        <a:effectLst/>
                      </wps:spPr>
                      <wps:txbx>
                        <w:txbxContent>
                          <w:p w14:paraId="3147DDFB" w14:textId="77777777" w:rsidR="000B1DD2" w:rsidRDefault="000B1DD2" w:rsidP="00E06C4B">
                            <w:pPr>
                              <w:pStyle w:val="QuoteNoafterspace"/>
                            </w:pPr>
                            <w:r w:rsidRPr="00E74863">
                              <w:t>Because TWES is a relatively new service not a lot of the key stakeholders are actually aware of it, including corrections and employment services. This can create confusion.</w:t>
                            </w:r>
                          </w:p>
                          <w:p w14:paraId="0A038276" w14:textId="3191D036" w:rsidR="000B1DD2" w:rsidRPr="006D6DBD" w:rsidRDefault="000B1DD2" w:rsidP="00E06C4B">
                            <w:pPr>
                              <w:pStyle w:val="QuoteNoafterspace"/>
                              <w:jc w:val="right"/>
                              <w:rPr>
                                <w:b/>
                                <w:bCs/>
                              </w:rPr>
                            </w:pPr>
                            <w:r w:rsidRPr="006D6DBD">
                              <w:rPr>
                                <w:b/>
                                <w:bCs/>
                              </w:rPr>
                              <w:t xml:space="preserve">- </w:t>
                            </w:r>
                            <w:r w:rsidRPr="00E74863">
                              <w:rPr>
                                <w:b/>
                                <w:bCs/>
                              </w:rPr>
                              <w:t xml:space="preserve">TWES </w:t>
                            </w:r>
                            <w:r>
                              <w:rPr>
                                <w:b/>
                                <w:bCs/>
                              </w:rPr>
                              <w:t>p</w:t>
                            </w:r>
                            <w:r w:rsidRPr="00E74863">
                              <w:rPr>
                                <w:b/>
                                <w:bCs/>
                              </w:rPr>
                              <w:t>rovider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CF1D9A" id="Rectangle: Rounded Corners 74" o:spid="_x0000_s1063" style="width:489.3pt;height:7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" fillcolor="#def0fa" stroked="f" strokeweight="2pt">
                <v:textbox inset="0,0,0,0">
                  <w:txbxContent>
                    <w:p w14:paraId="3147DDFB" w14:textId="77777777" w:rsidR="000B1DD2" w:rsidRDefault="000B1DD2" w:rsidP="00E06C4B">
                      <w:pPr>
                        <w:pStyle w:val="QuoteNoafterspace"/>
                      </w:pPr>
                      <w:r w:rsidRPr="00E74863">
                        <w:t xml:space="preserve">Because TWES is a relatively new service not a lot of the key stakeholders are </w:t>
                      </w:r>
                      <w:proofErr w:type="gramStart"/>
                      <w:r w:rsidRPr="00E74863">
                        <w:t>actually aware</w:t>
                      </w:r>
                      <w:proofErr w:type="gramEnd"/>
                      <w:r w:rsidRPr="00E74863">
                        <w:t xml:space="preserve"> of it, including corrections and employment services. This can create confusion.</w:t>
                      </w:r>
                    </w:p>
                    <w:p w14:paraId="0A038276" w14:textId="3191D036" w:rsidR="000B1DD2" w:rsidRPr="006D6DBD" w:rsidRDefault="000B1DD2" w:rsidP="00E06C4B">
                      <w:pPr>
                        <w:pStyle w:val="QuoteNoafterspace"/>
                        <w:jc w:val="right"/>
                        <w:rPr>
                          <w:b/>
                          <w:bCs/>
                        </w:rPr>
                      </w:pPr>
                      <w:r w:rsidRPr="006D6DBD">
                        <w:rPr>
                          <w:b/>
                          <w:bCs/>
                        </w:rPr>
                        <w:t xml:space="preserve">- </w:t>
                      </w:r>
                      <w:r w:rsidRPr="00E74863">
                        <w:rPr>
                          <w:b/>
                          <w:bCs/>
                        </w:rPr>
                        <w:t xml:space="preserve">TWES </w:t>
                      </w:r>
                      <w:r>
                        <w:rPr>
                          <w:b/>
                          <w:bCs/>
                        </w:rPr>
                        <w:t>p</w:t>
                      </w:r>
                      <w:r w:rsidRPr="00E74863">
                        <w:rPr>
                          <w:b/>
                          <w:bCs/>
                        </w:rPr>
                        <w:t>rovider</w:t>
                      </w:r>
                    </w:p>
                  </w:txbxContent>
                </v:textbox>
                <w10:anchorlock/>
              </v:roundrect>
            </w:pict>
          </mc:Fallback>
        </mc:AlternateContent>
      </w:r>
    </w:p>
    <w:p w14:paraId="73876FA5" w14:textId="5CD1DA1A" w:rsidR="00BD6E9B" w:rsidRPr="00FF3D15" w:rsidRDefault="006C5266" w:rsidP="007F09E7">
      <w:pPr>
        <w:pStyle w:val="Numberedlist"/>
      </w:pPr>
      <w:r w:rsidRPr="00FF3D15">
        <w:rPr>
          <w:b/>
          <w:spacing w:val="-1"/>
        </w:rPr>
        <w:t>COVID-19</w:t>
      </w:r>
      <w:r w:rsidR="00D51EAA" w:rsidRPr="00FF3D15">
        <w:rPr>
          <w:b/>
          <w:spacing w:val="-1"/>
        </w:rPr>
        <w:t>:</w:t>
      </w:r>
      <w:r w:rsidR="00D51EAA" w:rsidRPr="00FF3D15">
        <w:rPr>
          <w:b/>
          <w:spacing w:val="-6"/>
        </w:rPr>
        <w:t xml:space="preserve"> </w:t>
      </w:r>
      <w:r w:rsidR="00D51EAA" w:rsidRPr="00FF3D15">
        <w:rPr>
          <w:spacing w:val="1"/>
        </w:rPr>
        <w:t>The</w:t>
      </w:r>
      <w:r w:rsidR="00D51EAA" w:rsidRPr="00FF3D15">
        <w:rPr>
          <w:spacing w:val="-6"/>
        </w:rPr>
        <w:t xml:space="preserve"> </w:t>
      </w:r>
      <w:r w:rsidR="00011BA7" w:rsidRPr="00FF3D15">
        <w:t>restrictions</w:t>
      </w:r>
      <w:r w:rsidR="00011BA7" w:rsidRPr="00FF3D15">
        <w:rPr>
          <w:spacing w:val="-3"/>
        </w:rPr>
        <w:t xml:space="preserve"> </w:t>
      </w:r>
      <w:r w:rsidR="00011BA7" w:rsidRPr="00FF3D15">
        <w:t>to</w:t>
      </w:r>
      <w:r w:rsidR="00011BA7" w:rsidRPr="00FF3D15">
        <w:rPr>
          <w:spacing w:val="-6"/>
        </w:rPr>
        <w:t xml:space="preserve"> </w:t>
      </w:r>
      <w:r w:rsidR="00011BA7" w:rsidRPr="00FF3D15">
        <w:t>prevent</w:t>
      </w:r>
      <w:r w:rsidR="00011BA7" w:rsidRPr="00FF3D15">
        <w:rPr>
          <w:spacing w:val="-6"/>
        </w:rPr>
        <w:t xml:space="preserve"> </w:t>
      </w:r>
      <w:r w:rsidR="00011BA7" w:rsidRPr="00FF3D15">
        <w:t>the</w:t>
      </w:r>
      <w:r w:rsidR="00011BA7" w:rsidRPr="00FF3D15">
        <w:rPr>
          <w:spacing w:val="-6"/>
        </w:rPr>
        <w:t xml:space="preserve"> </w:t>
      </w:r>
      <w:r w:rsidR="00011BA7" w:rsidRPr="00FF3D15">
        <w:t>spread</w:t>
      </w:r>
      <w:r w:rsidR="00011BA7" w:rsidRPr="00FF3D15">
        <w:rPr>
          <w:spacing w:val="-6"/>
        </w:rPr>
        <w:t xml:space="preserve"> </w:t>
      </w:r>
      <w:r w:rsidR="00011BA7" w:rsidRPr="00FF3D15">
        <w:rPr>
          <w:spacing w:val="-1"/>
        </w:rPr>
        <w:t>of</w:t>
      </w:r>
      <w:r w:rsidR="00011BA7" w:rsidRPr="00FF3D15">
        <w:rPr>
          <w:spacing w:val="-2"/>
        </w:rPr>
        <w:t xml:space="preserve"> </w:t>
      </w:r>
      <w:r w:rsidR="00D51EAA" w:rsidRPr="00FF3D15">
        <w:t>COVID-19</w:t>
      </w:r>
      <w:r w:rsidR="00011BA7" w:rsidRPr="00FF3D15">
        <w:rPr>
          <w:spacing w:val="-5"/>
        </w:rPr>
        <w:t xml:space="preserve"> </w:t>
      </w:r>
      <w:r w:rsidR="00D51EAA" w:rsidRPr="00FF3D15">
        <w:rPr>
          <w:spacing w:val="-1"/>
        </w:rPr>
        <w:t>had</w:t>
      </w:r>
      <w:r w:rsidR="00D51EAA" w:rsidRPr="00FF3D15">
        <w:rPr>
          <w:spacing w:val="-4"/>
        </w:rPr>
        <w:t xml:space="preserve"> </w:t>
      </w:r>
      <w:r w:rsidR="00D51EAA" w:rsidRPr="00FF3D15">
        <w:t>a</w:t>
      </w:r>
      <w:r w:rsidR="00D51EAA" w:rsidRPr="00FF3D15">
        <w:rPr>
          <w:spacing w:val="-6"/>
        </w:rPr>
        <w:t xml:space="preserve"> </w:t>
      </w:r>
      <w:r w:rsidR="00D51EAA" w:rsidRPr="00FF3D15">
        <w:t>significant</w:t>
      </w:r>
      <w:r w:rsidR="00D51EAA" w:rsidRPr="00FF3D15">
        <w:rPr>
          <w:spacing w:val="-6"/>
        </w:rPr>
        <w:t xml:space="preserve"> </w:t>
      </w:r>
      <w:r w:rsidR="00D51EAA" w:rsidRPr="00FF3D15">
        <w:t>impact</w:t>
      </w:r>
      <w:r w:rsidR="00D51EAA" w:rsidRPr="00FF3D15">
        <w:rPr>
          <w:spacing w:val="-7"/>
        </w:rPr>
        <w:t xml:space="preserve"> </w:t>
      </w:r>
      <w:r w:rsidR="00D51EAA" w:rsidRPr="00FF3D15">
        <w:t>on</w:t>
      </w:r>
      <w:r w:rsidR="00423E85" w:rsidRPr="00FF3D15">
        <w:rPr>
          <w:spacing w:val="-3"/>
        </w:rPr>
        <w:t xml:space="preserve"> </w:t>
      </w:r>
      <w:r w:rsidR="00423E85" w:rsidRPr="00FF3D15">
        <w:t>all</w:t>
      </w:r>
      <w:r w:rsidR="00423E85" w:rsidRPr="00FF3D15">
        <w:rPr>
          <w:spacing w:val="36"/>
          <w:w w:val="99"/>
        </w:rPr>
        <w:t xml:space="preserve"> </w:t>
      </w:r>
      <w:r w:rsidR="00423E85" w:rsidRPr="00FF3D15">
        <w:t>aspects</w:t>
      </w:r>
      <w:r w:rsidR="00423E85" w:rsidRPr="00FF3D15">
        <w:rPr>
          <w:spacing w:val="-6"/>
        </w:rPr>
        <w:t xml:space="preserve"> </w:t>
      </w:r>
      <w:r w:rsidR="00423E85" w:rsidRPr="00FF3D15">
        <w:t>of</w:t>
      </w:r>
      <w:r w:rsidR="00423E85" w:rsidRPr="00FF3D15">
        <w:rPr>
          <w:spacing w:val="-7"/>
        </w:rPr>
        <w:t xml:space="preserve"> </w:t>
      </w:r>
      <w:r w:rsidR="00A17D1F" w:rsidRPr="00FF3D15">
        <w:t>TWES</w:t>
      </w:r>
      <w:r w:rsidR="00A17D1F" w:rsidRPr="00FF3D15">
        <w:rPr>
          <w:spacing w:val="-8"/>
        </w:rPr>
        <w:t xml:space="preserve"> </w:t>
      </w:r>
      <w:r w:rsidR="00944AB0" w:rsidRPr="00FF3D15">
        <w:t>delivery</w:t>
      </w:r>
      <w:r w:rsidR="00011BA7" w:rsidRPr="00FF3D15">
        <w:t>,</w:t>
      </w:r>
      <w:r w:rsidR="00A17D1F" w:rsidRPr="00FF3D15">
        <w:rPr>
          <w:spacing w:val="-7"/>
        </w:rPr>
        <w:t xml:space="preserve"> </w:t>
      </w:r>
      <w:r w:rsidR="00D51EAA" w:rsidRPr="00FF3D15">
        <w:rPr>
          <w:spacing w:val="-1"/>
        </w:rPr>
        <w:t>particularly</w:t>
      </w:r>
      <w:r w:rsidR="00D51EAA" w:rsidRPr="00FF3D15">
        <w:rPr>
          <w:spacing w:val="-6"/>
        </w:rPr>
        <w:t xml:space="preserve"> </w:t>
      </w:r>
      <w:r w:rsidR="00D51EAA" w:rsidRPr="00FF3D15">
        <w:t>between</w:t>
      </w:r>
      <w:r w:rsidR="00D51EAA" w:rsidRPr="00FF3D15">
        <w:rPr>
          <w:spacing w:val="-6"/>
        </w:rPr>
        <w:t xml:space="preserve"> </w:t>
      </w:r>
      <w:r w:rsidR="00D51EAA" w:rsidRPr="00FF3D15">
        <w:t>March</w:t>
      </w:r>
      <w:r w:rsidR="00D51EAA" w:rsidRPr="00FF3D15">
        <w:rPr>
          <w:spacing w:val="-5"/>
        </w:rPr>
        <w:t xml:space="preserve"> </w:t>
      </w:r>
      <w:r w:rsidR="00D51EAA" w:rsidRPr="00FF3D15">
        <w:rPr>
          <w:spacing w:val="-1"/>
        </w:rPr>
        <w:t>and</w:t>
      </w:r>
      <w:r w:rsidR="00D51EAA" w:rsidRPr="00FF3D15">
        <w:rPr>
          <w:spacing w:val="-7"/>
        </w:rPr>
        <w:t xml:space="preserve"> </w:t>
      </w:r>
      <w:r w:rsidR="00D51EAA" w:rsidRPr="00FF3D15">
        <w:t>October</w:t>
      </w:r>
      <w:r w:rsidR="0000778A" w:rsidRPr="00FF3D15">
        <w:rPr>
          <w:spacing w:val="-3"/>
        </w:rPr>
        <w:t xml:space="preserve"> </w:t>
      </w:r>
      <w:r w:rsidR="0000778A" w:rsidRPr="00FF3D15">
        <w:t>2020</w:t>
      </w:r>
      <w:r w:rsidR="00D51EAA" w:rsidRPr="00FF3D15">
        <w:t>.</w:t>
      </w:r>
      <w:r w:rsidR="00D51EAA" w:rsidRPr="00FF3D15">
        <w:rPr>
          <w:spacing w:val="-5"/>
        </w:rPr>
        <w:t xml:space="preserve"> </w:t>
      </w:r>
      <w:r w:rsidR="0000778A" w:rsidRPr="00FF3D15">
        <w:t>In</w:t>
      </w:r>
      <w:r w:rsidR="0000778A" w:rsidRPr="00FF3D15">
        <w:rPr>
          <w:spacing w:val="-7"/>
        </w:rPr>
        <w:t xml:space="preserve"> </w:t>
      </w:r>
      <w:r w:rsidR="0000778A" w:rsidRPr="00FF3D15">
        <w:t>response</w:t>
      </w:r>
      <w:r w:rsidR="0000778A" w:rsidRPr="00FF3D15">
        <w:rPr>
          <w:spacing w:val="-7"/>
        </w:rPr>
        <w:t xml:space="preserve"> </w:t>
      </w:r>
      <w:r w:rsidR="0000778A" w:rsidRPr="00FF3D15">
        <w:rPr>
          <w:spacing w:val="-1"/>
        </w:rPr>
        <w:t>to</w:t>
      </w:r>
      <w:r w:rsidR="0000778A" w:rsidRPr="00FF3D15">
        <w:rPr>
          <w:spacing w:val="46"/>
          <w:w w:val="99"/>
        </w:rPr>
        <w:t xml:space="preserve"> </w:t>
      </w:r>
      <w:r w:rsidR="00011BA7" w:rsidRPr="00FF3D15">
        <w:t>COVID-19</w:t>
      </w:r>
      <w:r w:rsidR="0000778A" w:rsidRPr="00FF3D15">
        <w:t>,</w:t>
      </w:r>
      <w:r w:rsidR="0000778A" w:rsidRPr="00FF3D15">
        <w:rPr>
          <w:spacing w:val="-7"/>
        </w:rPr>
        <w:t xml:space="preserve"> </w:t>
      </w:r>
      <w:r w:rsidR="0000778A" w:rsidRPr="00FF3D15">
        <w:rPr>
          <w:spacing w:val="-1"/>
        </w:rPr>
        <w:t>most</w:t>
      </w:r>
      <w:r w:rsidR="0000778A" w:rsidRPr="00FF3D15">
        <w:rPr>
          <w:spacing w:val="-6"/>
        </w:rPr>
        <w:t xml:space="preserve"> </w:t>
      </w:r>
      <w:r w:rsidR="0000778A" w:rsidRPr="00FF3D15">
        <w:rPr>
          <w:spacing w:val="-1"/>
        </w:rPr>
        <w:t>prisons</w:t>
      </w:r>
      <w:r w:rsidR="0000778A" w:rsidRPr="00FF3D15">
        <w:rPr>
          <w:spacing w:val="-4"/>
        </w:rPr>
        <w:t xml:space="preserve"> </w:t>
      </w:r>
      <w:r w:rsidR="0000778A" w:rsidRPr="00FF3D15">
        <w:t>across</w:t>
      </w:r>
      <w:r w:rsidR="0000778A" w:rsidRPr="00FF3D15">
        <w:rPr>
          <w:spacing w:val="-6"/>
        </w:rPr>
        <w:t xml:space="preserve"> </w:t>
      </w:r>
      <w:r w:rsidR="0000778A" w:rsidRPr="00FF3D15">
        <w:rPr>
          <w:spacing w:val="-1"/>
        </w:rPr>
        <w:t>the</w:t>
      </w:r>
      <w:r w:rsidR="0000778A" w:rsidRPr="00FF3D15">
        <w:rPr>
          <w:spacing w:val="-7"/>
        </w:rPr>
        <w:t xml:space="preserve"> </w:t>
      </w:r>
      <w:r w:rsidR="0000778A" w:rsidRPr="00FF3D15">
        <w:rPr>
          <w:spacing w:val="-1"/>
        </w:rPr>
        <w:t>country</w:t>
      </w:r>
      <w:r w:rsidR="0000778A" w:rsidRPr="00FF3D15">
        <w:rPr>
          <w:spacing w:val="-5"/>
        </w:rPr>
        <w:t xml:space="preserve"> </w:t>
      </w:r>
      <w:r w:rsidR="0000778A" w:rsidRPr="00FF3D15">
        <w:t>stopped</w:t>
      </w:r>
      <w:r w:rsidR="0000778A" w:rsidRPr="00FF3D15">
        <w:rPr>
          <w:spacing w:val="-7"/>
        </w:rPr>
        <w:t xml:space="preserve"> </w:t>
      </w:r>
      <w:r w:rsidR="0000778A" w:rsidRPr="00FF3D15">
        <w:t>almost</w:t>
      </w:r>
      <w:r w:rsidR="0000778A" w:rsidRPr="00FF3D15">
        <w:rPr>
          <w:spacing w:val="-7"/>
        </w:rPr>
        <w:t xml:space="preserve"> </w:t>
      </w:r>
      <w:r w:rsidR="0000778A" w:rsidRPr="00FF3D15">
        <w:t>all</w:t>
      </w:r>
      <w:r w:rsidR="0000778A" w:rsidRPr="00FF3D15">
        <w:rPr>
          <w:spacing w:val="-8"/>
        </w:rPr>
        <w:t xml:space="preserve"> </w:t>
      </w:r>
      <w:r w:rsidR="0000778A" w:rsidRPr="00FF3D15">
        <w:t>visits</w:t>
      </w:r>
      <w:r w:rsidR="0000778A" w:rsidRPr="00FF3D15">
        <w:rPr>
          <w:spacing w:val="-1"/>
        </w:rPr>
        <w:t xml:space="preserve"> </w:t>
      </w:r>
      <w:r w:rsidR="0000778A" w:rsidRPr="00FF3D15">
        <w:t>including</w:t>
      </w:r>
      <w:r w:rsidR="0000778A" w:rsidRPr="00FF3D15">
        <w:rPr>
          <w:spacing w:val="-7"/>
        </w:rPr>
        <w:t xml:space="preserve"> </w:t>
      </w:r>
      <w:r w:rsidR="0000778A" w:rsidRPr="00FF3D15">
        <w:t>from</w:t>
      </w:r>
      <w:r w:rsidR="0000778A" w:rsidRPr="00FF3D15">
        <w:rPr>
          <w:spacing w:val="50"/>
          <w:w w:val="99"/>
        </w:rPr>
        <w:t xml:space="preserve"> </w:t>
      </w:r>
      <w:r w:rsidR="0000778A" w:rsidRPr="00FF3D15">
        <w:t>professional</w:t>
      </w:r>
      <w:r w:rsidR="0000778A" w:rsidRPr="00FF3D15">
        <w:rPr>
          <w:spacing w:val="-6"/>
        </w:rPr>
        <w:t xml:space="preserve"> </w:t>
      </w:r>
      <w:r w:rsidR="00912DB6" w:rsidRPr="00FF3D15">
        <w:t>services</w:t>
      </w:r>
      <w:r w:rsidR="00912DB6" w:rsidRPr="00FF3D15">
        <w:rPr>
          <w:spacing w:val="-5"/>
        </w:rPr>
        <w:t xml:space="preserve"> </w:t>
      </w:r>
      <w:r w:rsidR="0000778A" w:rsidRPr="00FF3D15">
        <w:t>visits</w:t>
      </w:r>
      <w:r w:rsidR="0000778A" w:rsidRPr="00FF3D15">
        <w:rPr>
          <w:spacing w:val="-4"/>
        </w:rPr>
        <w:t xml:space="preserve"> </w:t>
      </w:r>
      <w:r w:rsidR="00912DB6" w:rsidRPr="00FF3D15">
        <w:t>such</w:t>
      </w:r>
      <w:r w:rsidR="00912DB6" w:rsidRPr="00FF3D15">
        <w:rPr>
          <w:spacing w:val="-7"/>
        </w:rPr>
        <w:t xml:space="preserve"> </w:t>
      </w:r>
      <w:r w:rsidR="00912DB6" w:rsidRPr="00FF3D15">
        <w:rPr>
          <w:spacing w:val="-1"/>
        </w:rPr>
        <w:t>as</w:t>
      </w:r>
      <w:r w:rsidR="00912DB6" w:rsidRPr="00FF3D15">
        <w:rPr>
          <w:spacing w:val="-7"/>
        </w:rPr>
        <w:t xml:space="preserve"> </w:t>
      </w:r>
      <w:r w:rsidR="00912DB6" w:rsidRPr="00FF3D15">
        <w:t>TWES</w:t>
      </w:r>
      <w:r w:rsidR="00912DB6" w:rsidRPr="00FF3D15">
        <w:rPr>
          <w:spacing w:val="-6"/>
        </w:rPr>
        <w:t xml:space="preserve"> </w:t>
      </w:r>
      <w:r w:rsidR="00C9076E">
        <w:t>p</w:t>
      </w:r>
      <w:r w:rsidR="00C9076E" w:rsidRPr="00FF3D15">
        <w:t>roviders</w:t>
      </w:r>
      <w:r w:rsidR="00912DB6" w:rsidRPr="00FF3D15">
        <w:t>.</w:t>
      </w:r>
      <w:r w:rsidR="00912DB6" w:rsidRPr="00FF3D15">
        <w:rPr>
          <w:spacing w:val="-7"/>
        </w:rPr>
        <w:t xml:space="preserve"> </w:t>
      </w:r>
      <w:r w:rsidR="00912DB6" w:rsidRPr="00FF3D15">
        <w:t>In</w:t>
      </w:r>
      <w:r w:rsidR="00912DB6" w:rsidRPr="00FF3D15">
        <w:rPr>
          <w:spacing w:val="-7"/>
        </w:rPr>
        <w:t xml:space="preserve"> </w:t>
      </w:r>
      <w:r w:rsidR="00912DB6" w:rsidRPr="00FF3D15">
        <w:rPr>
          <w:spacing w:val="-1"/>
        </w:rPr>
        <w:t>some</w:t>
      </w:r>
      <w:r w:rsidR="00912DB6" w:rsidRPr="00FF3D15">
        <w:rPr>
          <w:spacing w:val="-8"/>
        </w:rPr>
        <w:t xml:space="preserve"> </w:t>
      </w:r>
      <w:r w:rsidR="00912DB6" w:rsidRPr="00FF3D15">
        <w:t>cases,</w:t>
      </w:r>
      <w:r w:rsidR="00912DB6" w:rsidRPr="00FF3D15">
        <w:rPr>
          <w:spacing w:val="-7"/>
        </w:rPr>
        <w:t xml:space="preserve"> </w:t>
      </w:r>
      <w:r w:rsidR="00912DB6" w:rsidRPr="00FF3D15">
        <w:t>TWES</w:t>
      </w:r>
      <w:r w:rsidR="00912DB6" w:rsidRPr="00FF3D15">
        <w:rPr>
          <w:spacing w:val="-7"/>
        </w:rPr>
        <w:t xml:space="preserve"> </w:t>
      </w:r>
      <w:r w:rsidR="00912DB6" w:rsidRPr="00FF3D15">
        <w:t>servicing</w:t>
      </w:r>
      <w:r w:rsidR="00912DB6" w:rsidRPr="00FF3D15">
        <w:rPr>
          <w:spacing w:val="-7"/>
        </w:rPr>
        <w:t xml:space="preserve"> </w:t>
      </w:r>
      <w:r w:rsidR="00912DB6" w:rsidRPr="00FF3D15">
        <w:t>moved</w:t>
      </w:r>
      <w:r w:rsidR="00912DB6" w:rsidRPr="00FF3D15">
        <w:rPr>
          <w:spacing w:val="26"/>
          <w:w w:val="99"/>
        </w:rPr>
        <w:t xml:space="preserve"> </w:t>
      </w:r>
      <w:r w:rsidR="00912DB6" w:rsidRPr="00FF3D15">
        <w:rPr>
          <w:spacing w:val="-1"/>
        </w:rPr>
        <w:t>to</w:t>
      </w:r>
      <w:r w:rsidR="00912DB6" w:rsidRPr="00FF3D15">
        <w:rPr>
          <w:spacing w:val="-8"/>
        </w:rPr>
        <w:t xml:space="preserve"> </w:t>
      </w:r>
      <w:r w:rsidR="005645FB" w:rsidRPr="00FF3D15">
        <w:t>telephone</w:t>
      </w:r>
      <w:r w:rsidR="005645FB" w:rsidRPr="00FF3D15">
        <w:rPr>
          <w:spacing w:val="-7"/>
        </w:rPr>
        <w:t xml:space="preserve"> </w:t>
      </w:r>
      <w:r w:rsidR="005645FB" w:rsidRPr="00FF3D15">
        <w:rPr>
          <w:spacing w:val="-1"/>
        </w:rPr>
        <w:t>or</w:t>
      </w:r>
      <w:r w:rsidR="005645FB" w:rsidRPr="00FF3D15">
        <w:rPr>
          <w:spacing w:val="-7"/>
        </w:rPr>
        <w:t xml:space="preserve"> </w:t>
      </w:r>
      <w:r w:rsidR="005645FB" w:rsidRPr="00FF3D15">
        <w:t>videoconferencing</w:t>
      </w:r>
      <w:r w:rsidR="005645FB" w:rsidRPr="00FF3D15">
        <w:rPr>
          <w:spacing w:val="-7"/>
        </w:rPr>
        <w:t xml:space="preserve"> </w:t>
      </w:r>
      <w:r w:rsidR="005645FB" w:rsidRPr="00FF3D15">
        <w:t>where</w:t>
      </w:r>
      <w:r w:rsidR="005645FB" w:rsidRPr="00FF3D15">
        <w:rPr>
          <w:spacing w:val="-7"/>
        </w:rPr>
        <w:t xml:space="preserve"> </w:t>
      </w:r>
      <w:r w:rsidR="005645FB" w:rsidRPr="00FF3D15">
        <w:t>prisons</w:t>
      </w:r>
      <w:r w:rsidR="005645FB" w:rsidRPr="00FF3D15">
        <w:rPr>
          <w:spacing w:val="-7"/>
        </w:rPr>
        <w:t xml:space="preserve"> </w:t>
      </w:r>
      <w:r w:rsidR="005645FB" w:rsidRPr="00FF3D15">
        <w:t>had</w:t>
      </w:r>
      <w:r w:rsidR="005645FB" w:rsidRPr="00FF3D15">
        <w:rPr>
          <w:spacing w:val="-7"/>
        </w:rPr>
        <w:t xml:space="preserve"> </w:t>
      </w:r>
      <w:r w:rsidR="005645FB" w:rsidRPr="00FF3D15">
        <w:t>these</w:t>
      </w:r>
      <w:r w:rsidR="005645FB" w:rsidRPr="00FF3D15">
        <w:rPr>
          <w:spacing w:val="-7"/>
        </w:rPr>
        <w:t xml:space="preserve"> </w:t>
      </w:r>
      <w:r w:rsidR="005645FB" w:rsidRPr="00FF3D15">
        <w:t>facilities,</w:t>
      </w:r>
      <w:r w:rsidR="005645FB" w:rsidRPr="00FF3D15">
        <w:rPr>
          <w:spacing w:val="-8"/>
        </w:rPr>
        <w:t xml:space="preserve"> </w:t>
      </w:r>
      <w:r w:rsidR="005645FB" w:rsidRPr="00FF3D15">
        <w:rPr>
          <w:spacing w:val="-1"/>
        </w:rPr>
        <w:t>but</w:t>
      </w:r>
      <w:r w:rsidR="005645FB" w:rsidRPr="00FF3D15">
        <w:rPr>
          <w:spacing w:val="-5"/>
        </w:rPr>
        <w:t xml:space="preserve"> </w:t>
      </w:r>
      <w:r w:rsidR="005645FB" w:rsidRPr="00FF3D15">
        <w:t>servicing</w:t>
      </w:r>
      <w:r w:rsidR="005645FB" w:rsidRPr="00FF3D15">
        <w:rPr>
          <w:spacing w:val="-6"/>
        </w:rPr>
        <w:t xml:space="preserve"> </w:t>
      </w:r>
      <w:r w:rsidR="005645FB" w:rsidRPr="00FF3D15">
        <w:t>was</w:t>
      </w:r>
      <w:r w:rsidR="005645FB" w:rsidRPr="00FF3D15">
        <w:rPr>
          <w:spacing w:val="40"/>
          <w:w w:val="99"/>
        </w:rPr>
        <w:t xml:space="preserve"> </w:t>
      </w:r>
      <w:r w:rsidR="005645FB" w:rsidRPr="00FF3D15">
        <w:rPr>
          <w:spacing w:val="-1"/>
        </w:rPr>
        <w:t>significantly</w:t>
      </w:r>
      <w:r w:rsidR="005645FB" w:rsidRPr="00FF3D15">
        <w:rPr>
          <w:spacing w:val="-18"/>
        </w:rPr>
        <w:t xml:space="preserve"> </w:t>
      </w:r>
      <w:r w:rsidR="005645FB" w:rsidRPr="00FF3D15">
        <w:t>affected</w:t>
      </w:r>
      <w:r w:rsidR="007A3BCA" w:rsidRPr="00FF3D15">
        <w:t>.</w:t>
      </w:r>
    </w:p>
    <w:p w14:paraId="7D053C1F" w14:textId="2A11BCEA" w:rsidR="00F95672" w:rsidRDefault="00CF0E75" w:rsidP="00305B4B">
      <w:pPr>
        <w:pStyle w:val="Heading3"/>
        <w:ind w:right="3"/>
      </w:pPr>
      <w:r>
        <w:t>Summary</w:t>
      </w:r>
    </w:p>
    <w:p w14:paraId="16C0C9AA" w14:textId="4B25159D" w:rsidR="00F95672" w:rsidRPr="00592416" w:rsidRDefault="00592416" w:rsidP="00305B4B">
      <w:pPr>
        <w:pStyle w:val="BodyText"/>
        <w:ind w:right="3"/>
      </w:pPr>
      <w:r>
        <w:t xml:space="preserve">The evaluation </w:t>
      </w:r>
      <w:r w:rsidR="00073AC3">
        <w:t xml:space="preserve">identifies opportunities to enhance the impact of TWES </w:t>
      </w:r>
      <w:r w:rsidR="00C912AF">
        <w:t xml:space="preserve">within its current </w:t>
      </w:r>
      <w:r w:rsidR="00D446B1">
        <w:t>design approach</w:t>
      </w:r>
      <w:r w:rsidR="00C912AF">
        <w:t xml:space="preserve">. </w:t>
      </w:r>
      <w:r w:rsidR="00292FEA">
        <w:t>However,</w:t>
      </w:r>
      <w:r w:rsidR="00C912AF">
        <w:t xml:space="preserve"> </w:t>
      </w:r>
      <w:r w:rsidR="00D446B1">
        <w:t xml:space="preserve">given </w:t>
      </w:r>
      <w:r w:rsidR="00D7184A">
        <w:t xml:space="preserve">the </w:t>
      </w:r>
      <w:r w:rsidR="00D446B1">
        <w:t xml:space="preserve">challenges in </w:t>
      </w:r>
      <w:r w:rsidR="00D7184A">
        <w:t xml:space="preserve">implementation and </w:t>
      </w:r>
      <w:r w:rsidR="00271B7D">
        <w:t xml:space="preserve">limited impact </w:t>
      </w:r>
      <w:r w:rsidR="00D446B1">
        <w:t xml:space="preserve">there is merit in </w:t>
      </w:r>
      <w:r w:rsidR="00271B7D">
        <w:t>re-</w:t>
      </w:r>
      <w:r w:rsidR="00D446B1">
        <w:t>thinking the TWES model</w:t>
      </w:r>
      <w:r w:rsidR="002117A5">
        <w:t xml:space="preserve"> </w:t>
      </w:r>
      <w:r w:rsidR="00952A90">
        <w:t>and reconsider</w:t>
      </w:r>
      <w:r w:rsidR="00D446B1">
        <w:t>ing</w:t>
      </w:r>
      <w:r w:rsidR="00952A90">
        <w:t xml:space="preserve"> how the Commonwealth and </w:t>
      </w:r>
      <w:r w:rsidR="00B63B84">
        <w:t>state</w:t>
      </w:r>
      <w:r w:rsidR="00952A90">
        <w:t>/</w:t>
      </w:r>
      <w:r w:rsidR="00B63B84">
        <w:t xml:space="preserve">territory </w:t>
      </w:r>
      <w:r w:rsidR="00322914">
        <w:t>g</w:t>
      </w:r>
      <w:r w:rsidR="00952A90">
        <w:t xml:space="preserve">overnments could </w:t>
      </w:r>
      <w:r w:rsidR="009A1829">
        <w:t>respond to</w:t>
      </w:r>
      <w:r w:rsidR="00271B7D">
        <w:t xml:space="preserve"> the</w:t>
      </w:r>
      <w:r w:rsidR="009A1829">
        <w:t xml:space="preserve"> findings of </w:t>
      </w:r>
      <w:r w:rsidR="009A1829">
        <w:rPr>
          <w:i/>
          <w:iCs/>
        </w:rPr>
        <w:t>Prison to Work</w:t>
      </w:r>
      <w:r w:rsidR="009A1829">
        <w:t xml:space="preserve">. </w:t>
      </w:r>
    </w:p>
    <w:p w14:paraId="57E083FF" w14:textId="3FDF1B90" w:rsidR="0036508F" w:rsidRDefault="0036508F" w:rsidP="00305B4B">
      <w:pPr>
        <w:widowControl/>
        <w:autoSpaceDE/>
        <w:autoSpaceDN/>
        <w:adjustRightInd/>
        <w:ind w:right="3"/>
        <w:rPr>
          <w:rFonts w:ascii="Arial" w:hAnsi="Arial" w:cs="Arial"/>
          <w:sz w:val="20"/>
          <w:szCs w:val="20"/>
        </w:rPr>
      </w:pPr>
      <w:r>
        <w:br w:type="page"/>
      </w:r>
    </w:p>
    <w:p w14:paraId="1240B293" w14:textId="3721EB6E" w:rsidR="000A21D1" w:rsidRDefault="000A21D1" w:rsidP="00305B4B">
      <w:pPr>
        <w:pStyle w:val="Heading1"/>
        <w:ind w:right="3"/>
      </w:pPr>
      <w:bookmarkStart w:id="135" w:name="bookmark32"/>
      <w:bookmarkStart w:id="136" w:name="_Toc74911585"/>
      <w:bookmarkStart w:id="137" w:name="_Toc74911626"/>
      <w:bookmarkStart w:id="138" w:name="_Toc75959324"/>
      <w:bookmarkStart w:id="139" w:name="_Toc74911584"/>
      <w:bookmarkStart w:id="140" w:name="_Toc74911621"/>
      <w:bookmarkEnd w:id="135"/>
      <w:r>
        <w:lastRenderedPageBreak/>
        <w:t>Appendix 1:</w:t>
      </w:r>
      <w:bookmarkEnd w:id="136"/>
      <w:bookmarkEnd w:id="137"/>
      <w:r w:rsidR="00D82168">
        <w:br/>
      </w:r>
      <w:r w:rsidR="002B1311" w:rsidRPr="00064835">
        <w:t>Detail</w:t>
      </w:r>
      <w:r w:rsidR="002B1311">
        <w:t xml:space="preserve"> on </w:t>
      </w:r>
      <w:r>
        <w:t xml:space="preserve">Evaluation </w:t>
      </w:r>
      <w:r w:rsidR="002B1311">
        <w:t>Q</w:t>
      </w:r>
      <w:r>
        <w:t>uestions</w:t>
      </w:r>
      <w:bookmarkEnd w:id="138"/>
    </w:p>
    <w:p w14:paraId="570F622E" w14:textId="0AC63C18" w:rsidR="000A21D1" w:rsidRDefault="000A21D1" w:rsidP="00305B4B">
      <w:pPr>
        <w:pStyle w:val="BodyText"/>
        <w:ind w:right="3"/>
      </w:pPr>
      <w:r w:rsidRPr="00064835">
        <w:t>The table below presents the evaluation questions and sub-questions defined in the original TWES Evaluation Strategy.</w:t>
      </w:r>
    </w:p>
    <w:tbl>
      <w:tblPr>
        <w:tblStyle w:val="TableGrid"/>
        <w:tblW w:w="0" w:type="auto"/>
        <w:tblLook w:val="04A0" w:firstRow="1" w:lastRow="0" w:firstColumn="1" w:lastColumn="0" w:noHBand="0" w:noVBand="1"/>
        <w:tblCaption w:val="TWES Evaluation Strategy Questions and Sub-Questions"/>
        <w:tblDescription w:val="A table of evaluation questions and sub-questions where they are divided into three objectives of understanding the design and implementation of TWES, understanding its impact, and how it can be improved. "/>
      </w:tblPr>
      <w:tblGrid>
        <w:gridCol w:w="3969"/>
        <w:gridCol w:w="5957"/>
      </w:tblGrid>
      <w:tr w:rsidR="007D6F85" w14:paraId="3A6E4BCC" w14:textId="77777777" w:rsidTr="00E044BE">
        <w:trPr>
          <w:cnfStyle w:val="100000000000" w:firstRow="1" w:lastRow="0" w:firstColumn="0" w:lastColumn="0" w:oddVBand="0" w:evenVBand="0" w:oddHBand="0" w:evenHBand="0" w:firstRowFirstColumn="0" w:firstRowLastColumn="0" w:lastRowFirstColumn="0" w:lastRowLastColumn="0"/>
          <w:tblHeader/>
        </w:trPr>
        <w:tc>
          <w:tcPr>
            <w:tcW w:w="3969" w:type="dxa"/>
            <w:tcBorders>
              <w:top w:val="single" w:sz="18" w:space="0" w:color="002D62" w:themeColor="accent1"/>
              <w:bottom w:val="single" w:sz="18" w:space="0" w:color="BBE1F5" w:themeColor="accent3" w:themeTint="66"/>
            </w:tcBorders>
            <w:shd w:val="clear" w:color="auto" w:fill="002D62" w:themeFill="background2"/>
            <w:tcMar>
              <w:top w:w="85" w:type="dxa"/>
              <w:left w:w="142" w:type="dxa"/>
              <w:bottom w:w="85" w:type="dxa"/>
              <w:right w:w="142" w:type="dxa"/>
            </w:tcMar>
          </w:tcPr>
          <w:p w14:paraId="15B28F10" w14:textId="1334F91D" w:rsidR="007D6F85" w:rsidRDefault="007D6F85" w:rsidP="007D6F85">
            <w:pPr>
              <w:pStyle w:val="TableHeading"/>
            </w:pPr>
            <w:r>
              <w:t>Evaluation Questions</w:t>
            </w:r>
          </w:p>
        </w:tc>
        <w:tc>
          <w:tcPr>
            <w:tcW w:w="5957" w:type="dxa"/>
            <w:tcBorders>
              <w:top w:val="single" w:sz="18" w:space="0" w:color="002D62" w:themeColor="accent1"/>
              <w:bottom w:val="single" w:sz="18" w:space="0" w:color="BBE1F5" w:themeColor="accent3" w:themeTint="66"/>
            </w:tcBorders>
            <w:shd w:val="clear" w:color="auto" w:fill="002D62" w:themeFill="background2"/>
            <w:tcMar>
              <w:top w:w="85" w:type="dxa"/>
              <w:left w:w="142" w:type="dxa"/>
              <w:bottom w:w="85" w:type="dxa"/>
              <w:right w:w="142" w:type="dxa"/>
            </w:tcMar>
          </w:tcPr>
          <w:p w14:paraId="7E270817" w14:textId="6412148F" w:rsidR="007D6F85" w:rsidRDefault="007D6F85" w:rsidP="007D6F85">
            <w:pPr>
              <w:pStyle w:val="TableHeading"/>
            </w:pPr>
            <w:r>
              <w:t>Sub-questions</w:t>
            </w:r>
          </w:p>
        </w:tc>
      </w:tr>
      <w:tr w:rsidR="007D6F85" w14:paraId="5BC4D43A" w14:textId="77777777" w:rsidTr="00904E9F">
        <w:tc>
          <w:tcPr>
            <w:tcW w:w="9926" w:type="dxa"/>
            <w:gridSpan w:val="2"/>
            <w:tcBorders>
              <w:top w:val="single" w:sz="18" w:space="0" w:color="BBE1F5" w:themeColor="accent3" w:themeTint="66"/>
              <w:bottom w:val="single" w:sz="18" w:space="0" w:color="F1EDE4" w:themeColor="accent4" w:themeTint="33"/>
            </w:tcBorders>
            <w:shd w:val="clear" w:color="auto" w:fill="BBE1F5" w:themeFill="accent3" w:themeFillTint="66"/>
            <w:tcMar>
              <w:top w:w="85" w:type="dxa"/>
              <w:left w:w="142" w:type="dxa"/>
              <w:bottom w:w="85" w:type="dxa"/>
              <w:right w:w="142" w:type="dxa"/>
            </w:tcMar>
          </w:tcPr>
          <w:p w14:paraId="2EDC7D6F" w14:textId="798AA1B4" w:rsidR="007D6F85" w:rsidRPr="007D6F85" w:rsidRDefault="007D6F85" w:rsidP="007D6F85">
            <w:pPr>
              <w:pStyle w:val="TableParagraph"/>
              <w:rPr>
                <w:b/>
                <w:bCs/>
              </w:rPr>
            </w:pPr>
            <w:r w:rsidRPr="007D6F85">
              <w:rPr>
                <w:b/>
                <w:bCs/>
              </w:rPr>
              <w:t>Objective 1: Understand the design and implementation of TWES</w:t>
            </w:r>
          </w:p>
        </w:tc>
      </w:tr>
      <w:tr w:rsidR="007D6F85" w14:paraId="644DB798" w14:textId="77777777" w:rsidTr="00904E9F">
        <w:tc>
          <w:tcPr>
            <w:tcW w:w="3969" w:type="dxa"/>
            <w:tcBorders>
              <w:top w:val="single" w:sz="18" w:space="0" w:color="F1EDE4" w:themeColor="accent4" w:themeTint="33"/>
            </w:tcBorders>
            <w:shd w:val="clear" w:color="auto" w:fill="F1EDE4" w:themeFill="accent4" w:themeFillTint="33"/>
            <w:tcMar>
              <w:top w:w="85" w:type="dxa"/>
              <w:left w:w="142" w:type="dxa"/>
              <w:bottom w:w="85" w:type="dxa"/>
              <w:right w:w="142" w:type="dxa"/>
            </w:tcMar>
          </w:tcPr>
          <w:p w14:paraId="290EAB29" w14:textId="30A63693" w:rsidR="007D6F85" w:rsidRDefault="007D6F85" w:rsidP="00904E9F">
            <w:pPr>
              <w:pStyle w:val="BodyText"/>
              <w:ind w:left="482" w:right="3" w:hanging="482"/>
            </w:pPr>
            <w:r>
              <w:t xml:space="preserve">1.1 </w:t>
            </w:r>
            <w:r>
              <w:tab/>
            </w:r>
            <w:r w:rsidRPr="00793621">
              <w:t xml:space="preserve">How does the design of TWES address relevant findings in the </w:t>
            </w:r>
            <w:r w:rsidRPr="00A417D9">
              <w:rPr>
                <w:i/>
              </w:rPr>
              <w:t>Prison to Work</w:t>
            </w:r>
            <w:r w:rsidRPr="00793621">
              <w:t xml:space="preserve"> report?</w:t>
            </w:r>
          </w:p>
        </w:tc>
        <w:tc>
          <w:tcPr>
            <w:tcW w:w="5957" w:type="dxa"/>
            <w:tcBorders>
              <w:top w:val="single" w:sz="18" w:space="0" w:color="F1EDE4" w:themeColor="accent4" w:themeTint="33"/>
            </w:tcBorders>
            <w:shd w:val="clear" w:color="auto" w:fill="F1EDE4" w:themeFill="accent4" w:themeFillTint="33"/>
            <w:tcMar>
              <w:top w:w="85" w:type="dxa"/>
              <w:left w:w="142" w:type="dxa"/>
              <w:bottom w:w="85" w:type="dxa"/>
              <w:right w:w="142" w:type="dxa"/>
            </w:tcMar>
          </w:tcPr>
          <w:p w14:paraId="32C90190" w14:textId="0F7FC87E" w:rsidR="007D6F85" w:rsidRDefault="007D6F85" w:rsidP="007D6F85">
            <w:pPr>
              <w:pStyle w:val="TableAlphaList"/>
            </w:pPr>
            <w:r w:rsidRPr="00793621">
              <w:t xml:space="preserve">How does the design of TWES respond to the findings of the </w:t>
            </w:r>
            <w:r w:rsidRPr="00A417D9">
              <w:rPr>
                <w:i/>
              </w:rPr>
              <w:t>Prison to Work</w:t>
            </w:r>
            <w:r w:rsidRPr="00793621">
              <w:t xml:space="preserve"> report, in particular Finding 5?</w:t>
            </w:r>
          </w:p>
        </w:tc>
      </w:tr>
      <w:tr w:rsidR="007D6F85" w14:paraId="7ABFE670" w14:textId="77777777" w:rsidTr="00904E9F">
        <w:tc>
          <w:tcPr>
            <w:tcW w:w="3969" w:type="dxa"/>
            <w:tcBorders>
              <w:bottom w:val="single" w:sz="18" w:space="0" w:color="F1EDE4" w:themeColor="accent4" w:themeTint="33"/>
            </w:tcBorders>
            <w:tcMar>
              <w:top w:w="85" w:type="dxa"/>
              <w:left w:w="142" w:type="dxa"/>
              <w:bottom w:w="85" w:type="dxa"/>
              <w:right w:w="142" w:type="dxa"/>
            </w:tcMar>
          </w:tcPr>
          <w:p w14:paraId="14892A99" w14:textId="6E69517F" w:rsidR="007D6F85" w:rsidRDefault="007D6F85" w:rsidP="00904E9F">
            <w:pPr>
              <w:pStyle w:val="BodyText"/>
              <w:ind w:left="482" w:right="3" w:hanging="482"/>
            </w:pPr>
            <w:r>
              <w:t xml:space="preserve">1.2 </w:t>
            </w:r>
            <w:r>
              <w:tab/>
            </w:r>
            <w:r w:rsidRPr="00793621">
              <w:t>Does TWES address the IAS core values?</w:t>
            </w:r>
          </w:p>
        </w:tc>
        <w:tc>
          <w:tcPr>
            <w:tcW w:w="5957" w:type="dxa"/>
            <w:tcBorders>
              <w:bottom w:val="single" w:sz="18" w:space="0" w:color="F1EDE4" w:themeColor="accent4" w:themeTint="33"/>
            </w:tcBorders>
            <w:tcMar>
              <w:top w:w="85" w:type="dxa"/>
              <w:left w:w="142" w:type="dxa"/>
              <w:bottom w:w="85" w:type="dxa"/>
              <w:right w:w="142" w:type="dxa"/>
            </w:tcMar>
          </w:tcPr>
          <w:p w14:paraId="6D33E408" w14:textId="6115FA55" w:rsidR="007D6F85" w:rsidRDefault="007D6F85" w:rsidP="000C3506">
            <w:pPr>
              <w:pStyle w:val="TableAlphaList"/>
              <w:numPr>
                <w:ilvl w:val="0"/>
                <w:numId w:val="50"/>
              </w:numPr>
            </w:pPr>
            <w:r w:rsidRPr="00793621">
              <w:t xml:space="preserve">How does the design of TWES respond to the findings of the </w:t>
            </w:r>
            <w:r w:rsidRPr="007D6F85">
              <w:rPr>
                <w:i/>
              </w:rPr>
              <w:t>Prison to Work</w:t>
            </w:r>
            <w:r w:rsidRPr="00793621">
              <w:t xml:space="preserve"> report, in particular Finding 5?</w:t>
            </w:r>
          </w:p>
        </w:tc>
      </w:tr>
      <w:tr w:rsidR="00904E9F" w14:paraId="3DDFF081" w14:textId="77777777" w:rsidTr="00904E9F">
        <w:tc>
          <w:tcPr>
            <w:tcW w:w="3969" w:type="dxa"/>
            <w:tcBorders>
              <w:top w:val="single" w:sz="18" w:space="0" w:color="F1EDE4" w:themeColor="accent4" w:themeTint="33"/>
            </w:tcBorders>
            <w:shd w:val="clear" w:color="auto" w:fill="F1EDE4" w:themeFill="accent4" w:themeFillTint="33"/>
            <w:tcMar>
              <w:top w:w="85" w:type="dxa"/>
              <w:left w:w="142" w:type="dxa"/>
              <w:bottom w:w="85" w:type="dxa"/>
              <w:right w:w="142" w:type="dxa"/>
            </w:tcMar>
          </w:tcPr>
          <w:p w14:paraId="2EF8474E" w14:textId="56043CE1" w:rsidR="00904E9F" w:rsidRDefault="00904E9F" w:rsidP="00904E9F">
            <w:pPr>
              <w:pStyle w:val="BodyText"/>
              <w:ind w:left="482" w:right="3" w:hanging="482"/>
            </w:pPr>
            <w:r>
              <w:t xml:space="preserve">1.3 </w:t>
            </w:r>
            <w:r>
              <w:tab/>
            </w:r>
            <w:r w:rsidRPr="00793621">
              <w:t>To what extent has implementation of TWES been successful in achieving its intended program outcomes - "timely, coordinated and quality engagement with Aboriginal and Torres Strait Islander Prisoners from Employment and Welfare Services"?</w:t>
            </w:r>
          </w:p>
        </w:tc>
        <w:tc>
          <w:tcPr>
            <w:tcW w:w="5957" w:type="dxa"/>
            <w:tcBorders>
              <w:top w:val="single" w:sz="18" w:space="0" w:color="F1EDE4" w:themeColor="accent4" w:themeTint="33"/>
            </w:tcBorders>
            <w:shd w:val="clear" w:color="auto" w:fill="F1EDE4" w:themeFill="accent4" w:themeFillTint="33"/>
            <w:tcMar>
              <w:top w:w="85" w:type="dxa"/>
              <w:left w:w="142" w:type="dxa"/>
              <w:bottom w:w="85" w:type="dxa"/>
              <w:right w:w="142" w:type="dxa"/>
            </w:tcMar>
          </w:tcPr>
          <w:p w14:paraId="537EDD31" w14:textId="77777777" w:rsidR="00904E9F" w:rsidRPr="00793621" w:rsidRDefault="00904E9F" w:rsidP="000C3506">
            <w:pPr>
              <w:pStyle w:val="TableAlphaList"/>
              <w:numPr>
                <w:ilvl w:val="0"/>
                <w:numId w:val="51"/>
              </w:numPr>
            </w:pPr>
            <w:r w:rsidRPr="00793621">
              <w:t xml:space="preserve">When did TWES roll out across </w:t>
            </w:r>
            <w:r>
              <w:t>s</w:t>
            </w:r>
            <w:r w:rsidRPr="00793621">
              <w:t xml:space="preserve">tates and </w:t>
            </w:r>
            <w:r>
              <w:t>t</w:t>
            </w:r>
            <w:r w:rsidRPr="00793621">
              <w:t>erritories, and across remote and non-remote locations?</w:t>
            </w:r>
          </w:p>
          <w:p w14:paraId="44F8826F" w14:textId="77777777" w:rsidR="00904E9F" w:rsidRPr="00793621" w:rsidRDefault="00904E9F" w:rsidP="00904E9F">
            <w:pPr>
              <w:pStyle w:val="TableAlphaList"/>
            </w:pPr>
            <w:r w:rsidRPr="00793621">
              <w:t>What is the number and profile of participants who commenced and completed the TWES activities?</w:t>
            </w:r>
          </w:p>
          <w:p w14:paraId="0CB0A9CE" w14:textId="77777777" w:rsidR="00904E9F" w:rsidRPr="00793621" w:rsidRDefault="00904E9F" w:rsidP="00904E9F">
            <w:pPr>
              <w:pStyle w:val="TableAlphaList"/>
            </w:pPr>
            <w:r w:rsidRPr="00793621">
              <w:t xml:space="preserve">How was TWES promoted and what methods were used? </w:t>
            </w:r>
          </w:p>
          <w:p w14:paraId="706EF044" w14:textId="77777777" w:rsidR="00904E9F" w:rsidRPr="00793621" w:rsidRDefault="00904E9F" w:rsidP="00904E9F">
            <w:pPr>
              <w:pStyle w:val="TableAlphaList"/>
            </w:pPr>
            <w:r w:rsidRPr="00793621">
              <w:t>Why did participants exit TWES prior to completion?</w:t>
            </w:r>
          </w:p>
          <w:p w14:paraId="6B0455E3" w14:textId="77777777" w:rsidR="00904E9F" w:rsidRPr="00793621" w:rsidRDefault="00904E9F" w:rsidP="00904E9F">
            <w:pPr>
              <w:pStyle w:val="TableAlphaList"/>
            </w:pPr>
            <w:r w:rsidRPr="00793621">
              <w:t>Why were elements of TWES such as the ESAt or a facilitated transfer not carried out?</w:t>
            </w:r>
          </w:p>
          <w:p w14:paraId="205FE8F7" w14:textId="77777777" w:rsidR="00904E9F" w:rsidRPr="00793621" w:rsidRDefault="00904E9F" w:rsidP="00904E9F">
            <w:pPr>
              <w:pStyle w:val="TableAlphaList"/>
            </w:pPr>
            <w:r w:rsidRPr="00793621">
              <w:t xml:space="preserve">Were TWES </w:t>
            </w:r>
            <w:r>
              <w:t>p</w:t>
            </w:r>
            <w:r w:rsidRPr="00793621">
              <w:t>roviders able to access prisons and participants, when required, and promote the TWES program, as required? If not, then why?</w:t>
            </w:r>
          </w:p>
          <w:p w14:paraId="1A791D2E" w14:textId="77777777" w:rsidR="00904E9F" w:rsidRPr="00793621" w:rsidRDefault="00904E9F" w:rsidP="00904E9F">
            <w:pPr>
              <w:pStyle w:val="TableAlphaList"/>
            </w:pPr>
            <w:r w:rsidRPr="00793621">
              <w:t xml:space="preserve">How did TWES relate to existing services or programs and what were the implications of this? </w:t>
            </w:r>
          </w:p>
          <w:p w14:paraId="33613232" w14:textId="77777777" w:rsidR="00904E9F" w:rsidRPr="00793621" w:rsidRDefault="00904E9F" w:rsidP="00904E9F">
            <w:pPr>
              <w:pStyle w:val="TableAlphaList"/>
            </w:pPr>
            <w:r w:rsidRPr="00793621">
              <w:t xml:space="preserve">Did the TWES program provide an opportunity to improve timeliness and quality of engagement with Aboriginal and Torres Strait Islander prisoners from Employment and Welfare Services? </w:t>
            </w:r>
          </w:p>
          <w:p w14:paraId="05D4557B" w14:textId="32CF82C1" w:rsidR="00904E9F" w:rsidRDefault="00904E9F" w:rsidP="00904E9F">
            <w:pPr>
              <w:pStyle w:val="TableAlphaList"/>
            </w:pPr>
            <w:r w:rsidRPr="00793621">
              <w:t xml:space="preserve">Did the TWES program result in a better coordinated engagement with Aboriginal and Torres Strait Islander prisoners from Employment and Welfare Services? </w:t>
            </w:r>
          </w:p>
        </w:tc>
      </w:tr>
      <w:tr w:rsidR="007D6F85" w14:paraId="5F9650E9" w14:textId="77777777" w:rsidTr="00904E9F">
        <w:tc>
          <w:tcPr>
            <w:tcW w:w="3969" w:type="dxa"/>
            <w:tcBorders>
              <w:bottom w:val="single" w:sz="18" w:space="0" w:color="BBE1F5" w:themeColor="accent3" w:themeTint="66"/>
            </w:tcBorders>
            <w:tcMar>
              <w:top w:w="85" w:type="dxa"/>
              <w:left w:w="142" w:type="dxa"/>
              <w:bottom w:w="85" w:type="dxa"/>
              <w:right w:w="142" w:type="dxa"/>
            </w:tcMar>
          </w:tcPr>
          <w:p w14:paraId="531A4DC5" w14:textId="4BC3619A" w:rsidR="007D6F85" w:rsidRDefault="00904E9F" w:rsidP="00904E9F">
            <w:pPr>
              <w:pStyle w:val="BodyText"/>
              <w:ind w:left="482" w:right="3" w:hanging="482"/>
            </w:pPr>
            <w:r>
              <w:t xml:space="preserve">1.4 </w:t>
            </w:r>
            <w:r>
              <w:tab/>
            </w:r>
            <w:r w:rsidRPr="00793621">
              <w:t>What has been learned through implementation?</w:t>
            </w:r>
          </w:p>
        </w:tc>
        <w:tc>
          <w:tcPr>
            <w:tcW w:w="5957" w:type="dxa"/>
            <w:tcBorders>
              <w:bottom w:val="single" w:sz="18" w:space="0" w:color="BBE1F5" w:themeColor="accent3" w:themeTint="66"/>
            </w:tcBorders>
            <w:tcMar>
              <w:top w:w="85" w:type="dxa"/>
              <w:left w:w="142" w:type="dxa"/>
              <w:bottom w:w="85" w:type="dxa"/>
              <w:right w:w="142" w:type="dxa"/>
            </w:tcMar>
          </w:tcPr>
          <w:p w14:paraId="53D65126" w14:textId="77777777" w:rsidR="00904E9F" w:rsidRPr="00793621" w:rsidRDefault="00904E9F" w:rsidP="000C3506">
            <w:pPr>
              <w:pStyle w:val="TableAlphaList"/>
              <w:numPr>
                <w:ilvl w:val="0"/>
                <w:numId w:val="52"/>
              </w:numPr>
            </w:pPr>
            <w:r w:rsidRPr="00793621">
              <w:t>What are the barriers and enablers to success stakeholders have experienced in implementing and delivering TWES?</w:t>
            </w:r>
          </w:p>
          <w:p w14:paraId="5FF40647" w14:textId="77777777" w:rsidR="00904E9F" w:rsidRPr="00793621" w:rsidRDefault="00904E9F" w:rsidP="00904E9F">
            <w:pPr>
              <w:pStyle w:val="TableAlphaList"/>
            </w:pPr>
            <w:r w:rsidRPr="00793621">
              <w:t>How much funding has been spent and what has it been spent on?</w:t>
            </w:r>
          </w:p>
          <w:p w14:paraId="33264E4B" w14:textId="2FA1CC14" w:rsidR="007D6F85" w:rsidRDefault="00904E9F" w:rsidP="00904E9F">
            <w:pPr>
              <w:pStyle w:val="TableAlphaList"/>
            </w:pPr>
            <w:r w:rsidRPr="00793621">
              <w:t>What are the other costs (in addition to the funding from NIAA and DESE) of implementing and delivering TWES?</w:t>
            </w:r>
          </w:p>
        </w:tc>
      </w:tr>
      <w:tr w:rsidR="00904E9F" w14:paraId="5262C0CA" w14:textId="77777777" w:rsidTr="00904E9F">
        <w:tc>
          <w:tcPr>
            <w:tcW w:w="9926" w:type="dxa"/>
            <w:gridSpan w:val="2"/>
            <w:tcBorders>
              <w:top w:val="single" w:sz="18" w:space="0" w:color="BBE1F5" w:themeColor="accent3" w:themeTint="66"/>
              <w:bottom w:val="single" w:sz="18" w:space="0" w:color="F1EDE4" w:themeColor="accent4" w:themeTint="33"/>
            </w:tcBorders>
            <w:shd w:val="clear" w:color="auto" w:fill="BBE1F5" w:themeFill="accent3" w:themeFillTint="66"/>
            <w:tcMar>
              <w:top w:w="85" w:type="dxa"/>
              <w:left w:w="142" w:type="dxa"/>
              <w:bottom w:w="85" w:type="dxa"/>
              <w:right w:w="142" w:type="dxa"/>
            </w:tcMar>
          </w:tcPr>
          <w:p w14:paraId="4B77EA42" w14:textId="36772345" w:rsidR="00904E9F" w:rsidRPr="00904E9F" w:rsidRDefault="00904E9F" w:rsidP="00904E9F">
            <w:pPr>
              <w:pStyle w:val="TableParagraph"/>
              <w:rPr>
                <w:b/>
                <w:bCs/>
              </w:rPr>
            </w:pPr>
            <w:r w:rsidRPr="00904E9F">
              <w:rPr>
                <w:b/>
                <w:bCs/>
              </w:rPr>
              <w:t>Objective 2: Understand the impact of TWES</w:t>
            </w:r>
          </w:p>
        </w:tc>
      </w:tr>
      <w:tr w:rsidR="00904E9F" w14:paraId="780122F5" w14:textId="77777777" w:rsidTr="00904E9F">
        <w:tc>
          <w:tcPr>
            <w:tcW w:w="3969" w:type="dxa"/>
            <w:tcBorders>
              <w:top w:val="single" w:sz="18" w:space="0" w:color="F1EDE4" w:themeColor="accent4" w:themeTint="33"/>
            </w:tcBorders>
            <w:shd w:val="clear" w:color="auto" w:fill="F1EDE4" w:themeFill="accent4" w:themeFillTint="33"/>
            <w:tcMar>
              <w:top w:w="85" w:type="dxa"/>
              <w:left w:w="142" w:type="dxa"/>
              <w:bottom w:w="85" w:type="dxa"/>
              <w:right w:w="142" w:type="dxa"/>
            </w:tcMar>
          </w:tcPr>
          <w:p w14:paraId="21E3502E" w14:textId="77FA3371" w:rsidR="00904E9F" w:rsidRDefault="00904E9F" w:rsidP="00904E9F">
            <w:pPr>
              <w:pStyle w:val="BodyText"/>
              <w:ind w:left="482" w:right="3" w:hanging="482"/>
            </w:pPr>
            <w:r>
              <w:lastRenderedPageBreak/>
              <w:t xml:space="preserve">2.1 </w:t>
            </w:r>
            <w:r>
              <w:tab/>
            </w:r>
            <w:r w:rsidRPr="00793621">
              <w:t>To what extent are the activities achieving their intended outcomes in the program logic, in the short, medium and long</w:t>
            </w:r>
            <w:r>
              <w:t>-</w:t>
            </w:r>
            <w:r w:rsidRPr="00793621">
              <w:t>term?</w:t>
            </w:r>
          </w:p>
        </w:tc>
        <w:tc>
          <w:tcPr>
            <w:tcW w:w="5957" w:type="dxa"/>
            <w:tcBorders>
              <w:top w:val="single" w:sz="18" w:space="0" w:color="F1EDE4" w:themeColor="accent4" w:themeTint="33"/>
            </w:tcBorders>
            <w:shd w:val="clear" w:color="auto" w:fill="F1EDE4" w:themeFill="accent4" w:themeFillTint="33"/>
            <w:tcMar>
              <w:top w:w="85" w:type="dxa"/>
              <w:left w:w="142" w:type="dxa"/>
              <w:bottom w:w="85" w:type="dxa"/>
              <w:right w:w="142" w:type="dxa"/>
            </w:tcMar>
          </w:tcPr>
          <w:p w14:paraId="281F7179" w14:textId="77777777" w:rsidR="00904E9F" w:rsidRPr="00793621" w:rsidRDefault="00904E9F" w:rsidP="00904E9F">
            <w:pPr>
              <w:pStyle w:val="TableAlphaList"/>
            </w:pPr>
            <w:r w:rsidRPr="00793621">
              <w:t>To what extent do participants feel that the TWES services are culturally and gender appropriate?</w:t>
            </w:r>
          </w:p>
          <w:p w14:paraId="5950F3D1" w14:textId="77777777" w:rsidR="00904E9F" w:rsidRPr="00793621" w:rsidRDefault="00904E9F" w:rsidP="00904E9F">
            <w:pPr>
              <w:pStyle w:val="TableAlphaList"/>
            </w:pPr>
            <w:r w:rsidRPr="00793621">
              <w:t>To what extent do participants have an improved understanding of how to engage with post</w:t>
            </w:r>
            <w:r>
              <w:t>-</w:t>
            </w:r>
            <w:r w:rsidRPr="00793621">
              <w:t>release employment services providers?</w:t>
            </w:r>
          </w:p>
          <w:p w14:paraId="11A66FFF" w14:textId="77777777" w:rsidR="00904E9F" w:rsidRPr="00793621" w:rsidRDefault="00904E9F" w:rsidP="00904E9F">
            <w:pPr>
              <w:pStyle w:val="TableAlphaList"/>
            </w:pPr>
            <w:r w:rsidRPr="00793621">
              <w:t>To what extent do participants have a strong connection with their post</w:t>
            </w:r>
            <w:r>
              <w:t>-</w:t>
            </w:r>
            <w:r w:rsidRPr="00793621">
              <w:t>release employment services provider?</w:t>
            </w:r>
          </w:p>
          <w:p w14:paraId="39233FA9" w14:textId="77777777" w:rsidR="00904E9F" w:rsidRPr="00793621" w:rsidRDefault="00904E9F" w:rsidP="00904E9F">
            <w:pPr>
              <w:pStyle w:val="TableAlphaList"/>
            </w:pPr>
            <w:r w:rsidRPr="00793621">
              <w:t>To what extent do post</w:t>
            </w:r>
            <w:r>
              <w:t>-</w:t>
            </w:r>
            <w:r w:rsidRPr="00793621">
              <w:t xml:space="preserve">release employment service providers have an improved understanding of the participant's background and needs? </w:t>
            </w:r>
          </w:p>
          <w:p w14:paraId="184E0ED0" w14:textId="77777777" w:rsidR="00904E9F" w:rsidRPr="00793621" w:rsidRDefault="00904E9F" w:rsidP="00904E9F">
            <w:pPr>
              <w:pStyle w:val="TableAlphaList"/>
            </w:pPr>
            <w:r w:rsidRPr="00793621">
              <w:t>To what extent do participants feel that they do not have to retell their story?</w:t>
            </w:r>
          </w:p>
          <w:p w14:paraId="2887ACE9" w14:textId="059B01EE" w:rsidR="00904E9F" w:rsidRDefault="00904E9F" w:rsidP="00904E9F">
            <w:pPr>
              <w:pStyle w:val="TableAlphaList"/>
            </w:pPr>
            <w:r w:rsidRPr="00793621">
              <w:t>What evidence is there that TWES contributes to longer-term outcomes for participants, including improved employment outcomes and reduced rates of recidivism?</w:t>
            </w:r>
          </w:p>
        </w:tc>
      </w:tr>
      <w:tr w:rsidR="00904E9F" w14:paraId="44C4BEAA" w14:textId="77777777" w:rsidTr="00904E9F">
        <w:tc>
          <w:tcPr>
            <w:tcW w:w="3969" w:type="dxa"/>
            <w:tcBorders>
              <w:bottom w:val="single" w:sz="18" w:space="0" w:color="BBE1F5" w:themeColor="accent3" w:themeTint="66"/>
            </w:tcBorders>
            <w:shd w:val="clear" w:color="auto" w:fill="FFFFFF" w:themeFill="background1"/>
            <w:tcMar>
              <w:top w:w="85" w:type="dxa"/>
              <w:left w:w="142" w:type="dxa"/>
              <w:bottom w:w="85" w:type="dxa"/>
              <w:right w:w="142" w:type="dxa"/>
            </w:tcMar>
          </w:tcPr>
          <w:p w14:paraId="0B54EE23" w14:textId="62557D48" w:rsidR="00904E9F" w:rsidRDefault="00904E9F" w:rsidP="00904E9F">
            <w:pPr>
              <w:pStyle w:val="BodyText"/>
              <w:ind w:left="482" w:right="3" w:hanging="482"/>
            </w:pPr>
            <w:r>
              <w:rPr>
                <w:rFonts w:asciiTheme="majorHAnsi" w:eastAsia="Times New Roman" w:hAnsiTheme="majorHAnsi" w:cstheme="majorHAnsi"/>
                <w:color w:val="000000"/>
                <w:szCs w:val="20"/>
              </w:rPr>
              <w:t xml:space="preserve">2.2 </w:t>
            </w:r>
            <w:r>
              <w:rPr>
                <w:rFonts w:asciiTheme="majorHAnsi" w:eastAsia="Times New Roman" w:hAnsiTheme="majorHAnsi" w:cstheme="majorHAnsi"/>
                <w:color w:val="000000"/>
                <w:szCs w:val="20"/>
              </w:rPr>
              <w:tab/>
            </w:r>
            <w:r w:rsidRPr="00793621">
              <w:rPr>
                <w:rFonts w:asciiTheme="majorHAnsi" w:eastAsia="Times New Roman" w:hAnsiTheme="majorHAnsi" w:cstheme="majorHAnsi"/>
                <w:color w:val="000000"/>
                <w:szCs w:val="20"/>
              </w:rPr>
              <w:t>Why have the outcomes been achieved? Or why not?</w:t>
            </w:r>
          </w:p>
        </w:tc>
        <w:tc>
          <w:tcPr>
            <w:tcW w:w="5957" w:type="dxa"/>
            <w:tcBorders>
              <w:bottom w:val="single" w:sz="18" w:space="0" w:color="BBE1F5" w:themeColor="accent3" w:themeTint="66"/>
            </w:tcBorders>
            <w:shd w:val="clear" w:color="auto" w:fill="FFFFFF" w:themeFill="background1"/>
            <w:tcMar>
              <w:top w:w="85" w:type="dxa"/>
              <w:left w:w="142" w:type="dxa"/>
              <w:bottom w:w="85" w:type="dxa"/>
              <w:right w:w="142" w:type="dxa"/>
            </w:tcMar>
          </w:tcPr>
          <w:p w14:paraId="6F746F59" w14:textId="77777777" w:rsidR="00904E9F" w:rsidRPr="00904E9F" w:rsidRDefault="00904E9F" w:rsidP="000C3506">
            <w:pPr>
              <w:pStyle w:val="TableAlphaList"/>
              <w:numPr>
                <w:ilvl w:val="0"/>
                <w:numId w:val="53"/>
              </w:numPr>
            </w:pPr>
            <w:r w:rsidRPr="00793621">
              <w:t xml:space="preserve">Do </w:t>
            </w:r>
            <w:r w:rsidRPr="00904E9F">
              <w:t>the underlying causal assumptions in the program logic hold?</w:t>
            </w:r>
          </w:p>
          <w:p w14:paraId="5440608C" w14:textId="60E08D36" w:rsidR="00904E9F" w:rsidRDefault="00904E9F" w:rsidP="00904E9F">
            <w:pPr>
              <w:pStyle w:val="TableAlphaList"/>
            </w:pPr>
            <w:r w:rsidRPr="00904E9F">
              <w:t>Have any unintended</w:t>
            </w:r>
            <w:r w:rsidRPr="00793621">
              <w:t xml:space="preserve"> outcomes occurred (positive or negative)?</w:t>
            </w:r>
          </w:p>
        </w:tc>
      </w:tr>
      <w:tr w:rsidR="00904E9F" w14:paraId="5DF57546" w14:textId="77777777" w:rsidTr="00904E9F">
        <w:trPr>
          <w:trHeight w:val="212"/>
        </w:trPr>
        <w:tc>
          <w:tcPr>
            <w:tcW w:w="9926" w:type="dxa"/>
            <w:gridSpan w:val="2"/>
            <w:tcBorders>
              <w:top w:val="single" w:sz="18" w:space="0" w:color="BBE1F5" w:themeColor="accent3" w:themeTint="66"/>
              <w:bottom w:val="single" w:sz="18" w:space="0" w:color="F1EDE4" w:themeColor="accent4" w:themeTint="33"/>
            </w:tcBorders>
            <w:shd w:val="clear" w:color="auto" w:fill="BBE1F5" w:themeFill="accent3" w:themeFillTint="66"/>
            <w:tcMar>
              <w:top w:w="85" w:type="dxa"/>
              <w:left w:w="142" w:type="dxa"/>
              <w:bottom w:w="85" w:type="dxa"/>
              <w:right w:w="142" w:type="dxa"/>
            </w:tcMar>
          </w:tcPr>
          <w:p w14:paraId="130FBDEA" w14:textId="0E5F7B80" w:rsidR="00904E9F" w:rsidRPr="00904E9F" w:rsidRDefault="00904E9F" w:rsidP="00904E9F">
            <w:pPr>
              <w:pStyle w:val="TableParagraph"/>
              <w:rPr>
                <w:b/>
                <w:bCs/>
              </w:rPr>
            </w:pPr>
            <w:r w:rsidRPr="00904E9F">
              <w:rPr>
                <w:b/>
                <w:bCs/>
              </w:rPr>
              <w:t>Objective 3: Understand how to improve TWES</w:t>
            </w:r>
          </w:p>
        </w:tc>
      </w:tr>
      <w:tr w:rsidR="00904E9F" w14:paraId="6EDC5C6C" w14:textId="77777777" w:rsidTr="00904E9F">
        <w:tc>
          <w:tcPr>
            <w:tcW w:w="3969" w:type="dxa"/>
            <w:tcBorders>
              <w:top w:val="single" w:sz="18" w:space="0" w:color="F1EDE4" w:themeColor="accent4" w:themeTint="33"/>
            </w:tcBorders>
            <w:shd w:val="clear" w:color="auto" w:fill="F1EDE4" w:themeFill="accent4" w:themeFillTint="33"/>
            <w:tcMar>
              <w:top w:w="85" w:type="dxa"/>
              <w:left w:w="142" w:type="dxa"/>
              <w:bottom w:w="85" w:type="dxa"/>
              <w:right w:w="142" w:type="dxa"/>
            </w:tcMar>
          </w:tcPr>
          <w:p w14:paraId="4DE7FD6A" w14:textId="1B870E0E" w:rsidR="00904E9F" w:rsidRDefault="00904E9F" w:rsidP="00904E9F">
            <w:pPr>
              <w:pStyle w:val="BodyText"/>
              <w:ind w:left="482" w:right="3" w:hanging="482"/>
            </w:pPr>
            <w:r>
              <w:rPr>
                <w:rFonts w:asciiTheme="majorHAnsi" w:eastAsia="Times New Roman" w:hAnsiTheme="majorHAnsi" w:cstheme="majorHAnsi"/>
                <w:color w:val="000000"/>
                <w:szCs w:val="20"/>
              </w:rPr>
              <w:t xml:space="preserve">3.1 </w:t>
            </w:r>
            <w:r>
              <w:rPr>
                <w:rFonts w:asciiTheme="majorHAnsi" w:eastAsia="Times New Roman" w:hAnsiTheme="majorHAnsi" w:cstheme="majorHAnsi"/>
                <w:color w:val="000000"/>
                <w:szCs w:val="20"/>
              </w:rPr>
              <w:tab/>
            </w:r>
            <w:r w:rsidRPr="00793621">
              <w:rPr>
                <w:rFonts w:asciiTheme="majorHAnsi" w:eastAsia="Times New Roman" w:hAnsiTheme="majorHAnsi" w:cstheme="majorHAnsi"/>
                <w:color w:val="000000"/>
                <w:szCs w:val="20"/>
              </w:rPr>
              <w:t>What are the preconditions for TWES to be successful?</w:t>
            </w:r>
          </w:p>
        </w:tc>
        <w:tc>
          <w:tcPr>
            <w:tcW w:w="5957" w:type="dxa"/>
            <w:tcBorders>
              <w:top w:val="single" w:sz="18" w:space="0" w:color="F1EDE4" w:themeColor="accent4" w:themeTint="33"/>
            </w:tcBorders>
            <w:shd w:val="clear" w:color="auto" w:fill="F1EDE4" w:themeFill="accent4" w:themeFillTint="33"/>
            <w:tcMar>
              <w:top w:w="85" w:type="dxa"/>
              <w:left w:w="142" w:type="dxa"/>
              <w:bottom w:w="85" w:type="dxa"/>
              <w:right w:w="142" w:type="dxa"/>
            </w:tcMar>
          </w:tcPr>
          <w:p w14:paraId="57F1B5E8" w14:textId="04F15CCE" w:rsidR="00904E9F" w:rsidRDefault="00904E9F" w:rsidP="000C3506">
            <w:pPr>
              <w:pStyle w:val="TableAlphaList"/>
              <w:numPr>
                <w:ilvl w:val="0"/>
                <w:numId w:val="54"/>
              </w:numPr>
            </w:pPr>
            <w:r w:rsidRPr="00904E9F">
              <w:t>What</w:t>
            </w:r>
            <w:r w:rsidRPr="00793621">
              <w:t xml:space="preserve"> are the factors that drive an increased likelihood of achieving the intended outcomes?</w:t>
            </w:r>
          </w:p>
        </w:tc>
      </w:tr>
      <w:tr w:rsidR="00904E9F" w14:paraId="3384007B" w14:textId="77777777" w:rsidTr="00904E9F">
        <w:tc>
          <w:tcPr>
            <w:tcW w:w="3969" w:type="dxa"/>
            <w:shd w:val="clear" w:color="auto" w:fill="FFFFFF" w:themeFill="background1"/>
            <w:tcMar>
              <w:top w:w="85" w:type="dxa"/>
              <w:left w:w="142" w:type="dxa"/>
              <w:bottom w:w="85" w:type="dxa"/>
              <w:right w:w="142" w:type="dxa"/>
            </w:tcMar>
          </w:tcPr>
          <w:p w14:paraId="0EA2C7A7" w14:textId="0D47B5DF" w:rsidR="00904E9F" w:rsidRDefault="00904E9F" w:rsidP="00904E9F">
            <w:pPr>
              <w:pStyle w:val="BodyText"/>
              <w:ind w:left="482" w:right="3" w:hanging="482"/>
            </w:pPr>
            <w:r>
              <w:rPr>
                <w:rFonts w:asciiTheme="majorHAnsi" w:eastAsia="Times New Roman" w:hAnsiTheme="majorHAnsi" w:cstheme="majorHAnsi"/>
                <w:color w:val="000000"/>
                <w:szCs w:val="20"/>
              </w:rPr>
              <w:t xml:space="preserve">3.2 </w:t>
            </w:r>
            <w:r>
              <w:rPr>
                <w:rFonts w:asciiTheme="majorHAnsi" w:eastAsia="Times New Roman" w:hAnsiTheme="majorHAnsi" w:cstheme="majorHAnsi"/>
                <w:color w:val="000000"/>
                <w:szCs w:val="20"/>
              </w:rPr>
              <w:tab/>
            </w:r>
            <w:r w:rsidRPr="00793621">
              <w:rPr>
                <w:rFonts w:asciiTheme="majorHAnsi" w:eastAsia="Times New Roman" w:hAnsiTheme="majorHAnsi" w:cstheme="majorHAnsi"/>
                <w:color w:val="000000"/>
                <w:szCs w:val="20"/>
              </w:rPr>
              <w:t>What changes could be made to TWES to increase impact?</w:t>
            </w:r>
          </w:p>
        </w:tc>
        <w:tc>
          <w:tcPr>
            <w:tcW w:w="5957" w:type="dxa"/>
            <w:shd w:val="clear" w:color="auto" w:fill="FFFFFF" w:themeFill="background1"/>
            <w:tcMar>
              <w:top w:w="85" w:type="dxa"/>
              <w:left w:w="142" w:type="dxa"/>
              <w:bottom w:w="85" w:type="dxa"/>
              <w:right w:w="142" w:type="dxa"/>
            </w:tcMar>
          </w:tcPr>
          <w:p w14:paraId="05CEEE09" w14:textId="77777777" w:rsidR="00904E9F" w:rsidRPr="00793621" w:rsidRDefault="00904E9F" w:rsidP="000C3506">
            <w:pPr>
              <w:pStyle w:val="TableAlphaList"/>
              <w:numPr>
                <w:ilvl w:val="0"/>
                <w:numId w:val="48"/>
              </w:numPr>
            </w:pPr>
            <w:r w:rsidRPr="00793621">
              <w:t>What changes should be made to the current TWES model?</w:t>
            </w:r>
          </w:p>
          <w:p w14:paraId="6E8E7495" w14:textId="77777777" w:rsidR="00904E9F" w:rsidRPr="00904E9F" w:rsidRDefault="00904E9F" w:rsidP="00904E9F">
            <w:pPr>
              <w:pStyle w:val="TableAlphaList"/>
            </w:pPr>
            <w:r w:rsidRPr="00904E9F">
              <w:t>What funding or other support is required to increase the impact of TWES?</w:t>
            </w:r>
          </w:p>
          <w:p w14:paraId="15D1FA82" w14:textId="6A1B6380" w:rsidR="00904E9F" w:rsidRDefault="00904E9F" w:rsidP="00904E9F">
            <w:pPr>
              <w:pStyle w:val="TableAlphaList"/>
            </w:pPr>
            <w:r w:rsidRPr="00904E9F">
              <w:t>What are the implications for the design and implementation of future prison</w:t>
            </w:r>
            <w:r w:rsidRPr="00793621">
              <w:t xml:space="preserve"> to work programs?</w:t>
            </w:r>
          </w:p>
        </w:tc>
      </w:tr>
    </w:tbl>
    <w:p w14:paraId="29F8ED40" w14:textId="77777777" w:rsidR="00904E9F" w:rsidRDefault="00904E9F" w:rsidP="00305B4B">
      <w:pPr>
        <w:pStyle w:val="Heading1"/>
        <w:ind w:right="3"/>
      </w:pPr>
      <w:bookmarkStart w:id="141" w:name="_Toc75959325"/>
    </w:p>
    <w:p w14:paraId="527FE786" w14:textId="77777777" w:rsidR="00904E9F" w:rsidRDefault="00904E9F">
      <w:pPr>
        <w:widowControl/>
        <w:autoSpaceDE/>
        <w:autoSpaceDN/>
        <w:adjustRightInd/>
        <w:rPr>
          <w:rFonts w:ascii="Georgia" w:hAnsi="Georgia" w:cs="Georgia"/>
          <w:sz w:val="60"/>
          <w:szCs w:val="60"/>
        </w:rPr>
      </w:pPr>
      <w:r>
        <w:br w:type="page"/>
      </w:r>
    </w:p>
    <w:p w14:paraId="129767A6" w14:textId="4DB276AF" w:rsidR="00642DB3" w:rsidRDefault="002A7F75" w:rsidP="00305B4B">
      <w:pPr>
        <w:pStyle w:val="Heading1"/>
        <w:ind w:right="3"/>
      </w:pPr>
      <w:r>
        <w:lastRenderedPageBreak/>
        <w:t xml:space="preserve">Appendix </w:t>
      </w:r>
      <w:r w:rsidR="000A21D1">
        <w:t>2</w:t>
      </w:r>
      <w:r w:rsidR="001940F0">
        <w:t xml:space="preserve">: </w:t>
      </w:r>
      <w:r w:rsidR="006F233E">
        <w:t>Evaluation Team</w:t>
      </w:r>
      <w:bookmarkEnd w:id="139"/>
      <w:bookmarkEnd w:id="140"/>
      <w:bookmarkEnd w:id="141"/>
    </w:p>
    <w:p w14:paraId="4C2601D6" w14:textId="6A417F08" w:rsidR="00BF2AF8" w:rsidRPr="00064835" w:rsidRDefault="00BF2AF8" w:rsidP="00F55833">
      <w:pPr>
        <w:pStyle w:val="Heading3"/>
        <w:spacing w:before="0"/>
        <w:ind w:right="6"/>
      </w:pPr>
      <w:bookmarkStart w:id="142" w:name="_Toc5789251"/>
      <w:bookmarkStart w:id="143" w:name="_Toc6327989"/>
      <w:bookmarkStart w:id="144" w:name="_Toc55352772"/>
      <w:bookmarkStart w:id="145" w:name="_Toc74911622"/>
      <w:r w:rsidRPr="00064835">
        <w:t>Social Ventures Australia</w:t>
      </w:r>
      <w:bookmarkEnd w:id="142"/>
      <w:bookmarkEnd w:id="143"/>
      <w:r w:rsidRPr="00064835">
        <w:t xml:space="preserve"> </w:t>
      </w:r>
      <w:r w:rsidR="00130E76" w:rsidRPr="00064835">
        <w:t xml:space="preserve">(SVA) </w:t>
      </w:r>
      <w:r w:rsidRPr="00064835">
        <w:t>Consulting</w:t>
      </w:r>
      <w:bookmarkEnd w:id="144"/>
      <w:bookmarkEnd w:id="145"/>
    </w:p>
    <w:p w14:paraId="69213C4A" w14:textId="7F3B5875" w:rsidR="00BF2AF8" w:rsidRPr="00064835" w:rsidRDefault="00BF2AF8" w:rsidP="00F55833">
      <w:pPr>
        <w:pStyle w:val="BodyText"/>
        <w:ind w:right="6"/>
      </w:pPr>
      <w:r w:rsidRPr="00064835">
        <w:t xml:space="preserve">SVA is a social purpose organisation that works with partners to improve the lives of people in need. SVA’s services are designed to scale social impact, helping business, Government, and philanthropists to be more effective funders and social purpose organisations to be more effective at delivering services. SVA Consulting is a specialist consulting practice that partners with social purpose organisations to strengthen their ability to address social issues and achieve results. For more information about SVA, please see: </w:t>
      </w:r>
      <w:hyperlink r:id="rId27" w:history="1">
        <w:r w:rsidRPr="00F014F2">
          <w:rPr>
            <w:rStyle w:val="Hyperlink"/>
          </w:rPr>
          <w:t>www.socialventures.com.au</w:t>
        </w:r>
      </w:hyperlink>
      <w:r w:rsidRPr="00064835">
        <w:t xml:space="preserve">  </w:t>
      </w:r>
      <w:r w:rsidRPr="00064835">
        <w:rPr>
          <w:rStyle w:val="Hyperlink"/>
          <w:rFonts w:cs="Arial"/>
          <w:color w:val="auto"/>
          <w:u w:val="none"/>
        </w:rPr>
        <w:t xml:space="preserve"> </w:t>
      </w:r>
      <w:r w:rsidR="004B71B5" w:rsidRPr="00064835">
        <w:rPr>
          <w:rStyle w:val="Hyperlink"/>
          <w:rFonts w:cs="Arial"/>
          <w:color w:val="auto"/>
          <w:u w:val="none"/>
        </w:rPr>
        <w:t xml:space="preserve">  </w:t>
      </w:r>
      <w:r w:rsidRPr="00064835">
        <w:t xml:space="preserve">   </w:t>
      </w:r>
    </w:p>
    <w:p w14:paraId="3B12E303" w14:textId="61C28E68" w:rsidR="00BF2AF8" w:rsidRPr="00064835" w:rsidRDefault="00BF2AF8" w:rsidP="00F55833">
      <w:pPr>
        <w:pStyle w:val="Heading3"/>
        <w:spacing w:before="0"/>
        <w:ind w:right="6"/>
      </w:pPr>
      <w:bookmarkStart w:id="146" w:name="_Toc55352773"/>
      <w:bookmarkStart w:id="147" w:name="_Toc74911623"/>
      <w:r w:rsidRPr="00064835">
        <w:t>Karen Milward Consulting</w:t>
      </w:r>
      <w:bookmarkEnd w:id="146"/>
      <w:bookmarkEnd w:id="147"/>
    </w:p>
    <w:p w14:paraId="5E9BB4CB" w14:textId="496D0E9C" w:rsidR="00BF2AF8" w:rsidRPr="00064835" w:rsidRDefault="00BF2AF8" w:rsidP="00F55833">
      <w:pPr>
        <w:pStyle w:val="BodyText"/>
        <w:ind w:right="6"/>
      </w:pPr>
      <w:r w:rsidRPr="00064835">
        <w:t xml:space="preserve">Headed by Yorta Yorta woman Karen Milward, Karen Milward Consulting provides cultural solutions to businesses and community groups all over Australia. Based in Melbourne, Karen is well known for being a strong advocate for developing culturally appropriate solutions to addressing the issues confronting Indigenous people. She has extensive experience working with Aboriginal and Torres Strait Islander communities at grass roots and organisational levels and up to peak body representative level. For more information about Karen Milward Consulting please see: </w:t>
      </w:r>
      <w:hyperlink r:id="rId28" w:history="1">
        <w:r w:rsidRPr="00F014F2">
          <w:rPr>
            <w:rStyle w:val="Hyperlink"/>
          </w:rPr>
          <w:t>https://www.karenmilward.com.au/</w:t>
        </w:r>
      </w:hyperlink>
      <w:r w:rsidR="00552C58" w:rsidRPr="00F014F2">
        <w:t>.</w:t>
      </w:r>
    </w:p>
    <w:p w14:paraId="1673AD42" w14:textId="5BAEF47E" w:rsidR="00BF2AF8" w:rsidRPr="00064835" w:rsidRDefault="00BF2AF8" w:rsidP="00F55833">
      <w:pPr>
        <w:pStyle w:val="Heading3"/>
        <w:spacing w:before="0"/>
        <w:ind w:right="6"/>
      </w:pPr>
      <w:bookmarkStart w:id="148" w:name="_Toc55352774"/>
      <w:bookmarkStart w:id="149" w:name="_Toc74911624"/>
      <w:r w:rsidRPr="00064835">
        <w:t>Australian National University</w:t>
      </w:r>
      <w:bookmarkEnd w:id="148"/>
      <w:r w:rsidR="00130E76" w:rsidRPr="00064835">
        <w:t xml:space="preserve"> (ANU)</w:t>
      </w:r>
      <w:bookmarkEnd w:id="149"/>
    </w:p>
    <w:p w14:paraId="6ECA8AD3" w14:textId="519482DC" w:rsidR="00BF2AF8" w:rsidRDefault="00130E76" w:rsidP="00F55833">
      <w:pPr>
        <w:pStyle w:val="BodyText"/>
        <w:ind w:right="6"/>
      </w:pPr>
      <w:r>
        <w:t>ANU</w:t>
      </w:r>
      <w:r w:rsidR="00BF2AF8" w:rsidRPr="00A44AF5">
        <w:t xml:space="preserve"> is a research-intensive university with research priorities that reflect the challenges facing the world today. Dr Nicholas Biddle is an associate director and professor at ANU’s centre for Social Research and Methods. For more information about Nicholas Biddle please see here: </w:t>
      </w:r>
      <w:hyperlink r:id="rId29" w:history="1">
        <w:r w:rsidR="00BF2AF8" w:rsidRPr="004E5B9D">
          <w:rPr>
            <w:rStyle w:val="Hyperlink"/>
          </w:rPr>
          <w:t>https://csrm.cass.anu.edu.au/people/professor-nicholas-biddle</w:t>
        </w:r>
      </w:hyperlink>
      <w:r w:rsidR="00BF2AF8" w:rsidRPr="00F014F2">
        <w:t xml:space="preserve">. </w:t>
      </w:r>
      <w:r w:rsidR="004B71B5" w:rsidRPr="00F014F2">
        <w:t xml:space="preserve"> </w:t>
      </w:r>
      <w:r w:rsidR="00BF2AF8" w:rsidRPr="00A44AF5">
        <w:t xml:space="preserve"> </w:t>
      </w:r>
    </w:p>
    <w:p w14:paraId="6B3CB64A" w14:textId="6D5E8D49" w:rsidR="00BF2AF8" w:rsidRPr="00064835" w:rsidRDefault="00BF2AF8" w:rsidP="00F55833">
      <w:pPr>
        <w:pStyle w:val="Heading3"/>
        <w:spacing w:before="0"/>
        <w:ind w:right="6"/>
      </w:pPr>
      <w:bookmarkStart w:id="150" w:name="_Toc74911625"/>
      <w:r w:rsidRPr="00064835">
        <w:t>Subcontractors</w:t>
      </w:r>
      <w:bookmarkEnd w:id="150"/>
      <w:r w:rsidRPr="00064835">
        <w:t xml:space="preserve"> </w:t>
      </w:r>
    </w:p>
    <w:p w14:paraId="132A159E" w14:textId="77777777" w:rsidR="00BF2AF8" w:rsidRPr="00064835" w:rsidRDefault="00BF2AF8" w:rsidP="00F55833">
      <w:pPr>
        <w:pStyle w:val="Heading4"/>
        <w:spacing w:before="0"/>
        <w:ind w:right="6"/>
      </w:pPr>
      <w:r w:rsidRPr="00064835">
        <w:t>Sorrell Ashby</w:t>
      </w:r>
    </w:p>
    <w:p w14:paraId="508C150E" w14:textId="77777777" w:rsidR="00BF2AF8" w:rsidRPr="00064835" w:rsidRDefault="00BF2AF8" w:rsidP="00F55833">
      <w:pPr>
        <w:pStyle w:val="BodyText"/>
        <w:ind w:right="6"/>
      </w:pPr>
      <w:r w:rsidRPr="00064835">
        <w:t xml:space="preserve">Sorrell is a Gamilaroi woman and Social entrepreneur based in Darwin in the NT. The Founder and Managing Director at Guumali, a social enterprise that works to support First Nations self-determination by unlocking the Indigenous estate to create the opportunity for nations and economies to rebuild. Sorrell has a wide range of experience in facilitating genuine partnerships and effective collaboration. In her previous roles Sorrell has extensive experience in Management Consulting with companies such as PWC’s Indigenous Consulting. For more information about Sorrell Ashby please see here: </w:t>
      </w:r>
      <w:hyperlink r:id="rId30" w:history="1">
        <w:r w:rsidRPr="00F014F2">
          <w:rPr>
            <w:rStyle w:val="Hyperlink"/>
          </w:rPr>
          <w:t>https://www.linkedin.com/in/sorrell-ashby/</w:t>
        </w:r>
      </w:hyperlink>
      <w:r w:rsidRPr="00F014F2">
        <w:t>.</w:t>
      </w:r>
    </w:p>
    <w:p w14:paraId="29109EF1" w14:textId="77777777" w:rsidR="00BF2AF8" w:rsidRPr="00064835" w:rsidRDefault="00BF2AF8" w:rsidP="00F55833">
      <w:pPr>
        <w:pStyle w:val="Heading4"/>
        <w:spacing w:before="0"/>
        <w:ind w:right="6"/>
      </w:pPr>
      <w:r w:rsidRPr="00064835">
        <w:t>Jayde Geia</w:t>
      </w:r>
    </w:p>
    <w:p w14:paraId="7DAE49C1" w14:textId="77777777" w:rsidR="00BF2AF8" w:rsidRPr="00064835" w:rsidRDefault="00BF2AF8" w:rsidP="00F55833">
      <w:pPr>
        <w:pStyle w:val="BodyText"/>
        <w:ind w:right="6"/>
      </w:pPr>
      <w:r w:rsidRPr="00064835">
        <w:t xml:space="preserve">Jayde’s family are Bwgcolman, Gunggandji and Mualgal and she is previously a lawyer by trade. Highly experience in management consulting through her previous role as Consulting Manager at EY, Jayde has gained extensive experience undertaking culturally appropriate and extensive stakeholder consultation with Indigenous communities and individuals through EY’s Indigenous Sector practice. For more information about Jayde Geia please see here: </w:t>
      </w:r>
      <w:hyperlink r:id="rId31" w:history="1">
        <w:r w:rsidRPr="00F014F2">
          <w:rPr>
            <w:rStyle w:val="Hyperlink"/>
          </w:rPr>
          <w:t>https://www.linkedin.com/in/jayde-geia-b8731181/</w:t>
        </w:r>
      </w:hyperlink>
      <w:r w:rsidRPr="00F014F2">
        <w:t>.</w:t>
      </w:r>
    </w:p>
    <w:p w14:paraId="225078E3" w14:textId="77777777" w:rsidR="00BF2AF8" w:rsidRPr="00064835" w:rsidRDefault="00BF2AF8" w:rsidP="00F55833">
      <w:pPr>
        <w:pStyle w:val="Heading4"/>
        <w:spacing w:before="0"/>
        <w:ind w:right="6"/>
      </w:pPr>
      <w:r w:rsidRPr="00064835">
        <w:t>Ralph Mogridge</w:t>
      </w:r>
    </w:p>
    <w:p w14:paraId="401AB5C5" w14:textId="3068089A" w:rsidR="001940F0" w:rsidRPr="00064835" w:rsidRDefault="00BF2AF8" w:rsidP="00F55833">
      <w:pPr>
        <w:pStyle w:val="BodyText"/>
        <w:ind w:right="6"/>
      </w:pPr>
      <w:r w:rsidRPr="00064835">
        <w:t xml:space="preserve">Ralph is a Noongar man from WA. Ralph is a Director of his own Independent Consulting service R. Mogridge &amp; Associates. He has extensive experience in community and stakeholder engagement with Indigenous communities and people. He also has previous experience in undertaking reviews and evaluations of Aboriginal specific programs across Western Australia. For more information on Ralph Mogridge see here: </w:t>
      </w:r>
      <w:hyperlink r:id="rId32" w:history="1">
        <w:r w:rsidRPr="00F014F2">
          <w:rPr>
            <w:rStyle w:val="Hyperlink"/>
          </w:rPr>
          <w:t>https://www.linkedin.com/in/ralph-mogridge-986583121/</w:t>
        </w:r>
      </w:hyperlink>
    </w:p>
    <w:p w14:paraId="51C8123B" w14:textId="1C3D9E6D" w:rsidR="00F96E2E" w:rsidRDefault="00F96E2E" w:rsidP="00305B4B">
      <w:pPr>
        <w:pStyle w:val="Heading1"/>
        <w:ind w:right="3"/>
      </w:pPr>
      <w:bookmarkStart w:id="151" w:name="_Toc75959326"/>
      <w:r>
        <w:lastRenderedPageBreak/>
        <w:t>References</w:t>
      </w:r>
      <w:bookmarkEnd w:id="151"/>
      <w:r>
        <w:t xml:space="preserve"> </w:t>
      </w:r>
    </w:p>
    <w:p w14:paraId="115E63EF" w14:textId="77777777" w:rsidR="00AD7A83" w:rsidRPr="00AD7A83" w:rsidRDefault="00AD7A83" w:rsidP="00305B4B">
      <w:pPr>
        <w:pStyle w:val="BodyText"/>
        <w:ind w:right="3"/>
        <w:rPr>
          <w:i/>
          <w:iCs/>
        </w:rPr>
      </w:pPr>
      <w:r w:rsidRPr="00AD7A83">
        <w:t xml:space="preserve">Andrew Day, Lynore Geia, and Armon Tamatea. 2019. “Towards effective throughcare approaches for Indigenous people leaving prison in Australia and New Zealand". </w:t>
      </w:r>
      <w:r w:rsidRPr="00AD7A83">
        <w:rPr>
          <w:i/>
          <w:iCs/>
        </w:rPr>
        <w:t>Indigenous Justice Clearinghouse</w:t>
      </w:r>
    </w:p>
    <w:p w14:paraId="6D2C911A" w14:textId="77777777" w:rsidR="00AD7A83" w:rsidRPr="00AD7A83" w:rsidRDefault="00AD7A83" w:rsidP="00305B4B">
      <w:pPr>
        <w:pStyle w:val="BodyText"/>
        <w:ind w:right="3"/>
      </w:pPr>
      <w:r w:rsidRPr="00AD7A83">
        <w:t xml:space="preserve">Andrew Griffiths, Fredrick Zmudzki, and Shona Bates. 2017. “Evaluation of ACT Extended Throughcare Pilot Program.” </w:t>
      </w:r>
      <w:r w:rsidRPr="00AD7A83">
        <w:rPr>
          <w:i/>
          <w:iCs/>
        </w:rPr>
        <w:t>Social Policy Research Centre</w:t>
      </w:r>
    </w:p>
    <w:p w14:paraId="61C78502" w14:textId="77777777" w:rsidR="00AD7A83" w:rsidRPr="00AD7A83" w:rsidRDefault="00AD7A83" w:rsidP="00305B4B">
      <w:pPr>
        <w:pStyle w:val="BodyText"/>
        <w:ind w:right="3"/>
      </w:pPr>
      <w:r w:rsidRPr="00AD7A83">
        <w:t xml:space="preserve">Australian Bureau of Statistics. 2016. “Aboriginal and Torres Strait Islander Prisoner Characteristics”, </w:t>
      </w:r>
      <w:r w:rsidRPr="00AD7A83">
        <w:rPr>
          <w:i/>
          <w:iCs/>
        </w:rPr>
        <w:t>2016 Census</w:t>
      </w:r>
      <w:r w:rsidRPr="00AD7A83">
        <w:t>.</w:t>
      </w:r>
    </w:p>
    <w:p w14:paraId="3E469397" w14:textId="77777777" w:rsidR="00AD7A83" w:rsidRPr="00AD7A83" w:rsidRDefault="00AD7A83" w:rsidP="00305B4B">
      <w:pPr>
        <w:pStyle w:val="BodyText"/>
        <w:ind w:right="3"/>
      </w:pPr>
      <w:r w:rsidRPr="00AD7A83">
        <w:t>Australian Government. 2017. Time To Work Employment Service Request for Tender 2018-2021</w:t>
      </w:r>
    </w:p>
    <w:p w14:paraId="3498D6FB" w14:textId="77777777" w:rsidR="00AD7A83" w:rsidRPr="00AD7A83" w:rsidRDefault="00AD7A83" w:rsidP="00305B4B">
      <w:pPr>
        <w:pStyle w:val="BodyText"/>
        <w:ind w:right="3"/>
      </w:pPr>
      <w:r w:rsidRPr="00AD7A83">
        <w:t>Australian</w:t>
      </w:r>
      <w:r w:rsidRPr="00AD7A83">
        <w:rPr>
          <w:spacing w:val="-10"/>
        </w:rPr>
        <w:t xml:space="preserve"> </w:t>
      </w:r>
      <w:r w:rsidRPr="00AD7A83">
        <w:rPr>
          <w:spacing w:val="-5"/>
        </w:rPr>
        <w:t>Government.</w:t>
      </w:r>
      <w:r w:rsidRPr="00AD7A83">
        <w:rPr>
          <w:spacing w:val="-10"/>
        </w:rPr>
        <w:t xml:space="preserve"> </w:t>
      </w:r>
      <w:r w:rsidRPr="00AD7A83">
        <w:t>2018.</w:t>
      </w:r>
      <w:r w:rsidRPr="00AD7A83">
        <w:rPr>
          <w:spacing w:val="-8"/>
        </w:rPr>
        <w:t xml:space="preserve"> </w:t>
      </w:r>
      <w:r w:rsidRPr="00AD7A83">
        <w:t>Guideline:</w:t>
      </w:r>
      <w:r w:rsidRPr="00AD7A83">
        <w:rPr>
          <w:spacing w:val="-9"/>
        </w:rPr>
        <w:t xml:space="preserve"> </w:t>
      </w:r>
      <w:r w:rsidRPr="00AD7A83">
        <w:rPr>
          <w:spacing w:val="-2"/>
        </w:rPr>
        <w:t>Time</w:t>
      </w:r>
      <w:r w:rsidRPr="00AD7A83">
        <w:rPr>
          <w:spacing w:val="-10"/>
        </w:rPr>
        <w:t xml:space="preserve"> </w:t>
      </w:r>
      <w:r w:rsidRPr="00AD7A83">
        <w:rPr>
          <w:spacing w:val="-2"/>
        </w:rPr>
        <w:t>to</w:t>
      </w:r>
      <w:r w:rsidRPr="00AD7A83">
        <w:rPr>
          <w:spacing w:val="-9"/>
        </w:rPr>
        <w:t xml:space="preserve"> </w:t>
      </w:r>
      <w:r w:rsidRPr="00AD7A83">
        <w:t>Work</w:t>
      </w:r>
      <w:r w:rsidRPr="00AD7A83">
        <w:rPr>
          <w:spacing w:val="-10"/>
        </w:rPr>
        <w:t xml:space="preserve"> </w:t>
      </w:r>
      <w:r w:rsidRPr="00AD7A83">
        <w:t>Employment</w:t>
      </w:r>
      <w:r w:rsidRPr="00AD7A83">
        <w:rPr>
          <w:spacing w:val="-10"/>
        </w:rPr>
        <w:t xml:space="preserve"> </w:t>
      </w:r>
      <w:r w:rsidRPr="00AD7A83">
        <w:t>Service</w:t>
      </w:r>
    </w:p>
    <w:p w14:paraId="667C2DD4" w14:textId="77777777" w:rsidR="00AD7A83" w:rsidRPr="00AD7A83" w:rsidRDefault="00AD7A83" w:rsidP="00305B4B">
      <w:pPr>
        <w:pStyle w:val="BodyText"/>
        <w:ind w:right="3"/>
      </w:pPr>
      <w:r w:rsidRPr="00AD7A83">
        <w:t>Australian Government. 2018. Time</w:t>
      </w:r>
      <w:r w:rsidRPr="00AD7A83">
        <w:rPr>
          <w:spacing w:val="-9"/>
        </w:rPr>
        <w:t xml:space="preserve"> </w:t>
      </w:r>
      <w:r w:rsidRPr="00AD7A83">
        <w:t>to</w:t>
      </w:r>
      <w:r w:rsidRPr="00AD7A83">
        <w:rPr>
          <w:spacing w:val="-9"/>
        </w:rPr>
        <w:t xml:space="preserve"> </w:t>
      </w:r>
      <w:r w:rsidRPr="00AD7A83">
        <w:t>Work</w:t>
      </w:r>
      <w:r w:rsidRPr="00AD7A83">
        <w:rPr>
          <w:spacing w:val="-8"/>
        </w:rPr>
        <w:t xml:space="preserve"> </w:t>
      </w:r>
      <w:r w:rsidRPr="00AD7A83">
        <w:t>Employment</w:t>
      </w:r>
      <w:r w:rsidRPr="00AD7A83">
        <w:rPr>
          <w:spacing w:val="-9"/>
        </w:rPr>
        <w:t xml:space="preserve"> </w:t>
      </w:r>
      <w:r w:rsidRPr="00AD7A83">
        <w:t>Service,</w:t>
      </w:r>
      <w:r w:rsidRPr="00AD7A83">
        <w:rPr>
          <w:spacing w:val="-9"/>
        </w:rPr>
        <w:t xml:space="preserve"> </w:t>
      </w:r>
      <w:r w:rsidRPr="00AD7A83">
        <w:rPr>
          <w:spacing w:val="-5"/>
        </w:rPr>
        <w:t>Guideline:</w:t>
      </w:r>
      <w:r w:rsidRPr="00AD7A83">
        <w:rPr>
          <w:spacing w:val="-8"/>
        </w:rPr>
        <w:t xml:space="preserve"> </w:t>
      </w:r>
      <w:r w:rsidRPr="00AD7A83">
        <w:t>Performance</w:t>
      </w:r>
      <w:r w:rsidRPr="00AD7A83">
        <w:rPr>
          <w:spacing w:val="-9"/>
        </w:rPr>
        <w:t xml:space="preserve"> </w:t>
      </w:r>
      <w:r w:rsidRPr="00AD7A83">
        <w:rPr>
          <w:spacing w:val="-5"/>
        </w:rPr>
        <w:t>Framework,</w:t>
      </w:r>
      <w:r w:rsidRPr="00AD7A83">
        <w:rPr>
          <w:spacing w:val="-9"/>
        </w:rPr>
        <w:t xml:space="preserve"> </w:t>
      </w:r>
      <w:r w:rsidRPr="00AD7A83">
        <w:t>May</w:t>
      </w:r>
      <w:r w:rsidRPr="00AD7A83">
        <w:rPr>
          <w:spacing w:val="-8"/>
        </w:rPr>
        <w:t xml:space="preserve"> </w:t>
      </w:r>
      <w:r w:rsidRPr="00AD7A83">
        <w:t>2018</w:t>
      </w:r>
    </w:p>
    <w:p w14:paraId="44F70544" w14:textId="77777777" w:rsidR="00AD7A83" w:rsidRPr="00AD7A83" w:rsidRDefault="00AD7A83" w:rsidP="00305B4B">
      <w:pPr>
        <w:pStyle w:val="BodyText"/>
        <w:ind w:right="3"/>
      </w:pPr>
      <w:r w:rsidRPr="00AD7A83">
        <w:t xml:space="preserve">Australian Law Reform Commission. 2017. “Pathways to Justice - Inquiry into the Incarceration Rate of Aboriginal and Torres Strait Islander Peoples.” </w:t>
      </w:r>
    </w:p>
    <w:p w14:paraId="5391E715" w14:textId="77777777" w:rsidR="00AD7A83" w:rsidRPr="00AD7A83" w:rsidRDefault="00AD7A83" w:rsidP="00305B4B">
      <w:pPr>
        <w:pStyle w:val="BodyText"/>
        <w:ind w:right="3"/>
        <w:rPr>
          <w:i/>
          <w:iCs/>
        </w:rPr>
      </w:pPr>
      <w:r w:rsidRPr="00AD7A83">
        <w:t xml:space="preserve">Boris Beranger, Don Weatherburn, and Steve Moffatt. 2010. “Reducing Indigenous Contact with the Court System”. Issue paper no. 54, </w:t>
      </w:r>
      <w:r w:rsidRPr="00AD7A83">
        <w:rPr>
          <w:i/>
          <w:iCs/>
        </w:rPr>
        <w:t>Crime and Justice Statistics</w:t>
      </w:r>
    </w:p>
    <w:p w14:paraId="1F5AE141" w14:textId="77777777" w:rsidR="00AD7A83" w:rsidRPr="00AD7A83" w:rsidRDefault="00AD7A83" w:rsidP="00305B4B">
      <w:pPr>
        <w:pStyle w:val="BodyText"/>
        <w:ind w:right="3"/>
      </w:pPr>
      <w:r w:rsidRPr="00AD7A83">
        <w:t xml:space="preserve">Christopher Uggen, and Jeremy Staff. 2001. “Work as a Turning Point for Criminal Offenders.” </w:t>
      </w:r>
      <w:r w:rsidRPr="00AD7A83">
        <w:rPr>
          <w:i/>
          <w:iCs/>
        </w:rPr>
        <w:t>Corrections Management Quarterly</w:t>
      </w:r>
    </w:p>
    <w:p w14:paraId="7C803F2B" w14:textId="77777777" w:rsidR="00AD7A83" w:rsidRPr="00AD7A83" w:rsidRDefault="00AD7A83" w:rsidP="00305B4B">
      <w:pPr>
        <w:pStyle w:val="BodyText"/>
        <w:ind w:right="3"/>
        <w:rPr>
          <w:i/>
          <w:iCs/>
        </w:rPr>
      </w:pPr>
      <w:r w:rsidRPr="00AD7A83">
        <w:rPr>
          <w:noProof/>
        </w:rPr>
        <w:t xml:space="preserve">Christy A. Visher, Laura Winterfield, and Mark B. Coggeshall. 2005. “Ex-offender employment programs and recidivism: A meta-analysis.” </w:t>
      </w:r>
      <w:r w:rsidRPr="00AD7A83">
        <w:rPr>
          <w:i/>
          <w:iCs/>
          <w:noProof/>
        </w:rPr>
        <w:t>Journal of Experimental Criminology</w:t>
      </w:r>
    </w:p>
    <w:p w14:paraId="5F045C8A" w14:textId="77777777" w:rsidR="00AD7A83" w:rsidRPr="00AD7A83" w:rsidRDefault="00AD7A83" w:rsidP="00305B4B">
      <w:pPr>
        <w:pStyle w:val="BodyText"/>
        <w:ind w:right="3"/>
      </w:pPr>
      <w:r w:rsidRPr="00AD7A83">
        <w:t xml:space="preserve">Christy A. Visher, Sara A. Debus-Sherrill, and Jennifer Yahner. 2011. “Employment After Prison: A Longitudinal Study of Former Prisoners.” </w:t>
      </w:r>
      <w:r w:rsidRPr="00AD7A83">
        <w:rPr>
          <w:i/>
          <w:iCs/>
        </w:rPr>
        <w:t>Justice Quarterly</w:t>
      </w:r>
    </w:p>
    <w:p w14:paraId="455F0727" w14:textId="77777777" w:rsidR="00AD7A83" w:rsidRPr="00AD7A83" w:rsidRDefault="00AD7A83" w:rsidP="00305B4B">
      <w:pPr>
        <w:pStyle w:val="BodyText"/>
        <w:ind w:right="3"/>
      </w:pPr>
      <w:r w:rsidRPr="00AD7A83">
        <w:t xml:space="preserve">Council of Australian Governments. 2016. </w:t>
      </w:r>
      <w:r w:rsidRPr="00AD7A83">
        <w:rPr>
          <w:i/>
          <w:iCs/>
        </w:rPr>
        <w:t>Prison to Work Report</w:t>
      </w:r>
    </w:p>
    <w:p w14:paraId="11B1D464" w14:textId="77777777" w:rsidR="00AD7A83" w:rsidRPr="00AD7A83" w:rsidRDefault="00AD7A83" w:rsidP="00305B4B">
      <w:pPr>
        <w:pStyle w:val="BodyText"/>
        <w:ind w:right="3"/>
      </w:pPr>
      <w:r w:rsidRPr="00AD7A83">
        <w:t xml:space="preserve">David B. Wilson, Catherine A. Gallagher, and Doris L. MacKenzie. 2000. “Meta-analysis of Corrections-Based Education, Vocation, and Work Programs for Adult Offenders.” </w:t>
      </w:r>
      <w:r w:rsidRPr="00AD7A83">
        <w:rPr>
          <w:i/>
          <w:iCs/>
        </w:rPr>
        <w:t>Journal of Research in Crime and Delinquency</w:t>
      </w:r>
      <w:r w:rsidRPr="00AD7A83">
        <w:t>, 361.</w:t>
      </w:r>
    </w:p>
    <w:p w14:paraId="6E2DBB5E" w14:textId="77777777" w:rsidR="00AD7A83" w:rsidRPr="00AD7A83" w:rsidRDefault="00AD7A83" w:rsidP="00305B4B">
      <w:pPr>
        <w:pStyle w:val="BodyText"/>
        <w:ind w:right="3"/>
      </w:pPr>
      <w:r w:rsidRPr="00AD7A83">
        <w:rPr>
          <w:spacing w:val="-5"/>
        </w:rPr>
        <w:t>Department</w:t>
      </w:r>
      <w:r w:rsidRPr="00AD7A83">
        <w:rPr>
          <w:spacing w:val="-8"/>
        </w:rPr>
        <w:t xml:space="preserve"> </w:t>
      </w:r>
      <w:r w:rsidRPr="00AD7A83">
        <w:rPr>
          <w:spacing w:val="-2"/>
        </w:rPr>
        <w:t>of</w:t>
      </w:r>
      <w:r w:rsidRPr="00AD7A83">
        <w:rPr>
          <w:spacing w:val="-8"/>
        </w:rPr>
        <w:t xml:space="preserve"> </w:t>
      </w:r>
      <w:r w:rsidRPr="00AD7A83">
        <w:t>the</w:t>
      </w:r>
      <w:r w:rsidRPr="00AD7A83">
        <w:rPr>
          <w:spacing w:val="-8"/>
        </w:rPr>
        <w:t xml:space="preserve"> </w:t>
      </w:r>
      <w:r w:rsidRPr="00AD7A83">
        <w:rPr>
          <w:spacing w:val="-2"/>
        </w:rPr>
        <w:t>Prime</w:t>
      </w:r>
      <w:r w:rsidRPr="00AD7A83">
        <w:rPr>
          <w:spacing w:val="-9"/>
        </w:rPr>
        <w:t xml:space="preserve"> </w:t>
      </w:r>
      <w:r w:rsidRPr="00AD7A83">
        <w:t>Minister</w:t>
      </w:r>
      <w:r w:rsidRPr="00AD7A83">
        <w:rPr>
          <w:spacing w:val="-9"/>
        </w:rPr>
        <w:t xml:space="preserve"> </w:t>
      </w:r>
      <w:r w:rsidRPr="00AD7A83">
        <w:t>&amp;</w:t>
      </w:r>
      <w:r w:rsidRPr="00AD7A83">
        <w:rPr>
          <w:spacing w:val="-7"/>
        </w:rPr>
        <w:t xml:space="preserve"> </w:t>
      </w:r>
      <w:r w:rsidRPr="00AD7A83">
        <w:rPr>
          <w:spacing w:val="-5"/>
        </w:rPr>
        <w:t>Cabinet</w:t>
      </w:r>
      <w:r w:rsidRPr="00AD7A83">
        <w:rPr>
          <w:spacing w:val="-8"/>
        </w:rPr>
        <w:t xml:space="preserve">. 2018. </w:t>
      </w:r>
      <w:r w:rsidRPr="00AD7A83">
        <w:rPr>
          <w:spacing w:val="-5"/>
        </w:rPr>
        <w:t>Indigenous</w:t>
      </w:r>
      <w:r w:rsidRPr="00AD7A83">
        <w:rPr>
          <w:spacing w:val="-8"/>
        </w:rPr>
        <w:t xml:space="preserve"> </w:t>
      </w:r>
      <w:r w:rsidRPr="00AD7A83">
        <w:t>Advancement</w:t>
      </w:r>
      <w:r w:rsidRPr="00AD7A83">
        <w:rPr>
          <w:spacing w:val="-8"/>
        </w:rPr>
        <w:t xml:space="preserve"> </w:t>
      </w:r>
      <w:r w:rsidRPr="00AD7A83">
        <w:t>Strategy</w:t>
      </w:r>
      <w:r w:rsidRPr="00AD7A83">
        <w:rPr>
          <w:spacing w:val="-8"/>
        </w:rPr>
        <w:t xml:space="preserve"> </w:t>
      </w:r>
      <w:r w:rsidRPr="00AD7A83">
        <w:t>Evaluation</w:t>
      </w:r>
      <w:r w:rsidRPr="00AD7A83">
        <w:rPr>
          <w:spacing w:val="-8"/>
        </w:rPr>
        <w:t xml:space="preserve"> </w:t>
      </w:r>
      <w:r w:rsidRPr="00AD7A83">
        <w:t>Framework</w:t>
      </w:r>
    </w:p>
    <w:p w14:paraId="6B7A0A72" w14:textId="77777777" w:rsidR="00AD7A83" w:rsidRPr="00AD7A83" w:rsidRDefault="00AD7A83" w:rsidP="00305B4B">
      <w:pPr>
        <w:pStyle w:val="BodyText"/>
        <w:ind w:right="3"/>
      </w:pPr>
      <w:r w:rsidRPr="00AD7A83">
        <w:t>Joseph Graffam, and Alison Shinkfield. 2012. Strategies to enhance employment of Indigenous ex-offenders after release from correctional institutions. (Resource Sheet no.11, Closing the gap clearinghouse), 4.</w:t>
      </w:r>
    </w:p>
    <w:p w14:paraId="43EF96A6" w14:textId="77777777" w:rsidR="00AD7A83" w:rsidRPr="00AD7A83" w:rsidRDefault="00AD7A83" w:rsidP="00305B4B">
      <w:pPr>
        <w:pStyle w:val="BodyText"/>
        <w:ind w:right="3"/>
        <w:rPr>
          <w:i/>
          <w:iCs/>
        </w:rPr>
      </w:pPr>
      <w:r w:rsidRPr="00AD7A83">
        <w:t xml:space="preserve">Marilyn C. Moses. 2012. “Ex-Offender Job Placement Programs Do Not Reduce Recidivism.” </w:t>
      </w:r>
      <w:r w:rsidRPr="00AD7A83">
        <w:rPr>
          <w:i/>
          <w:iCs/>
        </w:rPr>
        <w:t>Corrections Today</w:t>
      </w:r>
    </w:p>
    <w:p w14:paraId="44C720A8" w14:textId="06E359AB" w:rsidR="00AB075F" w:rsidRPr="00E40CCD" w:rsidDel="002117A5" w:rsidRDefault="00AB075F" w:rsidP="00305B4B">
      <w:pPr>
        <w:pStyle w:val="BodyText"/>
        <w:ind w:right="3"/>
      </w:pPr>
    </w:p>
    <w:p w14:paraId="7994992D" w14:textId="6AA2AD53" w:rsidR="00E40CCD" w:rsidRDefault="00E40CCD" w:rsidP="00305B4B">
      <w:pPr>
        <w:pStyle w:val="BodyText"/>
        <w:ind w:right="3"/>
      </w:pPr>
    </w:p>
    <w:p w14:paraId="4F9AD2A2" w14:textId="77777777" w:rsidR="00AB075F" w:rsidRPr="00E40CCD" w:rsidRDefault="00AB075F" w:rsidP="00305B4B">
      <w:pPr>
        <w:pStyle w:val="BodyText"/>
        <w:ind w:right="3"/>
      </w:pPr>
    </w:p>
    <w:p w14:paraId="068A7D93" w14:textId="3F64610D" w:rsidR="006B1509" w:rsidRDefault="006B1509" w:rsidP="00305B4B">
      <w:pPr>
        <w:pStyle w:val="BodyText"/>
        <w:ind w:right="3"/>
        <w:rPr>
          <w:w w:val="95"/>
        </w:rPr>
      </w:pPr>
      <w:r>
        <w:rPr>
          <w:w w:val="95"/>
        </w:rPr>
        <w:t>-----------------</w:t>
      </w:r>
    </w:p>
    <w:p w14:paraId="593B6A63" w14:textId="53FD80EA" w:rsidR="004029A8" w:rsidRPr="00FF3D15" w:rsidRDefault="004029A8" w:rsidP="00305B4B">
      <w:pPr>
        <w:pStyle w:val="BodyText"/>
        <w:ind w:right="3"/>
      </w:pPr>
      <w:r w:rsidRPr="00FF3D15">
        <w:t>End of report</w:t>
      </w:r>
    </w:p>
    <w:sectPr w:rsidR="004029A8" w:rsidRPr="00FF3D15" w:rsidSect="00D82168">
      <w:headerReference w:type="default" r:id="rId33"/>
      <w:footerReference w:type="default" r:id="rId34"/>
      <w:pgSz w:w="11910" w:h="16840" w:code="9"/>
      <w:pgMar w:top="1480" w:right="992" w:bottom="743" w:left="992" w:header="0" w:footer="55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52172" w14:textId="77777777" w:rsidR="00E658C3" w:rsidRDefault="00E658C3" w:rsidP="00F44FB8">
      <w:r>
        <w:separator/>
      </w:r>
    </w:p>
  </w:endnote>
  <w:endnote w:type="continuationSeparator" w:id="0">
    <w:p w14:paraId="096DE9CF" w14:textId="77777777" w:rsidR="00E658C3" w:rsidRDefault="00E658C3" w:rsidP="00F44FB8">
      <w:r>
        <w:continuationSeparator/>
      </w:r>
    </w:p>
  </w:endnote>
  <w:endnote w:type="continuationNotice" w:id="1">
    <w:p w14:paraId="5C9DB104" w14:textId="77777777" w:rsidR="00E658C3" w:rsidRDefault="00E658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9D6EF" w14:textId="77777777" w:rsidR="000B1DD2" w:rsidRPr="00305B4B" w:rsidRDefault="000B1DD2" w:rsidP="00305B4B">
    <w:pPr>
      <w:pStyle w:val="Footer"/>
    </w:pPr>
  </w:p>
  <w:p w14:paraId="3EF264AE" w14:textId="2C32FE86" w:rsidR="000B1DD2" w:rsidRPr="00305B4B" w:rsidRDefault="00E658C3" w:rsidP="00305B4B">
    <w:pPr>
      <w:pStyle w:val="Footer"/>
    </w:pPr>
    <w:hyperlink r:id="rId1" w:history="1">
      <w:r w:rsidR="000B1DD2" w:rsidRPr="00305B4B">
        <w:rPr>
          <w:rStyle w:val="Hyperlink"/>
          <w:rFonts w:asciiTheme="minorHAnsi" w:hAnsiTheme="minorHAnsi" w:cs="Times New Roman"/>
          <w:color w:val="000000" w:themeColor="text1"/>
          <w:sz w:val="16"/>
          <w:u w:val="none"/>
        </w:rPr>
        <w:t xml:space="preserve">consulting@socialventures.com.au </w:t>
      </w:r>
    </w:hyperlink>
    <w:r w:rsidR="000B1DD2" w:rsidRPr="00305B4B">
      <w:t>| Social Ventures Australia Limited (SVA Consulting) | ABN 94 100 487 572</w:t>
    </w:r>
    <w:r w:rsidR="00305B4B" w:rsidRPr="00305B4B">
      <w:tab/>
    </w:r>
    <w:r w:rsidR="000B1DD2" w:rsidRPr="00305B4B">
      <w:t xml:space="preserve">June 2021 | Page </w:t>
    </w:r>
    <w:r w:rsidR="000B1DD2" w:rsidRPr="00305B4B">
      <w:fldChar w:fldCharType="begin"/>
    </w:r>
    <w:r w:rsidR="000B1DD2" w:rsidRPr="00305B4B">
      <w:instrText xml:space="preserve"> PAGE </w:instrText>
    </w:r>
    <w:r w:rsidR="000B1DD2" w:rsidRPr="00305B4B">
      <w:fldChar w:fldCharType="separate"/>
    </w:r>
    <w:r w:rsidR="008B741E">
      <w:rPr>
        <w:noProof/>
      </w:rPr>
      <w:t>21</w:t>
    </w:r>
    <w:r w:rsidR="000B1DD2" w:rsidRPr="00305B4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E4FA9" w14:textId="77777777" w:rsidR="000B1DD2" w:rsidRDefault="000B1DD2" w:rsidP="00305B4B">
    <w:pPr>
      <w:pStyle w:val="Footer"/>
    </w:pPr>
  </w:p>
  <w:p w14:paraId="3ADD3DF0" w14:textId="2C206C7D" w:rsidR="000B1DD2" w:rsidRPr="00F05CAD" w:rsidRDefault="00E658C3" w:rsidP="00305B4B">
    <w:pPr>
      <w:pStyle w:val="Footer"/>
    </w:pPr>
    <w:hyperlink r:id="rId1" w:history="1">
      <w:r w:rsidR="000B1DD2" w:rsidRPr="00F05CAD">
        <w:rPr>
          <w:rStyle w:val="Hyperlink"/>
          <w:rFonts w:cs="Arial"/>
          <w:color w:val="000000" w:themeColor="text1"/>
          <w:sz w:val="14"/>
          <w:szCs w:val="14"/>
          <w:u w:val="none"/>
        </w:rPr>
        <w:t>consulting@socialventures.com.au</w:t>
      </w:r>
      <w:r w:rsidR="000B1DD2" w:rsidRPr="00F05CAD">
        <w:rPr>
          <w:rStyle w:val="Hyperlink"/>
          <w:rFonts w:cs="Arial"/>
          <w:color w:val="000000" w:themeColor="text1"/>
          <w:spacing w:val="31"/>
          <w:sz w:val="14"/>
          <w:szCs w:val="14"/>
          <w:u w:val="none"/>
        </w:rPr>
        <w:t xml:space="preserve"> </w:t>
      </w:r>
    </w:hyperlink>
    <w:r w:rsidR="000B1DD2" w:rsidRPr="00F05CAD">
      <w:t>|</w:t>
    </w:r>
    <w:r w:rsidR="000B1DD2" w:rsidRPr="00F05CAD">
      <w:rPr>
        <w:spacing w:val="29"/>
      </w:rPr>
      <w:t xml:space="preserve"> </w:t>
    </w:r>
    <w:r w:rsidR="000B1DD2" w:rsidRPr="00F05CAD">
      <w:t>Social</w:t>
    </w:r>
    <w:r w:rsidR="000B1DD2" w:rsidRPr="00F05CAD">
      <w:rPr>
        <w:spacing w:val="-6"/>
      </w:rPr>
      <w:t xml:space="preserve"> </w:t>
    </w:r>
    <w:r w:rsidR="000B1DD2" w:rsidRPr="00F05CAD">
      <w:t>Ventures</w:t>
    </w:r>
    <w:r w:rsidR="000B1DD2" w:rsidRPr="00F05CAD">
      <w:rPr>
        <w:spacing w:val="-5"/>
      </w:rPr>
      <w:t xml:space="preserve"> </w:t>
    </w:r>
    <w:r w:rsidR="000B1DD2" w:rsidRPr="00F05CAD">
      <w:t>Australia</w:t>
    </w:r>
    <w:r w:rsidR="000B1DD2" w:rsidRPr="00F05CAD">
      <w:rPr>
        <w:spacing w:val="-3"/>
      </w:rPr>
      <w:t xml:space="preserve"> </w:t>
    </w:r>
    <w:r w:rsidR="000B1DD2" w:rsidRPr="00F05CAD">
      <w:rPr>
        <w:spacing w:val="-1"/>
      </w:rPr>
      <w:t>Limited</w:t>
    </w:r>
    <w:r w:rsidR="000B1DD2" w:rsidRPr="00F05CAD">
      <w:rPr>
        <w:spacing w:val="-3"/>
      </w:rPr>
      <w:t xml:space="preserve"> </w:t>
    </w:r>
    <w:r w:rsidR="000B1DD2" w:rsidRPr="00F05CAD">
      <w:rPr>
        <w:spacing w:val="-1"/>
      </w:rPr>
      <w:t>(SVA</w:t>
    </w:r>
    <w:r w:rsidR="000B1DD2" w:rsidRPr="00F05CAD">
      <w:rPr>
        <w:spacing w:val="-3"/>
      </w:rPr>
      <w:t xml:space="preserve"> </w:t>
    </w:r>
    <w:r w:rsidR="000B1DD2" w:rsidRPr="00F05CAD">
      <w:t>Consulting)</w:t>
    </w:r>
    <w:r w:rsidR="000B1DD2" w:rsidRPr="00F05CAD">
      <w:rPr>
        <w:spacing w:val="-3"/>
      </w:rPr>
      <w:t xml:space="preserve"> </w:t>
    </w:r>
    <w:r w:rsidR="000B1DD2" w:rsidRPr="00F05CAD">
      <w:t>|</w:t>
    </w:r>
    <w:r w:rsidR="000B1DD2" w:rsidRPr="00F05CAD">
      <w:rPr>
        <w:spacing w:val="-3"/>
      </w:rPr>
      <w:t xml:space="preserve"> </w:t>
    </w:r>
    <w:r w:rsidR="000B1DD2" w:rsidRPr="00F05CAD">
      <w:t>ABN</w:t>
    </w:r>
    <w:r w:rsidR="000B1DD2" w:rsidRPr="00F05CAD">
      <w:rPr>
        <w:spacing w:val="-6"/>
      </w:rPr>
      <w:t xml:space="preserve"> </w:t>
    </w:r>
    <w:r w:rsidR="000B1DD2" w:rsidRPr="00F05CAD">
      <w:t>94</w:t>
    </w:r>
    <w:r w:rsidR="000B1DD2" w:rsidRPr="00F05CAD">
      <w:rPr>
        <w:spacing w:val="-5"/>
      </w:rPr>
      <w:t xml:space="preserve"> </w:t>
    </w:r>
    <w:r w:rsidR="000B1DD2" w:rsidRPr="00F05CAD">
      <w:t>100</w:t>
    </w:r>
    <w:r w:rsidR="000B1DD2" w:rsidRPr="00F05CAD">
      <w:rPr>
        <w:spacing w:val="-3"/>
      </w:rPr>
      <w:t xml:space="preserve"> </w:t>
    </w:r>
    <w:r w:rsidR="000B1DD2" w:rsidRPr="00F05CAD">
      <w:t>487</w:t>
    </w:r>
    <w:r w:rsidR="000B1DD2" w:rsidRPr="00F05CAD">
      <w:rPr>
        <w:spacing w:val="-5"/>
      </w:rPr>
      <w:t xml:space="preserve"> </w:t>
    </w:r>
    <w:r w:rsidR="000B1DD2" w:rsidRPr="00F05CAD">
      <w:t>572</w:t>
    </w:r>
    <w:r w:rsidR="000B1DD2" w:rsidRPr="00F05CAD">
      <w:tab/>
    </w:r>
    <w:r w:rsidR="000B1DD2" w:rsidRPr="00F05CAD">
      <w:rPr>
        <w:spacing w:val="-1"/>
      </w:rPr>
      <w:t xml:space="preserve">June </w:t>
    </w:r>
    <w:r w:rsidR="000B1DD2" w:rsidRPr="00F05CAD">
      <w:t>2021</w:t>
    </w:r>
    <w:r w:rsidR="000B1DD2" w:rsidRPr="00F05CAD">
      <w:rPr>
        <w:spacing w:val="-5"/>
      </w:rPr>
      <w:t xml:space="preserve"> </w:t>
    </w:r>
    <w:r w:rsidR="000B1DD2" w:rsidRPr="00F05CAD">
      <w:t>|</w:t>
    </w:r>
    <w:r w:rsidR="000B1DD2" w:rsidRPr="00F05CAD">
      <w:rPr>
        <w:spacing w:val="-4"/>
      </w:rPr>
      <w:t xml:space="preserve"> </w:t>
    </w:r>
    <w:r w:rsidR="000B1DD2" w:rsidRPr="00F05CAD">
      <w:t>Page</w:t>
    </w:r>
    <w:r w:rsidR="000B1DD2" w:rsidRPr="00F05CAD">
      <w:rPr>
        <w:spacing w:val="-4"/>
      </w:rPr>
      <w:t xml:space="preserve"> </w:t>
    </w:r>
    <w:r w:rsidR="000B1DD2" w:rsidRPr="00F05CAD">
      <w:fldChar w:fldCharType="begin"/>
    </w:r>
    <w:r w:rsidR="000B1DD2" w:rsidRPr="00F05CAD">
      <w:instrText xml:space="preserve"> PAGE </w:instrText>
    </w:r>
    <w:r w:rsidR="000B1DD2" w:rsidRPr="00F05CAD">
      <w:fldChar w:fldCharType="separate"/>
    </w:r>
    <w:r w:rsidR="008B741E">
      <w:rPr>
        <w:noProof/>
      </w:rPr>
      <w:t>62</w:t>
    </w:r>
    <w:r w:rsidR="000B1DD2" w:rsidRPr="00F05CA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87889" w14:textId="77777777" w:rsidR="00E658C3" w:rsidRPr="008C2B3C" w:rsidRDefault="00E658C3" w:rsidP="00FF3D15">
      <w:r>
        <w:separator/>
      </w:r>
    </w:p>
  </w:footnote>
  <w:footnote w:type="continuationSeparator" w:id="0">
    <w:p w14:paraId="0869F0F9" w14:textId="77777777" w:rsidR="00E658C3" w:rsidRDefault="00E658C3" w:rsidP="00F44FB8">
      <w:r>
        <w:continuationSeparator/>
      </w:r>
    </w:p>
  </w:footnote>
  <w:footnote w:type="continuationNotice" w:id="1">
    <w:p w14:paraId="4C810E99" w14:textId="77777777" w:rsidR="00E658C3" w:rsidRDefault="00E658C3"/>
  </w:footnote>
  <w:footnote w:id="2">
    <w:p w14:paraId="51F7C5B5" w14:textId="07234624" w:rsidR="000B1DD2" w:rsidRPr="00E12892" w:rsidRDefault="000B1DD2" w:rsidP="00305B4B">
      <w:pPr>
        <w:pStyle w:val="FootnoteText"/>
      </w:pPr>
      <w:r w:rsidRPr="00E12892">
        <w:rPr>
          <w:rStyle w:val="FootnoteReference"/>
          <w:rFonts w:asciiTheme="majorHAnsi" w:hAnsiTheme="majorHAnsi" w:cstheme="majorHAnsi"/>
        </w:rPr>
        <w:footnoteRef/>
      </w:r>
      <w:r w:rsidRPr="00E12892">
        <w:t xml:space="preserve"> Council of Australian Governments, Prison to Work Report, 2016.</w:t>
      </w:r>
    </w:p>
  </w:footnote>
  <w:footnote w:id="3">
    <w:p w14:paraId="1D6DF87E" w14:textId="7D55A903" w:rsidR="000B1DD2" w:rsidRPr="00305B4B" w:rsidRDefault="000B1DD2" w:rsidP="00305B4B">
      <w:pPr>
        <w:pStyle w:val="FootnoteText"/>
        <w:ind w:left="0" w:right="-139" w:firstLine="0"/>
      </w:pPr>
      <w:r w:rsidRPr="00305B4B">
        <w:rPr>
          <w:rStyle w:val="FootnoteReference"/>
          <w:rFonts w:asciiTheme="majorHAnsi" w:hAnsiTheme="majorHAnsi" w:cstheme="majorHAnsi"/>
        </w:rPr>
        <w:footnoteRef/>
      </w:r>
      <w:r w:rsidRPr="00305B4B">
        <w:rPr>
          <w:vertAlign w:val="superscript"/>
        </w:rPr>
        <w:t xml:space="preserve"> </w:t>
      </w:r>
      <w:r w:rsidRPr="00305B4B">
        <w:t>Christy A. Visher, Sara A. Debus-Sherrill, and Jennifer Yahner. 2011. “Employment After Prison: A Longitudinal Study of Former Prisoners.” Justice Quarterly, 699;   Christy A. Visher, Laura Winterfield, and Mark B. Coggeshall. 2005. “Ex-offender employment programs and recidivism: A meta-analysis.” Journal of Experimental Criminology, 296;  Christopher Uggen, and Jeremy Staff. 2001. “Work as a Turning Point for Criminal Offenders.” Corrections Management Quarterly, 2;   Joseph Graffam, and Alison Shinkfield. 2012. Strategies to enhance employment of Indigenous ex-offenders after release from correctional institutions. (Resource Sheet no.11, Closing the gap clearinghouse), 4.</w:t>
      </w:r>
    </w:p>
  </w:footnote>
  <w:footnote w:id="4">
    <w:p w14:paraId="67C845CC" w14:textId="710A5DC1" w:rsidR="000B1DD2" w:rsidRPr="00305B4B" w:rsidRDefault="000B1DD2" w:rsidP="00305B4B">
      <w:pPr>
        <w:pStyle w:val="FootnoteText"/>
        <w:ind w:left="0" w:firstLine="0"/>
      </w:pPr>
      <w:r w:rsidRPr="00305B4B">
        <w:rPr>
          <w:rStyle w:val="FootnoteReference"/>
          <w:rFonts w:asciiTheme="majorHAnsi" w:hAnsiTheme="majorHAnsi" w:cstheme="majorHAnsi"/>
        </w:rPr>
        <w:footnoteRef/>
      </w:r>
      <w:r w:rsidRPr="00305B4B">
        <w:t xml:space="preserve"> Visher, “Employment after Prison”, 699;  Uggen, “Work as a turning point”, 3.</w:t>
      </w:r>
    </w:p>
  </w:footnote>
  <w:footnote w:id="5">
    <w:p w14:paraId="3C109E4D" w14:textId="42468FF9" w:rsidR="000B1DD2" w:rsidRPr="00305B4B" w:rsidRDefault="000B1DD2" w:rsidP="00305B4B">
      <w:pPr>
        <w:pStyle w:val="FootnoteText"/>
        <w:ind w:left="0" w:firstLine="0"/>
      </w:pPr>
      <w:r w:rsidRPr="00305B4B">
        <w:rPr>
          <w:rStyle w:val="FootnoteReference"/>
          <w:rFonts w:asciiTheme="majorHAnsi" w:hAnsiTheme="majorHAnsi" w:cstheme="majorHAnsi"/>
        </w:rPr>
        <w:footnoteRef/>
      </w:r>
      <w:r w:rsidRPr="00305B4B">
        <w:rPr>
          <w:vertAlign w:val="superscript"/>
        </w:rPr>
        <w:t xml:space="preserve"> </w:t>
      </w:r>
      <w:r w:rsidRPr="00305B4B">
        <w:t>Council of Australian Governments, Prison to Work Report. Australia, 19; Andrew Griffiths, Fredrick Zmudzki, and Shona Bates. 2017. “Evaluation of ACT Extended Throughcare Pilot Program.” Social Policy Research Centre, 61.</w:t>
      </w:r>
    </w:p>
  </w:footnote>
  <w:footnote w:id="6">
    <w:p w14:paraId="61C2DCEE" w14:textId="5480B7D4" w:rsidR="000B1DD2" w:rsidRPr="00305B4B" w:rsidRDefault="000B1DD2" w:rsidP="00305B4B">
      <w:pPr>
        <w:pStyle w:val="FootnoteText"/>
        <w:ind w:left="0" w:firstLine="0"/>
      </w:pPr>
      <w:r w:rsidRPr="00305B4B">
        <w:rPr>
          <w:rStyle w:val="FootnoteReference"/>
          <w:rFonts w:asciiTheme="majorHAnsi" w:hAnsiTheme="majorHAnsi" w:cstheme="majorHAnsi"/>
        </w:rPr>
        <w:footnoteRef/>
      </w:r>
      <w:r w:rsidRPr="00305B4B">
        <w:t xml:space="preserve"> Graffam, “Strategies to enhance employment of Indigenous ex-offenders”, 3.</w:t>
      </w:r>
    </w:p>
  </w:footnote>
  <w:footnote w:id="7">
    <w:p w14:paraId="0DB6D381" w14:textId="0E7D7B63" w:rsidR="000B1DD2" w:rsidRPr="00305B4B" w:rsidRDefault="000B1DD2" w:rsidP="00305B4B">
      <w:pPr>
        <w:pStyle w:val="FootnoteText"/>
        <w:ind w:left="0" w:firstLine="0"/>
      </w:pPr>
      <w:r w:rsidRPr="00305B4B">
        <w:rPr>
          <w:rStyle w:val="FootnoteReference"/>
          <w:rFonts w:asciiTheme="majorHAnsi" w:hAnsiTheme="majorHAnsi" w:cstheme="majorHAnsi"/>
        </w:rPr>
        <w:footnoteRef/>
      </w:r>
      <w:r w:rsidRPr="00305B4B">
        <w:rPr>
          <w:vertAlign w:val="superscript"/>
        </w:rPr>
        <w:t xml:space="preserve"> </w:t>
      </w:r>
      <w:r w:rsidRPr="00305B4B">
        <w:t>Council of Australian Governments, Prison to Work Report, 5.</w:t>
      </w:r>
    </w:p>
  </w:footnote>
  <w:footnote w:id="8">
    <w:p w14:paraId="3BC41C43" w14:textId="1356A497" w:rsidR="000B1DD2" w:rsidRPr="00305B4B" w:rsidRDefault="000B1DD2" w:rsidP="00305B4B">
      <w:pPr>
        <w:pStyle w:val="FootnoteText"/>
        <w:ind w:left="0" w:firstLine="0"/>
      </w:pPr>
      <w:r w:rsidRPr="00305B4B">
        <w:rPr>
          <w:rStyle w:val="FootnoteReference"/>
          <w:rFonts w:asciiTheme="majorHAnsi" w:hAnsiTheme="majorHAnsi" w:cstheme="majorHAnsi"/>
        </w:rPr>
        <w:footnoteRef/>
      </w:r>
      <w:r w:rsidRPr="00305B4B">
        <w:rPr>
          <w:vertAlign w:val="superscript"/>
        </w:rPr>
        <w:t xml:space="preserve"> </w:t>
      </w:r>
      <w:r w:rsidRPr="00305B4B">
        <w:t>Graffam, “Strategies to enhance employment of Indigenous ex-offenders”, 4.</w:t>
      </w:r>
    </w:p>
  </w:footnote>
  <w:footnote w:id="9">
    <w:p w14:paraId="1A4622F4" w14:textId="1D924F19" w:rsidR="000B1DD2" w:rsidRPr="00305B4B" w:rsidRDefault="000B1DD2" w:rsidP="00305B4B">
      <w:pPr>
        <w:pStyle w:val="FootnoteText"/>
        <w:ind w:left="0" w:firstLine="0"/>
      </w:pPr>
      <w:r w:rsidRPr="00305B4B">
        <w:rPr>
          <w:rStyle w:val="FootnoteReference"/>
          <w:rFonts w:asciiTheme="majorHAnsi" w:hAnsiTheme="majorHAnsi" w:cstheme="majorHAnsi"/>
        </w:rPr>
        <w:footnoteRef/>
      </w:r>
      <w:r w:rsidRPr="00305B4B">
        <w:rPr>
          <w:vertAlign w:val="superscript"/>
        </w:rPr>
        <w:t xml:space="preserve"> </w:t>
      </w:r>
      <w:r w:rsidRPr="00305B4B">
        <w:t>Australian Bureau of Statistics. 2016. “Aboriginal and Torres Strait Islander Prisoner Characteristics”, 2016 Census.</w:t>
      </w:r>
    </w:p>
  </w:footnote>
  <w:footnote w:id="10">
    <w:p w14:paraId="4050181F" w14:textId="1074E4E8" w:rsidR="000B1DD2" w:rsidRPr="00305B4B" w:rsidRDefault="000B1DD2" w:rsidP="00305B4B">
      <w:pPr>
        <w:pStyle w:val="FootnoteText"/>
        <w:ind w:left="0" w:firstLine="0"/>
      </w:pPr>
      <w:r w:rsidRPr="00305B4B">
        <w:rPr>
          <w:rStyle w:val="FootnoteReference"/>
          <w:rFonts w:asciiTheme="majorHAnsi" w:hAnsiTheme="majorHAnsi" w:cstheme="majorHAnsi"/>
        </w:rPr>
        <w:footnoteRef/>
      </w:r>
      <w:r w:rsidRPr="00305B4B">
        <w:rPr>
          <w:vertAlign w:val="superscript"/>
        </w:rPr>
        <w:t xml:space="preserve"> </w:t>
      </w:r>
      <w:r w:rsidRPr="00305B4B">
        <w:t>Australian Law Reform Commission, “Pathways to Justice”, 63; Marilyn C. Moses. 2012. “Ex-Offender Job Placement Programs Do Not Reduce Recidivism.” Corrections Today, 106.</w:t>
      </w:r>
    </w:p>
  </w:footnote>
  <w:footnote w:id="11">
    <w:p w14:paraId="2915156A" w14:textId="1BED9C7C" w:rsidR="000B1DD2" w:rsidRPr="00305B4B" w:rsidRDefault="000B1DD2" w:rsidP="00305B4B">
      <w:pPr>
        <w:pStyle w:val="FootnoteText"/>
        <w:ind w:left="0" w:firstLine="0"/>
      </w:pPr>
      <w:r w:rsidRPr="00305B4B">
        <w:rPr>
          <w:rStyle w:val="FootnoteReference"/>
          <w:rFonts w:asciiTheme="majorHAnsi" w:hAnsiTheme="majorHAnsi" w:cstheme="majorHAnsi"/>
        </w:rPr>
        <w:footnoteRef/>
      </w:r>
      <w:r w:rsidRPr="00305B4B">
        <w:rPr>
          <w:vertAlign w:val="superscript"/>
        </w:rPr>
        <w:t xml:space="preserve"> </w:t>
      </w:r>
      <w:r w:rsidRPr="00305B4B">
        <w:t>Council of Australian Governments, Prison to Work Report, 141; Visher, “Employment after Prison”, 699; Visher, “Ex Offender Employment Programs”, 295.</w:t>
      </w:r>
    </w:p>
  </w:footnote>
  <w:footnote w:id="12">
    <w:p w14:paraId="019CBCC9" w14:textId="77777777" w:rsidR="000B1DD2" w:rsidRPr="00E12892" w:rsidRDefault="000B1DD2" w:rsidP="00305B4B">
      <w:pPr>
        <w:pStyle w:val="FootnoteText"/>
      </w:pPr>
      <w:r w:rsidRPr="00305B4B">
        <w:rPr>
          <w:rStyle w:val="FootnoteReference"/>
          <w:rFonts w:asciiTheme="majorHAnsi" w:hAnsiTheme="majorHAnsi" w:cstheme="majorHAnsi"/>
        </w:rPr>
        <w:footnoteRef/>
      </w:r>
      <w:r w:rsidRPr="00305B4B">
        <w:rPr>
          <w:vertAlign w:val="superscript"/>
        </w:rPr>
        <w:t xml:space="preserve"> </w:t>
      </w:r>
      <w:r w:rsidRPr="00305B4B">
        <w:t>Council of Australian Governments, Prison to Work Report, 2016.</w:t>
      </w:r>
    </w:p>
  </w:footnote>
  <w:footnote w:id="13">
    <w:p w14:paraId="5F4E5DDE" w14:textId="77777777" w:rsidR="000B1DD2" w:rsidRPr="00E12892" w:rsidRDefault="000B1DD2" w:rsidP="00305B4B">
      <w:pPr>
        <w:pStyle w:val="FootnoteText"/>
      </w:pPr>
      <w:r w:rsidRPr="00E12892">
        <w:rPr>
          <w:rStyle w:val="FootnoteReference"/>
          <w:rFonts w:asciiTheme="majorHAnsi" w:hAnsiTheme="majorHAnsi" w:cstheme="majorHAnsi"/>
        </w:rPr>
        <w:footnoteRef/>
      </w:r>
      <w:r w:rsidRPr="00E12892">
        <w:t xml:space="preserve"> </w:t>
      </w:r>
      <w:r w:rsidRPr="00E12892">
        <w:rPr>
          <w:spacing w:val="-5"/>
        </w:rPr>
        <w:t>Department</w:t>
      </w:r>
      <w:r w:rsidRPr="00E12892">
        <w:rPr>
          <w:spacing w:val="-8"/>
        </w:rPr>
        <w:t xml:space="preserve"> </w:t>
      </w:r>
      <w:r w:rsidRPr="00E12892">
        <w:rPr>
          <w:spacing w:val="-2"/>
        </w:rPr>
        <w:t>of</w:t>
      </w:r>
      <w:r w:rsidRPr="00E12892">
        <w:rPr>
          <w:spacing w:val="-8"/>
        </w:rPr>
        <w:t xml:space="preserve"> </w:t>
      </w:r>
      <w:r w:rsidRPr="00E12892">
        <w:t>the</w:t>
      </w:r>
      <w:r w:rsidRPr="00E12892">
        <w:rPr>
          <w:spacing w:val="-8"/>
        </w:rPr>
        <w:t xml:space="preserve"> </w:t>
      </w:r>
      <w:r w:rsidRPr="00E12892">
        <w:rPr>
          <w:spacing w:val="-2"/>
        </w:rPr>
        <w:t>Prime</w:t>
      </w:r>
      <w:r w:rsidRPr="00E12892">
        <w:rPr>
          <w:spacing w:val="-9"/>
        </w:rPr>
        <w:t xml:space="preserve"> </w:t>
      </w:r>
      <w:r w:rsidRPr="00E12892">
        <w:t>Minister</w:t>
      </w:r>
      <w:r w:rsidRPr="00E12892">
        <w:rPr>
          <w:spacing w:val="-9"/>
        </w:rPr>
        <w:t xml:space="preserve"> </w:t>
      </w:r>
      <w:r w:rsidRPr="00E12892">
        <w:t>&amp;</w:t>
      </w:r>
      <w:r w:rsidRPr="00E12892">
        <w:rPr>
          <w:spacing w:val="-7"/>
        </w:rPr>
        <w:t xml:space="preserve"> </w:t>
      </w:r>
      <w:r w:rsidRPr="00E12892">
        <w:rPr>
          <w:spacing w:val="-5"/>
        </w:rPr>
        <w:t>Cabinet</w:t>
      </w:r>
      <w:r w:rsidRPr="00E12892">
        <w:rPr>
          <w:spacing w:val="-8"/>
        </w:rPr>
        <w:t xml:space="preserve"> </w:t>
      </w:r>
      <w:r w:rsidRPr="00E12892">
        <w:rPr>
          <w:spacing w:val="-5"/>
        </w:rPr>
        <w:t>(2018)</w:t>
      </w:r>
      <w:r w:rsidRPr="00E12892">
        <w:rPr>
          <w:spacing w:val="-8"/>
        </w:rPr>
        <w:t xml:space="preserve"> </w:t>
      </w:r>
      <w:r w:rsidRPr="00E12892">
        <w:rPr>
          <w:i/>
          <w:iCs/>
          <w:spacing w:val="-5"/>
        </w:rPr>
        <w:t>Indigenous</w:t>
      </w:r>
      <w:r w:rsidRPr="00E12892">
        <w:rPr>
          <w:i/>
          <w:iCs/>
          <w:spacing w:val="-8"/>
        </w:rPr>
        <w:t xml:space="preserve"> </w:t>
      </w:r>
      <w:r w:rsidRPr="00E12892">
        <w:rPr>
          <w:i/>
          <w:iCs/>
        </w:rPr>
        <w:t>Advancement</w:t>
      </w:r>
      <w:r w:rsidRPr="00E12892">
        <w:rPr>
          <w:i/>
          <w:iCs/>
          <w:spacing w:val="-8"/>
        </w:rPr>
        <w:t xml:space="preserve"> </w:t>
      </w:r>
      <w:r w:rsidRPr="00E12892">
        <w:rPr>
          <w:i/>
          <w:iCs/>
        </w:rPr>
        <w:t>Strategy</w:t>
      </w:r>
      <w:r w:rsidRPr="00E12892">
        <w:rPr>
          <w:i/>
          <w:iCs/>
          <w:spacing w:val="-8"/>
        </w:rPr>
        <w:t xml:space="preserve"> </w:t>
      </w:r>
      <w:r w:rsidRPr="00E12892">
        <w:rPr>
          <w:i/>
          <w:iCs/>
        </w:rPr>
        <w:t>Evaluation</w:t>
      </w:r>
      <w:r w:rsidRPr="00E12892">
        <w:rPr>
          <w:i/>
          <w:iCs/>
          <w:spacing w:val="-8"/>
        </w:rPr>
        <w:t xml:space="preserve"> </w:t>
      </w:r>
      <w:r w:rsidRPr="00E12892">
        <w:rPr>
          <w:i/>
          <w:iCs/>
        </w:rPr>
        <w:t>Framework</w:t>
      </w:r>
    </w:p>
  </w:footnote>
  <w:footnote w:id="14">
    <w:p w14:paraId="28DF3578" w14:textId="77777777" w:rsidR="000B1DD2" w:rsidRPr="00E12892" w:rsidRDefault="000B1DD2" w:rsidP="00305B4B">
      <w:pPr>
        <w:pStyle w:val="FootnoteText"/>
      </w:pPr>
      <w:r w:rsidRPr="00E12892">
        <w:rPr>
          <w:rStyle w:val="FootnoteReference"/>
          <w:rFonts w:asciiTheme="majorHAnsi" w:hAnsiTheme="majorHAnsi" w:cstheme="majorHAnsi"/>
        </w:rPr>
        <w:footnoteRef/>
      </w:r>
      <w:r w:rsidRPr="00E12892">
        <w:t xml:space="preserve"> </w:t>
      </w:r>
      <w:r w:rsidRPr="00E12892">
        <w:rPr>
          <w:spacing w:val="-2"/>
        </w:rPr>
        <w:t>Time</w:t>
      </w:r>
      <w:r w:rsidRPr="00E12892">
        <w:rPr>
          <w:spacing w:val="-9"/>
        </w:rPr>
        <w:t xml:space="preserve"> </w:t>
      </w:r>
      <w:r w:rsidRPr="00E12892">
        <w:rPr>
          <w:spacing w:val="-2"/>
        </w:rPr>
        <w:t>to</w:t>
      </w:r>
      <w:r w:rsidRPr="00E12892">
        <w:rPr>
          <w:spacing w:val="-9"/>
        </w:rPr>
        <w:t xml:space="preserve"> </w:t>
      </w:r>
      <w:r w:rsidRPr="00E12892">
        <w:t>Work</w:t>
      </w:r>
      <w:r w:rsidRPr="00E12892">
        <w:rPr>
          <w:spacing w:val="-8"/>
        </w:rPr>
        <w:t xml:space="preserve"> </w:t>
      </w:r>
      <w:r w:rsidRPr="00E12892">
        <w:t>Employment</w:t>
      </w:r>
      <w:r w:rsidRPr="00E12892">
        <w:rPr>
          <w:spacing w:val="-9"/>
        </w:rPr>
        <w:t xml:space="preserve"> </w:t>
      </w:r>
      <w:r w:rsidRPr="00E12892">
        <w:t>Service,</w:t>
      </w:r>
      <w:r w:rsidRPr="00E12892">
        <w:rPr>
          <w:spacing w:val="-9"/>
        </w:rPr>
        <w:t xml:space="preserve"> </w:t>
      </w:r>
      <w:r w:rsidRPr="00E12892">
        <w:rPr>
          <w:spacing w:val="-5"/>
        </w:rPr>
        <w:t>Guideline:</w:t>
      </w:r>
      <w:r w:rsidRPr="00E12892">
        <w:rPr>
          <w:spacing w:val="-8"/>
        </w:rPr>
        <w:t xml:space="preserve"> </w:t>
      </w:r>
      <w:r w:rsidRPr="00E12892">
        <w:t>Performance</w:t>
      </w:r>
      <w:r w:rsidRPr="00E12892">
        <w:rPr>
          <w:spacing w:val="-9"/>
        </w:rPr>
        <w:t xml:space="preserve"> </w:t>
      </w:r>
      <w:r w:rsidRPr="00E12892">
        <w:rPr>
          <w:spacing w:val="-5"/>
        </w:rPr>
        <w:t>Framework,</w:t>
      </w:r>
      <w:r w:rsidRPr="00E12892">
        <w:rPr>
          <w:spacing w:val="-9"/>
        </w:rPr>
        <w:t xml:space="preserve"> </w:t>
      </w:r>
      <w:r w:rsidRPr="00E12892">
        <w:t>May</w:t>
      </w:r>
      <w:r w:rsidRPr="00E12892">
        <w:rPr>
          <w:spacing w:val="-8"/>
        </w:rPr>
        <w:t xml:space="preserve"> </w:t>
      </w:r>
      <w:r w:rsidRPr="00E12892">
        <w:rPr>
          <w:spacing w:val="-2"/>
        </w:rPr>
        <w:t>2018</w:t>
      </w:r>
    </w:p>
  </w:footnote>
  <w:footnote w:id="15">
    <w:p w14:paraId="1AD1CCA8" w14:textId="7061930B" w:rsidR="000B1DD2" w:rsidRPr="00C03373" w:rsidRDefault="000B1DD2" w:rsidP="00305B4B">
      <w:pPr>
        <w:pStyle w:val="FootnoteText"/>
      </w:pPr>
      <w:r w:rsidRPr="00C03373">
        <w:rPr>
          <w:rStyle w:val="FootnoteReference"/>
          <w:rFonts w:asciiTheme="majorHAnsi" w:hAnsiTheme="majorHAnsi" w:cstheme="majorHAnsi"/>
        </w:rPr>
        <w:footnoteRef/>
      </w:r>
      <w:r w:rsidR="00C03373">
        <w:t xml:space="preserve"> </w:t>
      </w:r>
      <w:r w:rsidRPr="00C03373">
        <w:t>It was not possible to estimate the uptake rate for TWES in remote prisons because data on the number of eligible prisoner for each prison was not provided to the Evaluation Team.</w:t>
      </w:r>
    </w:p>
  </w:footnote>
  <w:footnote w:id="16">
    <w:p w14:paraId="04B56B37" w14:textId="2B77FE52" w:rsidR="000B1DD2" w:rsidRPr="00E12892" w:rsidRDefault="000B1DD2" w:rsidP="00305B4B">
      <w:pPr>
        <w:pStyle w:val="FootnoteText"/>
      </w:pPr>
      <w:r w:rsidRPr="00E12892">
        <w:rPr>
          <w:rStyle w:val="FootnoteReference"/>
          <w:rFonts w:asciiTheme="majorHAnsi" w:hAnsiTheme="majorHAnsi" w:cstheme="majorHAnsi"/>
        </w:rPr>
        <w:footnoteRef/>
      </w:r>
      <w:r w:rsidRPr="00E12892">
        <w:t xml:space="preserve"> Note that it is not possible to arrive at this percentage by simply dividing the total number of TWES participants by the total eligible prisoner population. See the next footnote.</w:t>
      </w:r>
    </w:p>
  </w:footnote>
  <w:footnote w:id="17">
    <w:p w14:paraId="1F8C5FD8" w14:textId="39D12675" w:rsidR="000B1DD2" w:rsidRPr="00E12892" w:rsidRDefault="000B1DD2" w:rsidP="00305B4B">
      <w:pPr>
        <w:pStyle w:val="FootnoteText"/>
      </w:pPr>
      <w:r w:rsidRPr="00E12892">
        <w:rPr>
          <w:rStyle w:val="FootnoteReference"/>
          <w:rFonts w:asciiTheme="majorHAnsi" w:hAnsiTheme="majorHAnsi" w:cstheme="majorHAnsi"/>
        </w:rPr>
        <w:footnoteRef/>
      </w:r>
      <w:r w:rsidRPr="00E12892">
        <w:t xml:space="preserve"> The number of eligible prisoners in each prison is reported to NIAA and DESE on a six-monthly basis, and in many cases TWES </w:t>
      </w:r>
      <w:r>
        <w:t>p</w:t>
      </w:r>
      <w:r w:rsidRPr="00E12892">
        <w:t xml:space="preserve">roviders were only providing services for part of that 6-month period – so some eligible prisoners reported in the prison in that 6-month period may have left the prison or become ineligible before TWES was available. Therefore, the uptake rate is estimated by only including the number of eligible prisoners reported in 6-month periods where a TWES </w:t>
      </w:r>
      <w:r>
        <w:t>p</w:t>
      </w:r>
      <w:r w:rsidRPr="00E12892">
        <w:t xml:space="preserve">rovider’s service contract covered the whole 6-month period. Furthermore, some TWES </w:t>
      </w:r>
      <w:r>
        <w:t>p</w:t>
      </w:r>
      <w:r w:rsidRPr="00E12892">
        <w:t xml:space="preserve">roviders had a delay of multiple months between when their contract commenced, and when actual service delivery commenced. This might mean that the calculated uptake rate is underestimated for some prisons. </w:t>
      </w:r>
    </w:p>
  </w:footnote>
  <w:footnote w:id="18">
    <w:p w14:paraId="3B6B3EDA" w14:textId="7A0738AB" w:rsidR="000B1DD2" w:rsidRPr="00E12892" w:rsidRDefault="000B1DD2" w:rsidP="00305B4B">
      <w:pPr>
        <w:pStyle w:val="FootnoteText"/>
      </w:pPr>
      <w:r w:rsidRPr="00E12892">
        <w:rPr>
          <w:rStyle w:val="FootnoteReference"/>
          <w:rFonts w:asciiTheme="majorHAnsi" w:hAnsiTheme="majorHAnsi" w:cstheme="majorHAnsi"/>
        </w:rPr>
        <w:footnoteRef/>
      </w:r>
      <w:r w:rsidRPr="00E12892">
        <w:t xml:space="preserve"> Australian Government (2017) Time To Work Employment Service Request for Tender 2018-2021 </w:t>
      </w:r>
    </w:p>
  </w:footnote>
  <w:footnote w:id="19">
    <w:p w14:paraId="01F5B58B" w14:textId="0C965CD6" w:rsidR="000B1DD2" w:rsidRPr="00E12892" w:rsidRDefault="000B1DD2" w:rsidP="00305B4B">
      <w:pPr>
        <w:pStyle w:val="FootnoteText"/>
      </w:pPr>
      <w:r w:rsidRPr="00E12892">
        <w:rPr>
          <w:rStyle w:val="FootnoteReference"/>
          <w:rFonts w:asciiTheme="majorHAnsi" w:hAnsiTheme="majorHAnsi" w:cstheme="majorHAnsi"/>
        </w:rPr>
        <w:footnoteRef/>
      </w:r>
      <w:r w:rsidRPr="00E12892">
        <w:t xml:space="preserve"> For the</w:t>
      </w:r>
      <w:r w:rsidRPr="00E12892">
        <w:rPr>
          <w:spacing w:val="-6"/>
        </w:rPr>
        <w:t xml:space="preserve"> </w:t>
      </w:r>
      <w:r w:rsidRPr="00E12892">
        <w:t>purposes</w:t>
      </w:r>
      <w:r w:rsidRPr="00E12892">
        <w:rPr>
          <w:spacing w:val="-6"/>
        </w:rPr>
        <w:t xml:space="preserve"> </w:t>
      </w:r>
      <w:r w:rsidRPr="00E12892">
        <w:t>of</w:t>
      </w:r>
      <w:r w:rsidRPr="00E12892">
        <w:rPr>
          <w:spacing w:val="-4"/>
        </w:rPr>
        <w:t xml:space="preserve"> </w:t>
      </w:r>
      <w:r w:rsidRPr="00E12892">
        <w:t>the</w:t>
      </w:r>
      <w:r w:rsidRPr="00E12892">
        <w:rPr>
          <w:spacing w:val="-7"/>
        </w:rPr>
        <w:t xml:space="preserve"> </w:t>
      </w:r>
      <w:r w:rsidRPr="00E12892">
        <w:t>analysis of</w:t>
      </w:r>
      <w:r w:rsidRPr="00E12892">
        <w:rPr>
          <w:spacing w:val="-7"/>
        </w:rPr>
        <w:t xml:space="preserve"> </w:t>
      </w:r>
      <w:r w:rsidRPr="00E12892">
        <w:t>TWES</w:t>
      </w:r>
      <w:r w:rsidRPr="00E12892">
        <w:rPr>
          <w:spacing w:val="-5"/>
        </w:rPr>
        <w:t xml:space="preserve"> </w:t>
      </w:r>
      <w:r w:rsidRPr="00E12892">
        <w:t>participants</w:t>
      </w:r>
      <w:r w:rsidRPr="00E12892">
        <w:rPr>
          <w:spacing w:val="-5"/>
        </w:rPr>
        <w:t xml:space="preserve"> </w:t>
      </w:r>
      <w:r w:rsidRPr="00E12892">
        <w:t>below,</w:t>
      </w:r>
      <w:r w:rsidRPr="00E12892">
        <w:rPr>
          <w:spacing w:val="-7"/>
        </w:rPr>
        <w:t xml:space="preserve"> </w:t>
      </w:r>
      <w:r w:rsidRPr="00E12892">
        <w:t>we</w:t>
      </w:r>
      <w:r w:rsidRPr="00E12892">
        <w:rPr>
          <w:spacing w:val="-4"/>
        </w:rPr>
        <w:t xml:space="preserve"> </w:t>
      </w:r>
      <w:r w:rsidRPr="00E12892">
        <w:t>have</w:t>
      </w:r>
      <w:r w:rsidRPr="00E12892">
        <w:rPr>
          <w:spacing w:val="-4"/>
        </w:rPr>
        <w:t xml:space="preserve"> </w:t>
      </w:r>
      <w:r w:rsidRPr="00E12892">
        <w:t>treated</w:t>
      </w:r>
      <w:r w:rsidRPr="00E12892">
        <w:rPr>
          <w:spacing w:val="22"/>
          <w:w w:val="99"/>
        </w:rPr>
        <w:t xml:space="preserve"> </w:t>
      </w:r>
      <w:r w:rsidRPr="00E12892">
        <w:t>each</w:t>
      </w:r>
      <w:r w:rsidRPr="00E12892">
        <w:rPr>
          <w:spacing w:val="-8"/>
        </w:rPr>
        <w:t xml:space="preserve"> </w:t>
      </w:r>
      <w:r w:rsidRPr="00E12892">
        <w:t>interaction</w:t>
      </w:r>
      <w:r w:rsidRPr="00E12892">
        <w:rPr>
          <w:spacing w:val="-6"/>
        </w:rPr>
        <w:t xml:space="preserve"> </w:t>
      </w:r>
      <w:r w:rsidRPr="00E12892">
        <w:t>with</w:t>
      </w:r>
      <w:r w:rsidRPr="00E12892">
        <w:rPr>
          <w:spacing w:val="-8"/>
        </w:rPr>
        <w:t xml:space="preserve"> </w:t>
      </w:r>
      <w:r w:rsidRPr="00E12892">
        <w:t>TWES</w:t>
      </w:r>
      <w:r w:rsidRPr="00E12892">
        <w:rPr>
          <w:spacing w:val="-8"/>
        </w:rPr>
        <w:t xml:space="preserve"> </w:t>
      </w:r>
      <w:r w:rsidRPr="00E12892">
        <w:t>as</w:t>
      </w:r>
      <w:r w:rsidRPr="00E12892">
        <w:rPr>
          <w:spacing w:val="-7"/>
        </w:rPr>
        <w:t xml:space="preserve"> </w:t>
      </w:r>
      <w:r w:rsidRPr="00E12892">
        <w:t>a</w:t>
      </w:r>
      <w:r w:rsidRPr="00E12892">
        <w:rPr>
          <w:spacing w:val="-7"/>
        </w:rPr>
        <w:t xml:space="preserve"> </w:t>
      </w:r>
      <w:r w:rsidRPr="00E12892">
        <w:t>separate participant commencing TWES.</w:t>
      </w:r>
    </w:p>
  </w:footnote>
  <w:footnote w:id="20">
    <w:p w14:paraId="3A4E8C6D" w14:textId="7A884C70" w:rsidR="000B1DD2" w:rsidRPr="00E12892" w:rsidRDefault="000B1DD2" w:rsidP="00305B4B">
      <w:pPr>
        <w:pStyle w:val="FootnoteText"/>
      </w:pPr>
      <w:r w:rsidRPr="00E12892">
        <w:rPr>
          <w:rStyle w:val="FootnoteReference"/>
          <w:rFonts w:asciiTheme="majorHAnsi" w:hAnsiTheme="majorHAnsi" w:cstheme="majorHAnsi"/>
        </w:rPr>
        <w:footnoteRef/>
      </w:r>
      <w:r w:rsidRPr="00E12892">
        <w:t xml:space="preserve"> Australian</w:t>
      </w:r>
      <w:r w:rsidRPr="00E12892">
        <w:rPr>
          <w:spacing w:val="-10"/>
        </w:rPr>
        <w:t xml:space="preserve"> </w:t>
      </w:r>
      <w:r w:rsidRPr="00E12892">
        <w:rPr>
          <w:spacing w:val="-5"/>
        </w:rPr>
        <w:t>Government</w:t>
      </w:r>
      <w:r w:rsidRPr="00E12892">
        <w:rPr>
          <w:spacing w:val="-10"/>
        </w:rPr>
        <w:t xml:space="preserve"> </w:t>
      </w:r>
      <w:r w:rsidRPr="00E12892">
        <w:t>(2018)</w:t>
      </w:r>
      <w:r w:rsidRPr="00E12892">
        <w:rPr>
          <w:spacing w:val="-8"/>
        </w:rPr>
        <w:t xml:space="preserve"> </w:t>
      </w:r>
      <w:r w:rsidRPr="00E12892">
        <w:t>Guideline:</w:t>
      </w:r>
      <w:r w:rsidRPr="00E12892">
        <w:rPr>
          <w:spacing w:val="-9"/>
        </w:rPr>
        <w:t xml:space="preserve"> </w:t>
      </w:r>
      <w:r w:rsidRPr="00E12892">
        <w:rPr>
          <w:spacing w:val="-2"/>
        </w:rPr>
        <w:t>Time</w:t>
      </w:r>
      <w:r w:rsidRPr="00E12892">
        <w:rPr>
          <w:spacing w:val="-10"/>
        </w:rPr>
        <w:t xml:space="preserve"> </w:t>
      </w:r>
      <w:r w:rsidRPr="00E12892">
        <w:rPr>
          <w:spacing w:val="-2"/>
        </w:rPr>
        <w:t>to</w:t>
      </w:r>
      <w:r w:rsidRPr="00E12892">
        <w:rPr>
          <w:spacing w:val="-9"/>
        </w:rPr>
        <w:t xml:space="preserve"> </w:t>
      </w:r>
      <w:r w:rsidRPr="00E12892">
        <w:t>Work</w:t>
      </w:r>
      <w:r w:rsidRPr="00E12892">
        <w:rPr>
          <w:spacing w:val="-10"/>
        </w:rPr>
        <w:t xml:space="preserve"> </w:t>
      </w:r>
      <w:r w:rsidRPr="00E12892">
        <w:t>Employment</w:t>
      </w:r>
      <w:r w:rsidRPr="00E12892">
        <w:rPr>
          <w:spacing w:val="-10"/>
        </w:rPr>
        <w:t xml:space="preserve"> </w:t>
      </w:r>
      <w:r w:rsidRPr="00E12892">
        <w:t>Service</w:t>
      </w:r>
    </w:p>
  </w:footnote>
  <w:footnote w:id="21">
    <w:p w14:paraId="526D1A64" w14:textId="27BD2541" w:rsidR="000B1DD2" w:rsidRPr="00E12892" w:rsidRDefault="000B1DD2" w:rsidP="00305B4B">
      <w:pPr>
        <w:pStyle w:val="FootnoteText"/>
      </w:pPr>
      <w:r w:rsidRPr="00E12892">
        <w:rPr>
          <w:rStyle w:val="FootnoteReference"/>
          <w:rFonts w:asciiTheme="majorHAnsi" w:hAnsiTheme="majorHAnsi" w:cstheme="majorHAnsi"/>
        </w:rPr>
        <w:footnoteRef/>
      </w:r>
      <w:r w:rsidRPr="00E12892">
        <w:t xml:space="preserve"> For the purposes of the analysis, a participant is defined as completing TWES if ESS data indicates that they have a completed ESAt, an Approved Transition Plan and a Facilitated Transfer. Note that it is sometimes not possible for TWES </w:t>
      </w:r>
      <w:r>
        <w:t>p</w:t>
      </w:r>
      <w:r w:rsidRPr="00E12892">
        <w:t>roviders to arrange a Facilitated Transfer for participants (e.g. if they have no known address on release and cannot be referred by Services Australia).</w:t>
      </w:r>
    </w:p>
  </w:footnote>
  <w:footnote w:id="22">
    <w:p w14:paraId="39137612" w14:textId="41968F82" w:rsidR="000B1DD2" w:rsidRPr="00E12892" w:rsidRDefault="000B1DD2" w:rsidP="00305B4B">
      <w:pPr>
        <w:pStyle w:val="FootnoteText"/>
      </w:pPr>
      <w:r w:rsidRPr="00E12892">
        <w:rPr>
          <w:rStyle w:val="FootnoteReference"/>
          <w:rFonts w:asciiTheme="majorHAnsi" w:hAnsiTheme="majorHAnsi" w:cstheme="majorHAnsi"/>
        </w:rPr>
        <w:footnoteRef/>
      </w:r>
      <w:r w:rsidRPr="00E12892">
        <w:t xml:space="preserve"> Note regarding ESS data on JSCI completions. The ESS data on TWES participants provided to the Evaluation Team included participants with ‘blank’ data on JSCI completions, suggesting that a JSCI was not conducted. However, DESE advised the Evaluation Team that data on JSCI completions may be blank if a more recent JSCI was conducted by another service (after a participant leaves TWES), which over-rides data on any JSCI completed during TWES. The Evaluation Team was also advised that it is compulsory for a participant to complete a JSCI in order to have an Approved Transition Plan. As such, this analysis ignores the JSCI field and assumes that a JSCI has been completed if a participant has an Approved Transition Plan.</w:t>
      </w:r>
    </w:p>
  </w:footnote>
  <w:footnote w:id="23">
    <w:p w14:paraId="31B2F05A" w14:textId="190D0246" w:rsidR="000B1DD2" w:rsidRPr="00E12892" w:rsidRDefault="000B1DD2" w:rsidP="00305B4B">
      <w:pPr>
        <w:pStyle w:val="FootnoteText"/>
      </w:pPr>
      <w:r w:rsidRPr="00E12892">
        <w:rPr>
          <w:rStyle w:val="FootnoteReference"/>
          <w:rFonts w:asciiTheme="majorHAnsi" w:hAnsiTheme="majorHAnsi" w:cstheme="majorHAnsi"/>
        </w:rPr>
        <w:footnoteRef/>
      </w:r>
      <w:r w:rsidRPr="00E12892">
        <w:t xml:space="preserve"> Note we have not included the ESS data on participants who completed a JSCI as per the footnote above. </w:t>
      </w:r>
    </w:p>
  </w:footnote>
  <w:footnote w:id="24">
    <w:p w14:paraId="464ED199" w14:textId="3F034226" w:rsidR="000B1DD2" w:rsidRPr="00E478D2" w:rsidRDefault="000B1DD2" w:rsidP="00305B4B">
      <w:pPr>
        <w:pStyle w:val="Footer"/>
      </w:pPr>
      <w:r w:rsidRPr="00E478D2">
        <w:rPr>
          <w:rStyle w:val="FootnoteReference"/>
          <w:rFonts w:cs="Times New Roman"/>
        </w:rPr>
        <w:footnoteRef/>
      </w:r>
      <w:r w:rsidRPr="00E478D2">
        <w:t xml:space="preserve"> As noted in this table, 13% of all TWES participants received a Facilitated Transfer Meeting. The figure of 11% in </w:t>
      </w:r>
      <w:r w:rsidRPr="00E478D2">
        <w:fldChar w:fldCharType="begin"/>
      </w:r>
      <w:r w:rsidRPr="00E478D2">
        <w:instrText xml:space="preserve"> REF _Ref71657666 \h  \* MERGEFORMAT </w:instrText>
      </w:r>
      <w:r w:rsidRPr="00E478D2">
        <w:fldChar w:fldCharType="separate"/>
      </w:r>
      <w:r w:rsidRPr="00E478D2">
        <w:t>Table 7</w:t>
      </w:r>
      <w:r w:rsidRPr="00E478D2">
        <w:fldChar w:fldCharType="end"/>
      </w:r>
      <w:r w:rsidRPr="00E478D2">
        <w:t xml:space="preserve"> is the proportion of TWES participants who received a Facilitated Transfer and all other core servicing components. The reason why the latter figure is slightly smaller is most likely due to a small number of participants who have incorrectly not received an ESAt from their TWES provider (despite this being required under the servicing guidelines). </w:t>
      </w:r>
    </w:p>
  </w:footnote>
  <w:footnote w:id="25">
    <w:p w14:paraId="48AF87A1" w14:textId="6E20CE2B" w:rsidR="000B1DD2" w:rsidRPr="00E12892" w:rsidRDefault="000B1DD2" w:rsidP="00D610D6">
      <w:pPr>
        <w:pStyle w:val="BodyText"/>
      </w:pPr>
      <w:r w:rsidRPr="00224E0C">
        <w:rPr>
          <w:rStyle w:val="FootnoteTextChar"/>
          <w:rFonts w:eastAsiaTheme="minorEastAsia"/>
          <w:vertAlign w:val="superscript"/>
        </w:rPr>
        <w:footnoteRef/>
      </w:r>
      <w:r w:rsidRPr="00224E0C">
        <w:rPr>
          <w:rStyle w:val="FootnoteTextChar"/>
          <w:rFonts w:eastAsiaTheme="minorEastAsia"/>
          <w:vertAlign w:val="superscript"/>
        </w:rPr>
        <w:t xml:space="preserve"> </w:t>
      </w:r>
      <w:r w:rsidRPr="00224E0C">
        <w:rPr>
          <w:rStyle w:val="FootnoteTextChar"/>
          <w:rFonts w:eastAsiaTheme="minorEastAsia"/>
        </w:rPr>
        <w:t>Australian Government (2018) Guideline: Time to Work Employment Service</w:t>
      </w:r>
    </w:p>
  </w:footnote>
  <w:footnote w:id="26">
    <w:p w14:paraId="1FAF0C7E" w14:textId="7B0D8F4E" w:rsidR="000B1DD2" w:rsidRPr="000F47BF" w:rsidRDefault="000B1DD2" w:rsidP="00305B4B">
      <w:pPr>
        <w:pStyle w:val="FootnoteText"/>
      </w:pPr>
      <w:r w:rsidRPr="00615D6C">
        <w:rPr>
          <w:rStyle w:val="FootnoteReference"/>
          <w:rFonts w:asciiTheme="majorHAnsi" w:hAnsiTheme="majorHAnsi" w:cstheme="majorHAnsi"/>
          <w:szCs w:val="18"/>
        </w:rPr>
        <w:footnoteRef/>
      </w:r>
      <w:r w:rsidRPr="00615D6C">
        <w:t xml:space="preserve"> Note that the select</w:t>
      </w:r>
      <w:r>
        <w:t xml:space="preserve">ion criteria for selecting TWES providers did require tendering providers to describe their </w:t>
      </w:r>
      <w:r w:rsidRPr="007E0C67">
        <w:t xml:space="preserve">organisation’s commitment to employ Aboriginal and Torres Strait Islander peoples to deliver the program, and </w:t>
      </w:r>
      <w:r>
        <w:t xml:space="preserve">their </w:t>
      </w:r>
      <w:r w:rsidRPr="007E0C67">
        <w:t>organisation’s cultural training for current and new employees, working within this program.</w:t>
      </w:r>
    </w:p>
  </w:footnote>
  <w:footnote w:id="27">
    <w:p w14:paraId="5D8861C5" w14:textId="0F6F8D33" w:rsidR="000B1DD2" w:rsidRPr="00E12892" w:rsidRDefault="000B1DD2" w:rsidP="00305B4B">
      <w:pPr>
        <w:pStyle w:val="FootnoteText"/>
      </w:pPr>
      <w:r w:rsidRPr="00E12892">
        <w:rPr>
          <w:rStyle w:val="FootnoteReference"/>
          <w:rFonts w:asciiTheme="majorHAnsi" w:hAnsiTheme="majorHAnsi" w:cstheme="majorHAnsi"/>
        </w:rPr>
        <w:footnoteRef/>
      </w:r>
      <w:r w:rsidRPr="00E12892">
        <w:t xml:space="preserve"> See </w:t>
      </w:r>
      <w:r w:rsidRPr="00E12892">
        <w:rPr>
          <w:b/>
          <w:bCs/>
        </w:rPr>
        <w:t xml:space="preserve">Section </w:t>
      </w:r>
      <w:r w:rsidRPr="00E12892">
        <w:rPr>
          <w:b/>
          <w:bCs/>
        </w:rPr>
        <w:fldChar w:fldCharType="begin"/>
      </w:r>
      <w:r w:rsidRPr="00E12892">
        <w:rPr>
          <w:b/>
          <w:bCs/>
        </w:rPr>
        <w:instrText xml:space="preserve"> REF _Ref75197907 \r \h  \* MERGEFORMAT </w:instrText>
      </w:r>
      <w:r w:rsidRPr="00E12892">
        <w:rPr>
          <w:b/>
          <w:bCs/>
        </w:rPr>
      </w:r>
      <w:r w:rsidRPr="00E12892">
        <w:rPr>
          <w:b/>
          <w:bCs/>
        </w:rPr>
        <w:fldChar w:fldCharType="separate"/>
      </w:r>
      <w:r>
        <w:rPr>
          <w:b/>
          <w:bCs/>
        </w:rPr>
        <w:t>2</w:t>
      </w:r>
      <w:r w:rsidRPr="00E12892">
        <w:rPr>
          <w:b/>
          <w:bCs/>
        </w:rPr>
        <w:fldChar w:fldCharType="end"/>
      </w:r>
      <w:r w:rsidRPr="00E12892">
        <w:t xml:space="preserve"> (Evaluation Methodology) for detail on the method behind this calculation.</w:t>
      </w:r>
    </w:p>
  </w:footnote>
  <w:footnote w:id="28">
    <w:p w14:paraId="03F2D83C" w14:textId="34BEA811" w:rsidR="000B1DD2" w:rsidRPr="007C778E" w:rsidRDefault="000B1DD2" w:rsidP="00305B4B">
      <w:pPr>
        <w:pStyle w:val="FootnoteText"/>
      </w:pPr>
      <w:r w:rsidRPr="007C778E">
        <w:rPr>
          <w:rStyle w:val="FootnoteReference"/>
          <w:rFonts w:asciiTheme="majorHAnsi" w:hAnsiTheme="majorHAnsi" w:cstheme="majorHAnsi"/>
        </w:rPr>
        <w:footnoteRef/>
      </w:r>
      <w:r w:rsidRPr="007C778E">
        <w:rPr>
          <w:vertAlign w:val="superscript"/>
        </w:rPr>
        <w:t xml:space="preserve"> </w:t>
      </w:r>
      <w:r w:rsidRPr="007C778E">
        <w:t>Australian Law Reform Commission, “Pathways to Justice”, 63; Marilyn C. Moses. 2012. “Ex-Offender Job Placement Programs Do Not Reduce Recidivism.” Corrections Today, 106; Uggen, Christopher, and Jeremy Staff. 2001. “Work as a Turning Point for Criminal Offenders.” Corrections Management Quarterly (Corrections ) 1-16; Visher, “Employment after Prison”, 699; Visher, “Ex Offender Employment Programs”, 295.</w:t>
      </w:r>
    </w:p>
  </w:footnote>
  <w:footnote w:id="29">
    <w:p w14:paraId="566987A9" w14:textId="0B701151" w:rsidR="000B1DD2" w:rsidRPr="00E12892" w:rsidRDefault="000B1DD2" w:rsidP="00305B4B">
      <w:pPr>
        <w:pStyle w:val="FootnoteText"/>
      </w:pPr>
      <w:r w:rsidRPr="007C778E">
        <w:rPr>
          <w:rStyle w:val="FootnoteReference"/>
          <w:rFonts w:asciiTheme="majorHAnsi" w:hAnsiTheme="majorHAnsi" w:cstheme="majorHAnsi"/>
        </w:rPr>
        <w:footnoteRef/>
      </w:r>
      <w:r w:rsidRPr="007C778E">
        <w:rPr>
          <w:vertAlign w:val="superscript"/>
        </w:rPr>
        <w:t xml:space="preserve"> </w:t>
      </w:r>
      <w:r w:rsidRPr="007C778E">
        <w:t>Andrew Day, Lynore Geia, and Armon Tamatea. 2019. “Towards effective throughcare approaches for Indigenous people leaving prison in Australia and New Zealand". Indigenous Justice Clearinghouse, 1; Boris Beranger, Don Weatherburn, and Steve Moffatt. 2010. “Reducing Indigenous Contact with the Court System”. Issue paper no. 54, Crime and Justice Statistics, 3; David B. Wilson, Catherine A. Gallagher, and Doris L. MacKenzie. 2000. “Meta-analysis of Corrections-Based Education, Vocation, and Work Programs for Adult Offenders.” Journal of Research in Crime and Delinquency, 361.</w:t>
      </w:r>
    </w:p>
  </w:footnote>
  <w:footnote w:id="30">
    <w:p w14:paraId="47B7EA24" w14:textId="77777777" w:rsidR="000B1DD2" w:rsidRPr="00E12892" w:rsidRDefault="000B1DD2" w:rsidP="00305B4B">
      <w:pPr>
        <w:pStyle w:val="FootnoteText"/>
        <w:rPr>
          <w:i/>
          <w:iCs/>
        </w:rPr>
      </w:pPr>
      <w:r w:rsidRPr="00E12892">
        <w:rPr>
          <w:rStyle w:val="FootnoteReference"/>
          <w:rFonts w:asciiTheme="majorHAnsi" w:hAnsiTheme="majorHAnsi" w:cstheme="majorHAnsi"/>
        </w:rPr>
        <w:footnoteRef/>
      </w:r>
      <w:r w:rsidRPr="00E12892">
        <w:t xml:space="preserve"> Council</w:t>
      </w:r>
      <w:r w:rsidRPr="00E12892">
        <w:rPr>
          <w:spacing w:val="-8"/>
        </w:rPr>
        <w:t xml:space="preserve"> </w:t>
      </w:r>
      <w:r w:rsidRPr="00E12892">
        <w:rPr>
          <w:spacing w:val="-2"/>
        </w:rPr>
        <w:t>of</w:t>
      </w:r>
      <w:r w:rsidRPr="00E12892">
        <w:rPr>
          <w:spacing w:val="-9"/>
        </w:rPr>
        <w:t xml:space="preserve"> </w:t>
      </w:r>
      <w:r w:rsidRPr="00E12892">
        <w:t>Australian</w:t>
      </w:r>
      <w:r w:rsidRPr="00E12892">
        <w:rPr>
          <w:spacing w:val="-9"/>
        </w:rPr>
        <w:t xml:space="preserve"> </w:t>
      </w:r>
      <w:r w:rsidRPr="00E12892">
        <w:rPr>
          <w:spacing w:val="-5"/>
        </w:rPr>
        <w:t>Governments,</w:t>
      </w:r>
      <w:r w:rsidRPr="00E12892">
        <w:rPr>
          <w:spacing w:val="-9"/>
        </w:rPr>
        <w:t xml:space="preserve"> </w:t>
      </w:r>
      <w:r w:rsidRPr="00E12892">
        <w:rPr>
          <w:i/>
          <w:iCs/>
        </w:rPr>
        <w:t>Prison</w:t>
      </w:r>
      <w:r w:rsidRPr="00E12892">
        <w:rPr>
          <w:i/>
          <w:iCs/>
          <w:spacing w:val="-9"/>
        </w:rPr>
        <w:t xml:space="preserve"> </w:t>
      </w:r>
      <w:r w:rsidRPr="00E12892">
        <w:rPr>
          <w:i/>
          <w:iCs/>
          <w:spacing w:val="-2"/>
        </w:rPr>
        <w:t>to</w:t>
      </w:r>
      <w:r w:rsidRPr="00E12892">
        <w:rPr>
          <w:i/>
          <w:iCs/>
          <w:spacing w:val="-9"/>
        </w:rPr>
        <w:t xml:space="preserve"> </w:t>
      </w:r>
      <w:r w:rsidRPr="00E12892">
        <w:rPr>
          <w:i/>
          <w:iCs/>
        </w:rPr>
        <w:t>Work</w:t>
      </w:r>
      <w:r w:rsidRPr="00E12892">
        <w:rPr>
          <w:i/>
          <w:iCs/>
          <w:spacing w:val="-8"/>
        </w:rPr>
        <w:t xml:space="preserve"> </w:t>
      </w:r>
      <w:r w:rsidRPr="00E12892">
        <w:rPr>
          <w:i/>
          <w:iCs/>
        </w:rPr>
        <w:t>Report</w:t>
      </w:r>
      <w:r w:rsidRPr="00E12892">
        <w:t>.</w:t>
      </w:r>
      <w:r w:rsidRPr="00E12892">
        <w:rPr>
          <w:spacing w:val="-9"/>
        </w:rPr>
        <w:t xml:space="preserve"> </w:t>
      </w:r>
      <w:r w:rsidRPr="00E12892">
        <w:t>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33090" w14:textId="77777777" w:rsidR="004A562A" w:rsidRDefault="004A562A" w:rsidP="004A562A">
    <w:pPr>
      <w:pStyle w:val="Header"/>
      <w:jc w:val="right"/>
    </w:pPr>
  </w:p>
  <w:p w14:paraId="35F37B4B" w14:textId="77777777" w:rsidR="004A562A" w:rsidRDefault="004A562A" w:rsidP="004A562A">
    <w:pPr>
      <w:pStyle w:val="Header"/>
      <w:jc w:val="right"/>
    </w:pPr>
  </w:p>
  <w:p w14:paraId="089820DF" w14:textId="18CAC4FA" w:rsidR="000B1DD2" w:rsidRDefault="000B1DD2" w:rsidP="004A562A">
    <w:pPr>
      <w:pStyle w:val="Header"/>
      <w:jc w:val="right"/>
    </w:pPr>
    <w:r>
      <w:rPr>
        <w:noProof/>
        <w:snapToGrid/>
        <w:lang w:eastAsia="en-AU"/>
      </w:rPr>
      <w:drawing>
        <wp:inline distT="0" distB="0" distL="0" distR="0" wp14:anchorId="4342E920" wp14:editId="4038CEAE">
          <wp:extent cx="2394000" cy="543600"/>
          <wp:effectExtent l="0" t="0" r="0" b="0"/>
          <wp:docPr id="1623174849" name="Picture 1623174849"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VA Consulting Logo"/>
                  <pic:cNvPicPr/>
                </pic:nvPicPr>
                <pic:blipFill>
                  <a:blip r:embed="rId1"/>
                  <a:stretch>
                    <a:fillRect/>
                  </a:stretch>
                </pic:blipFill>
                <pic:spPr>
                  <a:xfrm>
                    <a:off x="0" y="0"/>
                    <a:ext cx="2394000" cy="5436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FDFBA" w14:textId="22C61836" w:rsidR="000B1DD2" w:rsidRDefault="000B1DD2" w:rsidP="004A562A">
    <w:pPr>
      <w:pStyle w:val="Header"/>
      <w:jc w:val="right"/>
    </w:pPr>
    <w:r>
      <w:rPr>
        <w:noProof/>
        <w:snapToGrid/>
        <w:lang w:eastAsia="en-AU"/>
      </w:rPr>
      <w:drawing>
        <wp:inline distT="0" distB="0" distL="0" distR="0" wp14:anchorId="0F16984C" wp14:editId="0FA66264">
          <wp:extent cx="2394000" cy="543600"/>
          <wp:effectExtent l="0" t="0" r="0" b="0"/>
          <wp:docPr id="32" name="Picture 32"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VA Consulting Logo"/>
                  <pic:cNvPicPr/>
                </pic:nvPicPr>
                <pic:blipFill>
                  <a:blip r:embed="rId1"/>
                  <a:stretch>
                    <a:fillRect/>
                  </a:stretch>
                </pic:blipFill>
                <pic:spPr>
                  <a:xfrm>
                    <a:off x="0" y="0"/>
                    <a:ext cx="2394000" cy="543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5195F" w14:textId="77777777" w:rsidR="000B1DD2" w:rsidRDefault="000B1DD2" w:rsidP="00FF3D15">
    <w:pPr>
      <w:pStyle w:val="BlockTex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EAFF2" w14:textId="77777777" w:rsidR="004A562A" w:rsidRDefault="004A562A" w:rsidP="00306C77">
    <w:pPr>
      <w:pStyle w:val="Header"/>
      <w:jc w:val="right"/>
    </w:pPr>
  </w:p>
  <w:p w14:paraId="578EE6BE" w14:textId="77777777" w:rsidR="004A562A" w:rsidRDefault="004A562A" w:rsidP="00306C77">
    <w:pPr>
      <w:pStyle w:val="Header"/>
      <w:jc w:val="right"/>
    </w:pPr>
  </w:p>
  <w:p w14:paraId="3DB2EAD5" w14:textId="11F0A24C" w:rsidR="000B1DD2" w:rsidRDefault="000B1DD2" w:rsidP="00306C77">
    <w:pPr>
      <w:pStyle w:val="Header"/>
      <w:jc w:val="right"/>
    </w:pPr>
    <w:r>
      <w:rPr>
        <w:noProof/>
        <w:snapToGrid/>
        <w:lang w:eastAsia="en-AU"/>
      </w:rPr>
      <w:drawing>
        <wp:inline distT="0" distB="0" distL="0" distR="0" wp14:anchorId="5B6164DD" wp14:editId="7E4340E1">
          <wp:extent cx="2394000" cy="543600"/>
          <wp:effectExtent l="0" t="0" r="0" b="0"/>
          <wp:docPr id="33" name="Picture 33"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VA Consulting Logo"/>
                  <pic:cNvPicPr/>
                </pic:nvPicPr>
                <pic:blipFill>
                  <a:blip r:embed="rId1"/>
                  <a:stretch>
                    <a:fillRect/>
                  </a:stretch>
                </pic:blipFill>
                <pic:spPr>
                  <a:xfrm>
                    <a:off x="0" y="0"/>
                    <a:ext cx="2394000" cy="543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6E20BE"/>
    <w:multiLevelType w:val="multilevel"/>
    <w:tmpl w:val="80F00FC8"/>
    <w:styleLink w:val="CurrentList4"/>
    <w:lvl w:ilvl="0">
      <w:start w:val="1"/>
      <w:numFmt w:val="decimal"/>
      <w:lvlText w:val="%1."/>
      <w:lvlJc w:val="left"/>
      <w:pPr>
        <w:ind w:left="720" w:hanging="360"/>
      </w:pPr>
      <w:rPr>
        <w:rFonts w:hint="default"/>
        <w:color w:val="B2B93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FC2CE5"/>
    <w:multiLevelType w:val="multilevel"/>
    <w:tmpl w:val="C58033A0"/>
    <w:styleLink w:val="CurrentList5"/>
    <w:lvl w:ilvl="0">
      <w:start w:val="1"/>
      <w:numFmt w:val="decimal"/>
      <w:lvlText w:val="%1."/>
      <w:lvlJc w:val="left"/>
      <w:pPr>
        <w:ind w:left="720" w:hanging="360"/>
      </w:pPr>
      <w:rPr>
        <w:rFonts w:hint="default"/>
        <w:color w:val="B2B93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A5092A"/>
    <w:multiLevelType w:val="hybridMultilevel"/>
    <w:tmpl w:val="D56ACCBE"/>
    <w:lvl w:ilvl="0" w:tplc="358815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0DA773A0"/>
    <w:multiLevelType w:val="multilevel"/>
    <w:tmpl w:val="0C09001D"/>
    <w:styleLink w:val="1ai1"/>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EB5733E"/>
    <w:multiLevelType w:val="multilevel"/>
    <w:tmpl w:val="6B147B06"/>
    <w:styleLink w:val="AppendixList1"/>
    <w:lvl w:ilvl="0">
      <w:start w:val="1"/>
      <w:numFmt w:val="upperLetter"/>
      <w:lvlText w:val="Appendix %1"/>
      <w:lvlJc w:val="left"/>
      <w:pPr>
        <w:ind w:left="1871" w:hanging="1871"/>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14DB4BC1"/>
    <w:multiLevelType w:val="hybridMultilevel"/>
    <w:tmpl w:val="91F01DA8"/>
    <w:lvl w:ilvl="0" w:tplc="0D445BC8">
      <w:start w:val="1"/>
      <w:numFmt w:val="bullet"/>
      <w:pStyle w:val="Bulletedlist"/>
      <w:lvlText w:val=""/>
      <w:lvlJc w:val="left"/>
      <w:pPr>
        <w:ind w:left="717"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807B3"/>
    <w:multiLevelType w:val="multilevel"/>
    <w:tmpl w:val="0C090023"/>
    <w:styleLink w:val="ArticleSection1"/>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D6D0372"/>
    <w:multiLevelType w:val="multilevel"/>
    <w:tmpl w:val="A24AA1A8"/>
    <w:styleLink w:val="NumberedHeadings1"/>
    <w:lvl w:ilvl="0">
      <w:start w:val="1"/>
      <w:numFmt w:val="decimal"/>
      <w:lvlText w:val="%1"/>
      <w:lvlJc w:val="left"/>
      <w:pPr>
        <w:ind w:left="556" w:hanging="55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E073698"/>
    <w:multiLevelType w:val="multilevel"/>
    <w:tmpl w:val="985EBDE4"/>
    <w:styleLink w:val="TableList1"/>
    <w:lvl w:ilvl="0">
      <w:start w:val="1"/>
      <w:numFmt w:val="decimal"/>
      <w:lvlText w:val="%1"/>
      <w:lvlJc w:val="left"/>
      <w:pPr>
        <w:ind w:left="284" w:hanging="284"/>
      </w:pPr>
      <w:rPr>
        <w:rFonts w:hint="default"/>
      </w:rPr>
    </w:lvl>
    <w:lvl w:ilvl="1">
      <w:start w:val="1"/>
      <w:numFmt w:val="none"/>
      <w:lvlText w:val=""/>
      <w:lvlJc w:val="left"/>
      <w:pPr>
        <w:ind w:left="357" w:hanging="357"/>
      </w:pPr>
      <w:rPr>
        <w:rFonts w:hint="default"/>
      </w:rPr>
    </w:lvl>
    <w:lvl w:ilvl="2">
      <w:start w:val="1"/>
      <w:numFmt w:val="none"/>
      <w:lvlText w:val=""/>
      <w:lvlJc w:val="left"/>
      <w:pPr>
        <w:ind w:left="357" w:hanging="357"/>
      </w:pPr>
      <w:rPr>
        <w:rFonts w:hint="default"/>
      </w:rPr>
    </w:lvl>
    <w:lvl w:ilvl="3">
      <w:start w:val="1"/>
      <w:numFmt w:val="none"/>
      <w:lvlText w:val=""/>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14" w15:restartNumberingAfterBreak="0">
    <w:nsid w:val="2215379E"/>
    <w:multiLevelType w:val="multilevel"/>
    <w:tmpl w:val="A1F6C80E"/>
    <w:styleLink w:val="ListNumbers1"/>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none"/>
      <w:lvlText w:val="%3"/>
      <w:lvlJc w:val="left"/>
      <w:pPr>
        <w:ind w:left="1071" w:hanging="357"/>
      </w:pPr>
      <w:rPr>
        <w:rFonts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5" w15:restartNumberingAfterBreak="0">
    <w:nsid w:val="221F42DD"/>
    <w:multiLevelType w:val="multilevel"/>
    <w:tmpl w:val="E9A02782"/>
    <w:styleLink w:val="CurrentList9"/>
    <w:lvl w:ilvl="0">
      <w:start w:val="1"/>
      <w:numFmt w:val="bullet"/>
      <w:lvlText w:val=""/>
      <w:lvlJc w:val="left"/>
      <w:pPr>
        <w:ind w:left="717" w:hanging="360"/>
      </w:pPr>
      <w:rPr>
        <w:rFonts w:ascii="Symbol" w:hAnsi="Symbol" w:hint="default"/>
        <w:color w:val="002D6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CF5A7D"/>
    <w:multiLevelType w:val="multilevel"/>
    <w:tmpl w:val="38E8ADF6"/>
    <w:styleLink w:val="CurrentList6"/>
    <w:lvl w:ilvl="0">
      <w:start w:val="1"/>
      <w:numFmt w:val="decimal"/>
      <w:lvlText w:val="%1."/>
      <w:lvlJc w:val="left"/>
      <w:pPr>
        <w:ind w:left="720" w:hanging="360"/>
      </w:pPr>
      <w:rPr>
        <w:rFonts w:hint="default"/>
        <w:color w:val="B2B93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56D0002"/>
    <w:multiLevelType w:val="hybridMultilevel"/>
    <w:tmpl w:val="A98A8006"/>
    <w:lvl w:ilvl="0" w:tplc="E87452DC">
      <w:start w:val="1"/>
      <w:numFmt w:val="decimal"/>
      <w:pStyle w:val="Numberedlist"/>
      <w:lvlText w:val="%1."/>
      <w:lvlJc w:val="left"/>
      <w:pPr>
        <w:ind w:left="1637" w:hanging="360"/>
      </w:pPr>
      <w:rPr>
        <w:rFonts w:hint="default"/>
        <w:b w:val="0"/>
        <w:color w:val="000000" w:themeColor="text1"/>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6A014D5"/>
    <w:multiLevelType w:val="multilevel"/>
    <w:tmpl w:val="12244E2E"/>
    <w:styleLink w:val="1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1F42D6A"/>
    <w:multiLevelType w:val="multilevel"/>
    <w:tmpl w:val="993071BA"/>
    <w:styleLink w:val="CurrentList8"/>
    <w:lvl w:ilvl="0">
      <w:start w:val="1"/>
      <w:numFmt w:val="bullet"/>
      <w:lvlText w:val=""/>
      <w:lvlJc w:val="left"/>
      <w:pPr>
        <w:ind w:left="720" w:hanging="360"/>
      </w:pPr>
      <w:rPr>
        <w:rFonts w:ascii="Symbol" w:hAnsi="Symbol" w:hint="default"/>
        <w:color w:val="B2B93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5040DF9"/>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BE26F7"/>
    <w:multiLevelType w:val="multilevel"/>
    <w:tmpl w:val="9300CBE6"/>
    <w:styleLink w:val="CurrentList12"/>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8FB35FA"/>
    <w:multiLevelType w:val="hybridMultilevel"/>
    <w:tmpl w:val="B8E8550A"/>
    <w:styleLink w:val="ListBullets1"/>
    <w:lvl w:ilvl="0" w:tplc="C78CFA88">
      <w:start w:val="1"/>
      <w:numFmt w:val="bullet"/>
      <w:lvlText w:val="●"/>
      <w:lvlJc w:val="left"/>
      <w:pPr>
        <w:ind w:left="340" w:hanging="340"/>
      </w:pPr>
      <w:rPr>
        <w:rFonts w:ascii="Arial" w:hAnsi="Arial" w:hint="default"/>
        <w:b w:val="0"/>
        <w:i w:val="0"/>
        <w:color w:val="B3B936"/>
        <w:sz w:val="20"/>
      </w:rPr>
    </w:lvl>
    <w:lvl w:ilvl="1" w:tplc="BDE6D27E">
      <w:start w:val="1"/>
      <w:numFmt w:val="bullet"/>
      <w:pStyle w:val="ListBullet2"/>
      <w:lvlText w:val="-"/>
      <w:lvlJc w:val="left"/>
      <w:pPr>
        <w:ind w:left="567" w:hanging="227"/>
      </w:pPr>
      <w:rPr>
        <w:rFonts w:ascii="Times New Roman" w:hAnsi="Times New Roman" w:cs="Times New Roman" w:hint="default"/>
        <w:b w:val="0"/>
        <w:i w:val="0"/>
        <w:color w:val="B3B936"/>
        <w:sz w:val="18"/>
      </w:rPr>
    </w:lvl>
    <w:lvl w:ilvl="2" w:tplc="AEA23054">
      <w:start w:val="1"/>
      <w:numFmt w:val="none"/>
      <w:lvlText w:val=""/>
      <w:lvlJc w:val="left"/>
      <w:pPr>
        <w:tabs>
          <w:tab w:val="num" w:pos="907"/>
        </w:tabs>
        <w:ind w:left="737" w:firstLine="0"/>
      </w:pPr>
      <w:rPr>
        <w:rFonts w:hint="default"/>
        <w:color w:val="auto"/>
        <w:sz w:val="20"/>
      </w:rPr>
    </w:lvl>
    <w:lvl w:ilvl="3" w:tplc="8A5C8868">
      <w:start w:val="1"/>
      <w:numFmt w:val="none"/>
      <w:lvlText w:val=""/>
      <w:lvlJc w:val="left"/>
      <w:pPr>
        <w:tabs>
          <w:tab w:val="num" w:pos="1355"/>
        </w:tabs>
        <w:ind w:left="1428" w:hanging="357"/>
      </w:pPr>
      <w:rPr>
        <w:rFonts w:hint="default"/>
      </w:rPr>
    </w:lvl>
    <w:lvl w:ilvl="4" w:tplc="70CCA704">
      <w:start w:val="1"/>
      <w:numFmt w:val="none"/>
      <w:lvlText w:val=""/>
      <w:lvlJc w:val="left"/>
      <w:pPr>
        <w:tabs>
          <w:tab w:val="num" w:pos="1712"/>
        </w:tabs>
        <w:ind w:left="1785" w:hanging="357"/>
      </w:pPr>
      <w:rPr>
        <w:rFonts w:hint="default"/>
      </w:rPr>
    </w:lvl>
    <w:lvl w:ilvl="5" w:tplc="F54027B6">
      <w:start w:val="1"/>
      <w:numFmt w:val="none"/>
      <w:lvlText w:val=""/>
      <w:lvlJc w:val="left"/>
      <w:pPr>
        <w:tabs>
          <w:tab w:val="num" w:pos="2069"/>
        </w:tabs>
        <w:ind w:left="2142" w:hanging="357"/>
      </w:pPr>
      <w:rPr>
        <w:rFonts w:hint="default"/>
      </w:rPr>
    </w:lvl>
    <w:lvl w:ilvl="6" w:tplc="B8307CAC">
      <w:start w:val="1"/>
      <w:numFmt w:val="none"/>
      <w:lvlText w:val=""/>
      <w:lvlJc w:val="left"/>
      <w:pPr>
        <w:tabs>
          <w:tab w:val="num" w:pos="2426"/>
        </w:tabs>
        <w:ind w:left="2499" w:hanging="357"/>
      </w:pPr>
      <w:rPr>
        <w:rFonts w:hint="default"/>
      </w:rPr>
    </w:lvl>
    <w:lvl w:ilvl="7" w:tplc="7220B4A0">
      <w:start w:val="1"/>
      <w:numFmt w:val="none"/>
      <w:lvlText w:val=""/>
      <w:lvlJc w:val="left"/>
      <w:pPr>
        <w:tabs>
          <w:tab w:val="num" w:pos="2783"/>
        </w:tabs>
        <w:ind w:left="2856" w:hanging="357"/>
      </w:pPr>
      <w:rPr>
        <w:rFonts w:hint="default"/>
      </w:rPr>
    </w:lvl>
    <w:lvl w:ilvl="8" w:tplc="F4481C4C">
      <w:start w:val="1"/>
      <w:numFmt w:val="none"/>
      <w:lvlText w:val=""/>
      <w:lvlJc w:val="left"/>
      <w:pPr>
        <w:tabs>
          <w:tab w:val="num" w:pos="3140"/>
        </w:tabs>
        <w:ind w:left="3213" w:hanging="357"/>
      </w:pPr>
      <w:rPr>
        <w:rFonts w:hint="default"/>
      </w:rPr>
    </w:lvl>
  </w:abstractNum>
  <w:abstractNum w:abstractNumId="23" w15:restartNumberingAfterBreak="0">
    <w:nsid w:val="3CF12F96"/>
    <w:multiLevelType w:val="multilevel"/>
    <w:tmpl w:val="C6FAE8AE"/>
    <w:styleLink w:val="CurrentList15"/>
    <w:lvl w:ilvl="0">
      <w:start w:val="1"/>
      <w:numFmt w:val="decimal"/>
      <w:lvlText w:val="%1."/>
      <w:lvlJc w:val="left"/>
      <w:pPr>
        <w:ind w:left="1637" w:hanging="360"/>
      </w:pPr>
      <w:rPr>
        <w:rFonts w:hint="default"/>
        <w:b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2AE548E"/>
    <w:multiLevelType w:val="multilevel"/>
    <w:tmpl w:val="E10410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CB75C4"/>
    <w:multiLevelType w:val="multilevel"/>
    <w:tmpl w:val="7742BDC6"/>
    <w:styleLink w:val="CurrentList3"/>
    <w:lvl w:ilvl="0">
      <w:start w:val="1"/>
      <w:numFmt w:val="decimal"/>
      <w:lvlText w:val="%1."/>
      <w:lvlJc w:val="left"/>
      <w:pPr>
        <w:ind w:left="720" w:hanging="360"/>
      </w:pPr>
      <w:rPr>
        <w:rFonts w:hint="default"/>
        <w:color w:val="B2B93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931069"/>
    <w:multiLevelType w:val="multilevel"/>
    <w:tmpl w:val="710A2CAA"/>
    <w:styleLink w:val="CurrentList16"/>
    <w:lvl w:ilvl="0">
      <w:start w:val="1"/>
      <w:numFmt w:val="decimal"/>
      <w:lvlText w:val="%1."/>
      <w:lvlJc w:val="left"/>
      <w:pPr>
        <w:ind w:left="1637" w:hanging="360"/>
      </w:pPr>
      <w:rPr>
        <w:rFonts w:hint="default"/>
        <w:b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2B24BC9"/>
    <w:multiLevelType w:val="multilevel"/>
    <w:tmpl w:val="E10410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8353E5F"/>
    <w:multiLevelType w:val="multilevel"/>
    <w:tmpl w:val="120A7406"/>
    <w:styleLink w:val="CurrentList7"/>
    <w:lvl w:ilvl="0">
      <w:start w:val="1"/>
      <w:numFmt w:val="decimal"/>
      <w:lvlText w:val="%1."/>
      <w:lvlJc w:val="left"/>
      <w:pPr>
        <w:ind w:left="720" w:hanging="360"/>
      </w:pPr>
      <w:rPr>
        <w:rFonts w:hint="default"/>
        <w:color w:val="B2B93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9096537"/>
    <w:multiLevelType w:val="multilevel"/>
    <w:tmpl w:val="DCB48C80"/>
    <w:styleLink w:val="CurrentList13"/>
    <w:lvl w:ilvl="0">
      <w:start w:val="1"/>
      <w:numFmt w:val="decimal"/>
      <w:lvlText w:val="%1."/>
      <w:lvlJc w:val="left"/>
      <w:pPr>
        <w:ind w:left="1637"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4324C6"/>
    <w:multiLevelType w:val="multilevel"/>
    <w:tmpl w:val="595EE8DC"/>
    <w:styleLink w:val="CurrentList1"/>
    <w:lvl w:ilvl="0">
      <w:start w:val="1"/>
      <w:numFmt w:val="decimal"/>
      <w:lvlText w:val="%1."/>
      <w:lvlJc w:val="left"/>
      <w:pPr>
        <w:ind w:left="720" w:hanging="360"/>
      </w:pPr>
      <w:rPr>
        <w:rFonts w:hint="default"/>
        <w:color w:val="B2B93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05B5A53"/>
    <w:multiLevelType w:val="multilevel"/>
    <w:tmpl w:val="8B3C1C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60E1502C"/>
    <w:multiLevelType w:val="hybridMultilevel"/>
    <w:tmpl w:val="D3D05450"/>
    <w:styleLink w:val="Bullets"/>
    <w:lvl w:ilvl="0" w:tplc="E55CB13A">
      <w:start w:val="1"/>
      <w:numFmt w:val="bullet"/>
      <w:lvlText w:val=""/>
      <w:lvlJc w:val="left"/>
      <w:pPr>
        <w:ind w:left="284" w:hanging="284"/>
      </w:pPr>
      <w:rPr>
        <w:rFonts w:ascii="Symbol" w:hAnsi="Symbol" w:hint="default"/>
        <w:color w:val="000000" w:themeColor="text2"/>
      </w:rPr>
    </w:lvl>
    <w:lvl w:ilvl="1" w:tplc="75BAF404">
      <w:start w:val="1"/>
      <w:numFmt w:val="bullet"/>
      <w:lvlText w:val="–"/>
      <w:lvlJc w:val="left"/>
      <w:pPr>
        <w:ind w:left="567" w:hanging="283"/>
      </w:pPr>
      <w:rPr>
        <w:rFonts w:ascii="Calibri" w:hAnsi="Calibri" w:cs="Calibri" w:hint="default"/>
        <w:color w:val="auto"/>
      </w:rPr>
    </w:lvl>
    <w:lvl w:ilvl="2" w:tplc="F4EA423E">
      <w:start w:val="1"/>
      <w:numFmt w:val="bullet"/>
      <w:lvlText w:val="–"/>
      <w:lvlJc w:val="left"/>
      <w:pPr>
        <w:ind w:left="851" w:hanging="284"/>
      </w:pPr>
      <w:rPr>
        <w:rFonts w:ascii="Calibri" w:hAnsi="Calibri" w:cs="Calibri" w:hint="default"/>
        <w:color w:val="auto"/>
      </w:rPr>
    </w:lvl>
    <w:lvl w:ilvl="3" w:tplc="973437A0">
      <w:start w:val="1"/>
      <w:numFmt w:val="bullet"/>
      <w:lvlText w:val="–"/>
      <w:lvlJc w:val="left"/>
      <w:pPr>
        <w:tabs>
          <w:tab w:val="num" w:pos="851"/>
        </w:tabs>
        <w:ind w:left="1134" w:hanging="283"/>
      </w:pPr>
      <w:rPr>
        <w:rFonts w:ascii="Calibri" w:hAnsi="Calibri" w:cs="Times New Roman" w:hint="default"/>
        <w:color w:val="auto"/>
      </w:rPr>
    </w:lvl>
    <w:lvl w:ilvl="4" w:tplc="5A12D304">
      <w:start w:val="1"/>
      <w:numFmt w:val="bullet"/>
      <w:lvlText w:val="–"/>
      <w:lvlJc w:val="left"/>
      <w:pPr>
        <w:ind w:left="1418" w:hanging="284"/>
      </w:pPr>
      <w:rPr>
        <w:rFonts w:ascii="Calibri" w:hAnsi="Calibri" w:cs="Times New Roman" w:hint="default"/>
        <w:color w:val="auto"/>
      </w:rPr>
    </w:lvl>
    <w:lvl w:ilvl="5" w:tplc="FED86B8A">
      <w:start w:val="1"/>
      <w:numFmt w:val="bullet"/>
      <w:lvlText w:val="–"/>
      <w:lvlJc w:val="left"/>
      <w:pPr>
        <w:ind w:left="1701" w:hanging="283"/>
      </w:pPr>
      <w:rPr>
        <w:rFonts w:ascii="Arial" w:hAnsi="Arial" w:cs="Times New Roman" w:hint="default"/>
      </w:rPr>
    </w:lvl>
    <w:lvl w:ilvl="6" w:tplc="F24878F8">
      <w:start w:val="1"/>
      <w:numFmt w:val="bullet"/>
      <w:lvlText w:val="–"/>
      <w:lvlJc w:val="left"/>
      <w:pPr>
        <w:ind w:left="1985" w:hanging="284"/>
      </w:pPr>
      <w:rPr>
        <w:rFonts w:ascii="Arial" w:hAnsi="Arial" w:cs="Times New Roman" w:hint="default"/>
      </w:rPr>
    </w:lvl>
    <w:lvl w:ilvl="7" w:tplc="6818E0D4">
      <w:start w:val="1"/>
      <w:numFmt w:val="bullet"/>
      <w:lvlText w:val="–"/>
      <w:lvlJc w:val="left"/>
      <w:pPr>
        <w:ind w:left="2268" w:hanging="283"/>
      </w:pPr>
      <w:rPr>
        <w:rFonts w:ascii="Arial" w:hAnsi="Arial" w:cs="Times New Roman" w:hint="default"/>
      </w:rPr>
    </w:lvl>
    <w:lvl w:ilvl="8" w:tplc="A9223070">
      <w:start w:val="1"/>
      <w:numFmt w:val="bullet"/>
      <w:lvlText w:val="–"/>
      <w:lvlJc w:val="left"/>
      <w:pPr>
        <w:ind w:left="2552" w:hanging="284"/>
      </w:pPr>
      <w:rPr>
        <w:rFonts w:ascii="Arial" w:hAnsi="Arial" w:cs="Times New Roman" w:hint="default"/>
      </w:rPr>
    </w:lvl>
  </w:abstractNum>
  <w:abstractNum w:abstractNumId="33" w15:restartNumberingAfterBreak="0">
    <w:nsid w:val="62732B14"/>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7D06CE4"/>
    <w:multiLevelType w:val="multilevel"/>
    <w:tmpl w:val="0809001D"/>
    <w:styleLink w:val="Style1"/>
    <w:lvl w:ilvl="0">
      <w:start w:val="1"/>
      <w:numFmt w:val="lowerLetter"/>
      <w:pStyle w:val="TableAlphaList"/>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8C05F1F"/>
    <w:multiLevelType w:val="multilevel"/>
    <w:tmpl w:val="A17CAD6A"/>
    <w:styleLink w:val="CurrentList14"/>
    <w:lvl w:ilvl="0">
      <w:start w:val="1"/>
      <w:numFmt w:val="decimal"/>
      <w:lvlText w:val="%1."/>
      <w:lvlJc w:val="left"/>
      <w:pPr>
        <w:ind w:left="1637"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FF72615"/>
    <w:multiLevelType w:val="multilevel"/>
    <w:tmpl w:val="000E89D0"/>
    <w:styleLink w:val="CurrentList2"/>
    <w:lvl w:ilvl="0">
      <w:start w:val="1"/>
      <w:numFmt w:val="decimal"/>
      <w:lvlText w:val="%1."/>
      <w:lvlJc w:val="left"/>
      <w:pPr>
        <w:ind w:left="720" w:hanging="360"/>
      </w:pPr>
      <w:rPr>
        <w:rFonts w:hint="default"/>
        <w:color w:val="B2B93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1138DB"/>
    <w:multiLevelType w:val="hybridMultilevel"/>
    <w:tmpl w:val="878A2900"/>
    <w:styleLink w:val="TableBulletList1"/>
    <w:lvl w:ilvl="0" w:tplc="1F50BCE2">
      <w:start w:val="1"/>
      <w:numFmt w:val="bullet"/>
      <w:lvlText w:val=""/>
      <w:lvlJc w:val="left"/>
      <w:pPr>
        <w:ind w:left="357" w:hanging="357"/>
      </w:pPr>
      <w:rPr>
        <w:rFonts w:ascii="Wingdings" w:hAnsi="Wingdings" w:hint="default"/>
        <w:color w:val="002D62" w:themeColor="accent1"/>
      </w:rPr>
    </w:lvl>
    <w:lvl w:ilvl="1" w:tplc="D2268584">
      <w:start w:val="1"/>
      <w:numFmt w:val="bullet"/>
      <w:lvlText w:val="o"/>
      <w:lvlJc w:val="left"/>
      <w:pPr>
        <w:ind w:left="357" w:firstLine="0"/>
      </w:pPr>
      <w:rPr>
        <w:rFonts w:ascii="Courier New" w:hAnsi="Courier New" w:hint="default"/>
        <w:color w:val="002D62" w:themeColor="accent1"/>
      </w:rPr>
    </w:lvl>
    <w:lvl w:ilvl="2" w:tplc="BF769352">
      <w:start w:val="1"/>
      <w:numFmt w:val="bullet"/>
      <w:lvlText w:val="–"/>
      <w:lvlJc w:val="left"/>
      <w:pPr>
        <w:ind w:left="357" w:firstLine="357"/>
      </w:pPr>
      <w:rPr>
        <w:rFonts w:ascii="Arial" w:hAnsi="Arial" w:hint="default"/>
        <w:color w:val="002D62" w:themeColor="accent1"/>
      </w:rPr>
    </w:lvl>
    <w:lvl w:ilvl="3" w:tplc="53FC7B78">
      <w:start w:val="1"/>
      <w:numFmt w:val="decimal"/>
      <w:lvlText w:val="(%4)"/>
      <w:lvlJc w:val="left"/>
      <w:pPr>
        <w:ind w:left="1428" w:firstLine="0"/>
      </w:pPr>
      <w:rPr>
        <w:rFonts w:hint="default"/>
      </w:rPr>
    </w:lvl>
    <w:lvl w:ilvl="4" w:tplc="12442E58">
      <w:start w:val="1"/>
      <w:numFmt w:val="lowerLetter"/>
      <w:lvlText w:val="(%5)"/>
      <w:lvlJc w:val="left"/>
      <w:pPr>
        <w:ind w:left="1785" w:firstLine="0"/>
      </w:pPr>
      <w:rPr>
        <w:rFonts w:hint="default"/>
      </w:rPr>
    </w:lvl>
    <w:lvl w:ilvl="5" w:tplc="3BC44FD8">
      <w:start w:val="1"/>
      <w:numFmt w:val="lowerRoman"/>
      <w:lvlText w:val="(%6)"/>
      <w:lvlJc w:val="left"/>
      <w:pPr>
        <w:ind w:left="2142" w:firstLine="0"/>
      </w:pPr>
      <w:rPr>
        <w:rFonts w:hint="default"/>
      </w:rPr>
    </w:lvl>
    <w:lvl w:ilvl="6" w:tplc="8E92EFA4">
      <w:start w:val="1"/>
      <w:numFmt w:val="decimal"/>
      <w:lvlText w:val="%7."/>
      <w:lvlJc w:val="left"/>
      <w:pPr>
        <w:ind w:left="2499" w:firstLine="0"/>
      </w:pPr>
      <w:rPr>
        <w:rFonts w:hint="default"/>
      </w:rPr>
    </w:lvl>
    <w:lvl w:ilvl="7" w:tplc="07CEDBD6">
      <w:start w:val="1"/>
      <w:numFmt w:val="lowerLetter"/>
      <w:lvlText w:val="%8."/>
      <w:lvlJc w:val="left"/>
      <w:pPr>
        <w:ind w:left="2856" w:firstLine="0"/>
      </w:pPr>
      <w:rPr>
        <w:rFonts w:hint="default"/>
      </w:rPr>
    </w:lvl>
    <w:lvl w:ilvl="8" w:tplc="3A00A254">
      <w:start w:val="1"/>
      <w:numFmt w:val="lowerRoman"/>
      <w:lvlText w:val="%9."/>
      <w:lvlJc w:val="left"/>
      <w:pPr>
        <w:ind w:left="3213" w:firstLine="0"/>
      </w:pPr>
      <w:rPr>
        <w:rFonts w:hint="default"/>
      </w:rPr>
    </w:lvl>
  </w:abstractNum>
  <w:abstractNum w:abstractNumId="38" w15:restartNumberingAfterBreak="0">
    <w:nsid w:val="77430478"/>
    <w:multiLevelType w:val="multilevel"/>
    <w:tmpl w:val="59AE00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7CC0EF2"/>
    <w:multiLevelType w:val="multilevel"/>
    <w:tmpl w:val="0809001D"/>
    <w:numStyleLink w:val="Style1"/>
  </w:abstractNum>
  <w:abstractNum w:abstractNumId="40" w15:restartNumberingAfterBreak="0">
    <w:nsid w:val="7C4A0103"/>
    <w:multiLevelType w:val="multilevel"/>
    <w:tmpl w:val="CED455F0"/>
    <w:lvl w:ilvl="0">
      <w:start w:val="1"/>
      <w:numFmt w:val="decimal"/>
      <w:lvlText w:val="%1."/>
      <w:lvlJc w:val="left"/>
      <w:pPr>
        <w:ind w:left="360" w:hanging="360"/>
      </w:pPr>
      <w:rPr>
        <w:rFonts w:hint="default"/>
      </w:rPr>
    </w:lvl>
    <w:lvl w:ilvl="1">
      <w:start w:val="1"/>
      <w:numFmt w:val="decimal"/>
      <w:pStyle w:val="HEADINGLVL2"/>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abstractNumId w:val="3"/>
  </w:num>
  <w:num w:numId="2">
    <w:abstractNumId w:val="2"/>
  </w:num>
  <w:num w:numId="3">
    <w:abstractNumId w:val="1"/>
  </w:num>
  <w:num w:numId="4">
    <w:abstractNumId w:val="0"/>
  </w:num>
  <w:num w:numId="5">
    <w:abstractNumId w:val="7"/>
  </w:num>
  <w:num w:numId="6">
    <w:abstractNumId w:val="18"/>
  </w:num>
  <w:num w:numId="7">
    <w:abstractNumId w:val="8"/>
  </w:num>
  <w:num w:numId="8">
    <w:abstractNumId w:val="11"/>
  </w:num>
  <w:num w:numId="9">
    <w:abstractNumId w:val="14"/>
  </w:num>
  <w:num w:numId="10">
    <w:abstractNumId w:val="22"/>
  </w:num>
  <w:num w:numId="11">
    <w:abstractNumId w:val="9"/>
  </w:num>
  <w:num w:numId="12">
    <w:abstractNumId w:val="13"/>
  </w:num>
  <w:num w:numId="13">
    <w:abstractNumId w:val="31"/>
  </w:num>
  <w:num w:numId="14">
    <w:abstractNumId w:val="12"/>
  </w:num>
  <w:num w:numId="15">
    <w:abstractNumId w:val="37"/>
  </w:num>
  <w:num w:numId="16">
    <w:abstractNumId w:val="32"/>
  </w:num>
  <w:num w:numId="17">
    <w:abstractNumId w:val="40"/>
  </w:num>
  <w:num w:numId="18">
    <w:abstractNumId w:val="38"/>
  </w:num>
  <w:num w:numId="19">
    <w:abstractNumId w:val="24"/>
  </w:num>
  <w:num w:numId="20">
    <w:abstractNumId w:val="27"/>
  </w:num>
  <w:num w:numId="21">
    <w:abstractNumId w:val="30"/>
  </w:num>
  <w:num w:numId="22">
    <w:abstractNumId w:val="36"/>
  </w:num>
  <w:num w:numId="23">
    <w:abstractNumId w:val="25"/>
  </w:num>
  <w:num w:numId="24">
    <w:abstractNumId w:val="4"/>
  </w:num>
  <w:num w:numId="25">
    <w:abstractNumId w:val="5"/>
  </w:num>
  <w:num w:numId="26">
    <w:abstractNumId w:val="16"/>
  </w:num>
  <w:num w:numId="27">
    <w:abstractNumId w:val="17"/>
  </w:num>
  <w:num w:numId="28">
    <w:abstractNumId w:val="28"/>
  </w:num>
  <w:num w:numId="29">
    <w:abstractNumId w:val="17"/>
    <w:lvlOverride w:ilvl="0">
      <w:startOverride w:val="1"/>
    </w:lvlOverride>
  </w:num>
  <w:num w:numId="30">
    <w:abstractNumId w:val="19"/>
  </w:num>
  <w:num w:numId="31">
    <w:abstractNumId w:val="10"/>
  </w:num>
  <w:num w:numId="32">
    <w:abstractNumId w:val="15"/>
  </w:num>
  <w:num w:numId="33">
    <w:abstractNumId w:val="33"/>
  </w:num>
  <w:num w:numId="34">
    <w:abstractNumId w:val="20"/>
  </w:num>
  <w:num w:numId="35">
    <w:abstractNumId w:val="21"/>
  </w:num>
  <w:num w:numId="36">
    <w:abstractNumId w:val="6"/>
  </w:num>
  <w:num w:numId="37">
    <w:abstractNumId w:val="17"/>
    <w:lvlOverride w:ilvl="0">
      <w:startOverride w:val="1"/>
    </w:lvlOverride>
  </w:num>
  <w:num w:numId="38">
    <w:abstractNumId w:val="17"/>
    <w:lvlOverride w:ilvl="0">
      <w:startOverride w:val="1"/>
    </w:lvlOverride>
  </w:num>
  <w:num w:numId="39">
    <w:abstractNumId w:val="29"/>
  </w:num>
  <w:num w:numId="40">
    <w:abstractNumId w:val="17"/>
    <w:lvlOverride w:ilvl="0">
      <w:startOverride w:val="1"/>
    </w:lvlOverride>
  </w:num>
  <w:num w:numId="41">
    <w:abstractNumId w:val="35"/>
  </w:num>
  <w:num w:numId="42">
    <w:abstractNumId w:val="23"/>
  </w:num>
  <w:num w:numId="43">
    <w:abstractNumId w:val="26"/>
  </w:num>
  <w:num w:numId="44">
    <w:abstractNumId w:val="17"/>
    <w:lvlOverride w:ilvl="0">
      <w:startOverride w:val="1"/>
    </w:lvlOverride>
  </w:num>
  <w:num w:numId="45">
    <w:abstractNumId w:val="17"/>
    <w:lvlOverride w:ilvl="0">
      <w:startOverride w:val="1"/>
    </w:lvlOverride>
  </w:num>
  <w:num w:numId="46">
    <w:abstractNumId w:val="34"/>
  </w:num>
  <w:num w:numId="47">
    <w:abstractNumId w:val="39"/>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lvlOverride w:ilvl="0">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EDB"/>
    <w:rsid w:val="0000025A"/>
    <w:rsid w:val="000004BF"/>
    <w:rsid w:val="00000718"/>
    <w:rsid w:val="00000807"/>
    <w:rsid w:val="00000BA9"/>
    <w:rsid w:val="00000F53"/>
    <w:rsid w:val="00000FD1"/>
    <w:rsid w:val="00001121"/>
    <w:rsid w:val="00001330"/>
    <w:rsid w:val="000013C4"/>
    <w:rsid w:val="00001679"/>
    <w:rsid w:val="000016EB"/>
    <w:rsid w:val="0000178D"/>
    <w:rsid w:val="00001853"/>
    <w:rsid w:val="0000185A"/>
    <w:rsid w:val="000018A1"/>
    <w:rsid w:val="000019D4"/>
    <w:rsid w:val="00001A76"/>
    <w:rsid w:val="00001CE2"/>
    <w:rsid w:val="00001D5A"/>
    <w:rsid w:val="00001DA3"/>
    <w:rsid w:val="00001F88"/>
    <w:rsid w:val="000020C5"/>
    <w:rsid w:val="000020E3"/>
    <w:rsid w:val="000022A4"/>
    <w:rsid w:val="00002407"/>
    <w:rsid w:val="000024F3"/>
    <w:rsid w:val="000025A3"/>
    <w:rsid w:val="000025C0"/>
    <w:rsid w:val="00002665"/>
    <w:rsid w:val="000027AE"/>
    <w:rsid w:val="000028B4"/>
    <w:rsid w:val="00002B72"/>
    <w:rsid w:val="00002D6C"/>
    <w:rsid w:val="00002E39"/>
    <w:rsid w:val="00002FC4"/>
    <w:rsid w:val="00003105"/>
    <w:rsid w:val="00003162"/>
    <w:rsid w:val="0000346F"/>
    <w:rsid w:val="00003753"/>
    <w:rsid w:val="00003798"/>
    <w:rsid w:val="000038E4"/>
    <w:rsid w:val="000039EB"/>
    <w:rsid w:val="00003C29"/>
    <w:rsid w:val="00003CBF"/>
    <w:rsid w:val="00003DAD"/>
    <w:rsid w:val="00003DB4"/>
    <w:rsid w:val="00003DC7"/>
    <w:rsid w:val="00003DDB"/>
    <w:rsid w:val="00003ED0"/>
    <w:rsid w:val="00003F16"/>
    <w:rsid w:val="00003F76"/>
    <w:rsid w:val="00004309"/>
    <w:rsid w:val="00004381"/>
    <w:rsid w:val="000043C7"/>
    <w:rsid w:val="000045C0"/>
    <w:rsid w:val="000047ED"/>
    <w:rsid w:val="0000488C"/>
    <w:rsid w:val="00004926"/>
    <w:rsid w:val="00004991"/>
    <w:rsid w:val="000049AB"/>
    <w:rsid w:val="00004A23"/>
    <w:rsid w:val="00004BC4"/>
    <w:rsid w:val="00004D06"/>
    <w:rsid w:val="00004D47"/>
    <w:rsid w:val="00004DA3"/>
    <w:rsid w:val="00004DAA"/>
    <w:rsid w:val="00004DFF"/>
    <w:rsid w:val="00004F05"/>
    <w:rsid w:val="0000519C"/>
    <w:rsid w:val="0000541A"/>
    <w:rsid w:val="00005780"/>
    <w:rsid w:val="00005821"/>
    <w:rsid w:val="00005C4B"/>
    <w:rsid w:val="00005C6C"/>
    <w:rsid w:val="00005DAC"/>
    <w:rsid w:val="00005DC7"/>
    <w:rsid w:val="00005F4B"/>
    <w:rsid w:val="0000600D"/>
    <w:rsid w:val="00006036"/>
    <w:rsid w:val="0000605D"/>
    <w:rsid w:val="0000630E"/>
    <w:rsid w:val="000063F4"/>
    <w:rsid w:val="00006625"/>
    <w:rsid w:val="00006715"/>
    <w:rsid w:val="000068FA"/>
    <w:rsid w:val="00006AA0"/>
    <w:rsid w:val="00006BDE"/>
    <w:rsid w:val="00006C28"/>
    <w:rsid w:val="00006D51"/>
    <w:rsid w:val="00006D9C"/>
    <w:rsid w:val="00006DE7"/>
    <w:rsid w:val="00006F57"/>
    <w:rsid w:val="00007063"/>
    <w:rsid w:val="0000736D"/>
    <w:rsid w:val="000074C2"/>
    <w:rsid w:val="0000778A"/>
    <w:rsid w:val="0000799B"/>
    <w:rsid w:val="00007D2B"/>
    <w:rsid w:val="00010335"/>
    <w:rsid w:val="00010753"/>
    <w:rsid w:val="000108C5"/>
    <w:rsid w:val="000109C3"/>
    <w:rsid w:val="00010A7E"/>
    <w:rsid w:val="00010A90"/>
    <w:rsid w:val="00010C11"/>
    <w:rsid w:val="00010CAD"/>
    <w:rsid w:val="00010D9A"/>
    <w:rsid w:val="000110B8"/>
    <w:rsid w:val="00011374"/>
    <w:rsid w:val="000114A7"/>
    <w:rsid w:val="00011562"/>
    <w:rsid w:val="00011657"/>
    <w:rsid w:val="000116AC"/>
    <w:rsid w:val="00011954"/>
    <w:rsid w:val="00011B12"/>
    <w:rsid w:val="00011BA7"/>
    <w:rsid w:val="00011BAA"/>
    <w:rsid w:val="00011BAE"/>
    <w:rsid w:val="00011D67"/>
    <w:rsid w:val="00011DA6"/>
    <w:rsid w:val="00011F8F"/>
    <w:rsid w:val="00011F9F"/>
    <w:rsid w:val="00011FF3"/>
    <w:rsid w:val="00011FF7"/>
    <w:rsid w:val="00011FF9"/>
    <w:rsid w:val="000120DA"/>
    <w:rsid w:val="0001220E"/>
    <w:rsid w:val="00012334"/>
    <w:rsid w:val="00012340"/>
    <w:rsid w:val="0001238D"/>
    <w:rsid w:val="00012444"/>
    <w:rsid w:val="00012524"/>
    <w:rsid w:val="0001288C"/>
    <w:rsid w:val="00012E55"/>
    <w:rsid w:val="00012E88"/>
    <w:rsid w:val="000130D2"/>
    <w:rsid w:val="000131CA"/>
    <w:rsid w:val="000132CD"/>
    <w:rsid w:val="0001330A"/>
    <w:rsid w:val="00013386"/>
    <w:rsid w:val="00013680"/>
    <w:rsid w:val="000137CF"/>
    <w:rsid w:val="000137DE"/>
    <w:rsid w:val="000139D3"/>
    <w:rsid w:val="000139EE"/>
    <w:rsid w:val="00013A12"/>
    <w:rsid w:val="00013A52"/>
    <w:rsid w:val="00013A9C"/>
    <w:rsid w:val="00013F2F"/>
    <w:rsid w:val="0001409F"/>
    <w:rsid w:val="0001416E"/>
    <w:rsid w:val="000141A0"/>
    <w:rsid w:val="00014217"/>
    <w:rsid w:val="00014647"/>
    <w:rsid w:val="0001474E"/>
    <w:rsid w:val="000147CA"/>
    <w:rsid w:val="00014872"/>
    <w:rsid w:val="00014988"/>
    <w:rsid w:val="00014B67"/>
    <w:rsid w:val="00014F25"/>
    <w:rsid w:val="00014FF2"/>
    <w:rsid w:val="00015187"/>
    <w:rsid w:val="000151EC"/>
    <w:rsid w:val="000152C2"/>
    <w:rsid w:val="00015300"/>
    <w:rsid w:val="000153D4"/>
    <w:rsid w:val="000154BF"/>
    <w:rsid w:val="0001558C"/>
    <w:rsid w:val="00015635"/>
    <w:rsid w:val="000156BB"/>
    <w:rsid w:val="00015B42"/>
    <w:rsid w:val="00015B5F"/>
    <w:rsid w:val="00015D8F"/>
    <w:rsid w:val="00015F5D"/>
    <w:rsid w:val="00016096"/>
    <w:rsid w:val="00016131"/>
    <w:rsid w:val="00016172"/>
    <w:rsid w:val="000163BC"/>
    <w:rsid w:val="0001652B"/>
    <w:rsid w:val="0001654D"/>
    <w:rsid w:val="0001658D"/>
    <w:rsid w:val="000166F4"/>
    <w:rsid w:val="00016749"/>
    <w:rsid w:val="00016845"/>
    <w:rsid w:val="00016A84"/>
    <w:rsid w:val="00016AA7"/>
    <w:rsid w:val="00016AE5"/>
    <w:rsid w:val="00016BAB"/>
    <w:rsid w:val="00016C6C"/>
    <w:rsid w:val="00016E54"/>
    <w:rsid w:val="00016EE8"/>
    <w:rsid w:val="0001703E"/>
    <w:rsid w:val="00017290"/>
    <w:rsid w:val="000175E7"/>
    <w:rsid w:val="00017665"/>
    <w:rsid w:val="00017798"/>
    <w:rsid w:val="00017899"/>
    <w:rsid w:val="00017A6E"/>
    <w:rsid w:val="00017AE0"/>
    <w:rsid w:val="00017BDF"/>
    <w:rsid w:val="00017F05"/>
    <w:rsid w:val="00017F83"/>
    <w:rsid w:val="00020178"/>
    <w:rsid w:val="0002023D"/>
    <w:rsid w:val="000202A4"/>
    <w:rsid w:val="00020515"/>
    <w:rsid w:val="00020736"/>
    <w:rsid w:val="00020830"/>
    <w:rsid w:val="000209F3"/>
    <w:rsid w:val="00020D40"/>
    <w:rsid w:val="00020FC9"/>
    <w:rsid w:val="000210A4"/>
    <w:rsid w:val="000212BA"/>
    <w:rsid w:val="00021361"/>
    <w:rsid w:val="000213AF"/>
    <w:rsid w:val="00021475"/>
    <w:rsid w:val="0002147E"/>
    <w:rsid w:val="000214AC"/>
    <w:rsid w:val="000215FE"/>
    <w:rsid w:val="00021610"/>
    <w:rsid w:val="000216F6"/>
    <w:rsid w:val="0002179B"/>
    <w:rsid w:val="00021818"/>
    <w:rsid w:val="00021A9D"/>
    <w:rsid w:val="00021DFE"/>
    <w:rsid w:val="00021E89"/>
    <w:rsid w:val="00021F9C"/>
    <w:rsid w:val="00022439"/>
    <w:rsid w:val="000227BC"/>
    <w:rsid w:val="00022836"/>
    <w:rsid w:val="0002298C"/>
    <w:rsid w:val="00022A9D"/>
    <w:rsid w:val="00022B59"/>
    <w:rsid w:val="00022B65"/>
    <w:rsid w:val="00022B7E"/>
    <w:rsid w:val="000230F2"/>
    <w:rsid w:val="00023285"/>
    <w:rsid w:val="00023327"/>
    <w:rsid w:val="00023593"/>
    <w:rsid w:val="000237C3"/>
    <w:rsid w:val="00023970"/>
    <w:rsid w:val="00023A5B"/>
    <w:rsid w:val="00023C2E"/>
    <w:rsid w:val="00023CC8"/>
    <w:rsid w:val="00023D25"/>
    <w:rsid w:val="00023E2F"/>
    <w:rsid w:val="00023EB4"/>
    <w:rsid w:val="000241B4"/>
    <w:rsid w:val="000248A6"/>
    <w:rsid w:val="000248CC"/>
    <w:rsid w:val="000248CD"/>
    <w:rsid w:val="0002491F"/>
    <w:rsid w:val="0002498A"/>
    <w:rsid w:val="00024A02"/>
    <w:rsid w:val="00024AEB"/>
    <w:rsid w:val="00024D3A"/>
    <w:rsid w:val="00024F1C"/>
    <w:rsid w:val="000250A4"/>
    <w:rsid w:val="000250AA"/>
    <w:rsid w:val="00025124"/>
    <w:rsid w:val="000252E9"/>
    <w:rsid w:val="00025308"/>
    <w:rsid w:val="000253D3"/>
    <w:rsid w:val="00025536"/>
    <w:rsid w:val="00025663"/>
    <w:rsid w:val="000256A5"/>
    <w:rsid w:val="000258A5"/>
    <w:rsid w:val="00025A90"/>
    <w:rsid w:val="00025B21"/>
    <w:rsid w:val="00025CB6"/>
    <w:rsid w:val="00025DA0"/>
    <w:rsid w:val="00025DC5"/>
    <w:rsid w:val="00025EB8"/>
    <w:rsid w:val="00025FA0"/>
    <w:rsid w:val="000260E7"/>
    <w:rsid w:val="000260EF"/>
    <w:rsid w:val="0002622E"/>
    <w:rsid w:val="0002622F"/>
    <w:rsid w:val="000262A8"/>
    <w:rsid w:val="00026335"/>
    <w:rsid w:val="00026410"/>
    <w:rsid w:val="0002652B"/>
    <w:rsid w:val="00026629"/>
    <w:rsid w:val="0002669F"/>
    <w:rsid w:val="00026766"/>
    <w:rsid w:val="000269A0"/>
    <w:rsid w:val="000269C0"/>
    <w:rsid w:val="00026AB8"/>
    <w:rsid w:val="00026AF5"/>
    <w:rsid w:val="00026CDF"/>
    <w:rsid w:val="00026DE3"/>
    <w:rsid w:val="00026F03"/>
    <w:rsid w:val="000270A4"/>
    <w:rsid w:val="000270AE"/>
    <w:rsid w:val="000277C2"/>
    <w:rsid w:val="00027A3D"/>
    <w:rsid w:val="00027B76"/>
    <w:rsid w:val="00027E76"/>
    <w:rsid w:val="00030019"/>
    <w:rsid w:val="00030136"/>
    <w:rsid w:val="0003029C"/>
    <w:rsid w:val="0003030A"/>
    <w:rsid w:val="00030354"/>
    <w:rsid w:val="0003037B"/>
    <w:rsid w:val="00030675"/>
    <w:rsid w:val="00030806"/>
    <w:rsid w:val="000308E7"/>
    <w:rsid w:val="00030A1E"/>
    <w:rsid w:val="00030B7A"/>
    <w:rsid w:val="00030B80"/>
    <w:rsid w:val="00030E6D"/>
    <w:rsid w:val="00030EE5"/>
    <w:rsid w:val="00030F38"/>
    <w:rsid w:val="000310AB"/>
    <w:rsid w:val="000313A0"/>
    <w:rsid w:val="00031420"/>
    <w:rsid w:val="00031495"/>
    <w:rsid w:val="000316BD"/>
    <w:rsid w:val="000317D5"/>
    <w:rsid w:val="000317F0"/>
    <w:rsid w:val="000318B7"/>
    <w:rsid w:val="00031929"/>
    <w:rsid w:val="00031960"/>
    <w:rsid w:val="00031B29"/>
    <w:rsid w:val="00031D17"/>
    <w:rsid w:val="00031D8E"/>
    <w:rsid w:val="00031DCB"/>
    <w:rsid w:val="00031E82"/>
    <w:rsid w:val="000320EA"/>
    <w:rsid w:val="000321D5"/>
    <w:rsid w:val="00032259"/>
    <w:rsid w:val="0003230D"/>
    <w:rsid w:val="00032A50"/>
    <w:rsid w:val="00032DD3"/>
    <w:rsid w:val="00033032"/>
    <w:rsid w:val="000332DC"/>
    <w:rsid w:val="00033380"/>
    <w:rsid w:val="00033668"/>
    <w:rsid w:val="00033845"/>
    <w:rsid w:val="0003391B"/>
    <w:rsid w:val="0003393A"/>
    <w:rsid w:val="00033A15"/>
    <w:rsid w:val="00033AB9"/>
    <w:rsid w:val="00033BC9"/>
    <w:rsid w:val="00033BDB"/>
    <w:rsid w:val="00033C6B"/>
    <w:rsid w:val="00033C7C"/>
    <w:rsid w:val="00033CAC"/>
    <w:rsid w:val="00033CBC"/>
    <w:rsid w:val="00033F70"/>
    <w:rsid w:val="00033F72"/>
    <w:rsid w:val="00033FCE"/>
    <w:rsid w:val="000340D7"/>
    <w:rsid w:val="000343FB"/>
    <w:rsid w:val="0003451C"/>
    <w:rsid w:val="00034552"/>
    <w:rsid w:val="00034880"/>
    <w:rsid w:val="0003489B"/>
    <w:rsid w:val="00034A3E"/>
    <w:rsid w:val="00034B0B"/>
    <w:rsid w:val="00034CE0"/>
    <w:rsid w:val="00034D06"/>
    <w:rsid w:val="00034E54"/>
    <w:rsid w:val="00034EFD"/>
    <w:rsid w:val="00034F41"/>
    <w:rsid w:val="00035002"/>
    <w:rsid w:val="000350E0"/>
    <w:rsid w:val="000352B6"/>
    <w:rsid w:val="00035385"/>
    <w:rsid w:val="000353FF"/>
    <w:rsid w:val="00035412"/>
    <w:rsid w:val="00035647"/>
    <w:rsid w:val="0003576F"/>
    <w:rsid w:val="00035912"/>
    <w:rsid w:val="0003591A"/>
    <w:rsid w:val="00035A37"/>
    <w:rsid w:val="00035B27"/>
    <w:rsid w:val="00035BBE"/>
    <w:rsid w:val="00035C0E"/>
    <w:rsid w:val="00035C90"/>
    <w:rsid w:val="00035E3F"/>
    <w:rsid w:val="00035E51"/>
    <w:rsid w:val="00036116"/>
    <w:rsid w:val="00036196"/>
    <w:rsid w:val="000363C8"/>
    <w:rsid w:val="00036416"/>
    <w:rsid w:val="00036587"/>
    <w:rsid w:val="00036593"/>
    <w:rsid w:val="000367E9"/>
    <w:rsid w:val="00036A24"/>
    <w:rsid w:val="000371F6"/>
    <w:rsid w:val="0003734C"/>
    <w:rsid w:val="0003744D"/>
    <w:rsid w:val="000375D0"/>
    <w:rsid w:val="0003770A"/>
    <w:rsid w:val="0003778B"/>
    <w:rsid w:val="00037851"/>
    <w:rsid w:val="00037A22"/>
    <w:rsid w:val="00037AD0"/>
    <w:rsid w:val="00037C93"/>
    <w:rsid w:val="00037ED9"/>
    <w:rsid w:val="000401CC"/>
    <w:rsid w:val="000401E6"/>
    <w:rsid w:val="00040395"/>
    <w:rsid w:val="0004049D"/>
    <w:rsid w:val="000405A0"/>
    <w:rsid w:val="00040647"/>
    <w:rsid w:val="000406A4"/>
    <w:rsid w:val="00040788"/>
    <w:rsid w:val="000407AB"/>
    <w:rsid w:val="000407FA"/>
    <w:rsid w:val="000408E2"/>
    <w:rsid w:val="00040940"/>
    <w:rsid w:val="00040BAE"/>
    <w:rsid w:val="00040CE7"/>
    <w:rsid w:val="00040E67"/>
    <w:rsid w:val="00040EDC"/>
    <w:rsid w:val="00040FBC"/>
    <w:rsid w:val="00041291"/>
    <w:rsid w:val="000412D5"/>
    <w:rsid w:val="000413DF"/>
    <w:rsid w:val="000413FE"/>
    <w:rsid w:val="00041552"/>
    <w:rsid w:val="000415A0"/>
    <w:rsid w:val="00041835"/>
    <w:rsid w:val="00041A68"/>
    <w:rsid w:val="00041AF7"/>
    <w:rsid w:val="00041B0F"/>
    <w:rsid w:val="00041CBF"/>
    <w:rsid w:val="00041DC4"/>
    <w:rsid w:val="0004202B"/>
    <w:rsid w:val="0004217C"/>
    <w:rsid w:val="0004230C"/>
    <w:rsid w:val="000423EB"/>
    <w:rsid w:val="00042441"/>
    <w:rsid w:val="000424AE"/>
    <w:rsid w:val="0004259E"/>
    <w:rsid w:val="000425AE"/>
    <w:rsid w:val="000425C3"/>
    <w:rsid w:val="000425C9"/>
    <w:rsid w:val="00042731"/>
    <w:rsid w:val="00042734"/>
    <w:rsid w:val="00042A84"/>
    <w:rsid w:val="00042B80"/>
    <w:rsid w:val="00042CBF"/>
    <w:rsid w:val="00042CF6"/>
    <w:rsid w:val="00042D96"/>
    <w:rsid w:val="00042E42"/>
    <w:rsid w:val="00042F26"/>
    <w:rsid w:val="00042FDE"/>
    <w:rsid w:val="000430AD"/>
    <w:rsid w:val="00043166"/>
    <w:rsid w:val="000431CB"/>
    <w:rsid w:val="00043249"/>
    <w:rsid w:val="00043398"/>
    <w:rsid w:val="000433E1"/>
    <w:rsid w:val="0004343F"/>
    <w:rsid w:val="00043445"/>
    <w:rsid w:val="0004364C"/>
    <w:rsid w:val="00043820"/>
    <w:rsid w:val="000438AE"/>
    <w:rsid w:val="00043A66"/>
    <w:rsid w:val="00043B0E"/>
    <w:rsid w:val="00043C72"/>
    <w:rsid w:val="00043C85"/>
    <w:rsid w:val="00043D8A"/>
    <w:rsid w:val="00043EC0"/>
    <w:rsid w:val="00044178"/>
    <w:rsid w:val="00044409"/>
    <w:rsid w:val="00044543"/>
    <w:rsid w:val="000447E2"/>
    <w:rsid w:val="000448DB"/>
    <w:rsid w:val="000448E6"/>
    <w:rsid w:val="00044939"/>
    <w:rsid w:val="00044EDF"/>
    <w:rsid w:val="000450C6"/>
    <w:rsid w:val="00045329"/>
    <w:rsid w:val="000453E6"/>
    <w:rsid w:val="00045455"/>
    <w:rsid w:val="000454AB"/>
    <w:rsid w:val="00045539"/>
    <w:rsid w:val="000456F7"/>
    <w:rsid w:val="00045718"/>
    <w:rsid w:val="00045AAF"/>
    <w:rsid w:val="00045C53"/>
    <w:rsid w:val="00045DB4"/>
    <w:rsid w:val="00045E96"/>
    <w:rsid w:val="00045EEA"/>
    <w:rsid w:val="0004647B"/>
    <w:rsid w:val="000464F2"/>
    <w:rsid w:val="00046539"/>
    <w:rsid w:val="0004656F"/>
    <w:rsid w:val="00046882"/>
    <w:rsid w:val="0004691F"/>
    <w:rsid w:val="00046B20"/>
    <w:rsid w:val="00046B8B"/>
    <w:rsid w:val="00046D64"/>
    <w:rsid w:val="00046DCB"/>
    <w:rsid w:val="00046E8E"/>
    <w:rsid w:val="00046EEE"/>
    <w:rsid w:val="00046FFE"/>
    <w:rsid w:val="0004704C"/>
    <w:rsid w:val="00047222"/>
    <w:rsid w:val="0004733A"/>
    <w:rsid w:val="0004739C"/>
    <w:rsid w:val="0004754F"/>
    <w:rsid w:val="000476B5"/>
    <w:rsid w:val="000476E6"/>
    <w:rsid w:val="0004772B"/>
    <w:rsid w:val="000477CA"/>
    <w:rsid w:val="000478C1"/>
    <w:rsid w:val="00047A23"/>
    <w:rsid w:val="00047BEC"/>
    <w:rsid w:val="00047C02"/>
    <w:rsid w:val="00047EB2"/>
    <w:rsid w:val="00047F9C"/>
    <w:rsid w:val="00047FE6"/>
    <w:rsid w:val="000500A2"/>
    <w:rsid w:val="000500A7"/>
    <w:rsid w:val="0005068F"/>
    <w:rsid w:val="0005076E"/>
    <w:rsid w:val="000507E9"/>
    <w:rsid w:val="00050B07"/>
    <w:rsid w:val="00050B12"/>
    <w:rsid w:val="00050C34"/>
    <w:rsid w:val="00050DAE"/>
    <w:rsid w:val="00050F1A"/>
    <w:rsid w:val="000511ED"/>
    <w:rsid w:val="0005129D"/>
    <w:rsid w:val="000518AF"/>
    <w:rsid w:val="000519B7"/>
    <w:rsid w:val="00051A9D"/>
    <w:rsid w:val="00051C08"/>
    <w:rsid w:val="00051EDA"/>
    <w:rsid w:val="000521DE"/>
    <w:rsid w:val="000523AE"/>
    <w:rsid w:val="00052564"/>
    <w:rsid w:val="000525A4"/>
    <w:rsid w:val="00052762"/>
    <w:rsid w:val="000528D7"/>
    <w:rsid w:val="000529AD"/>
    <w:rsid w:val="00052D5C"/>
    <w:rsid w:val="00052EAD"/>
    <w:rsid w:val="00052FF1"/>
    <w:rsid w:val="00053025"/>
    <w:rsid w:val="00053038"/>
    <w:rsid w:val="00053170"/>
    <w:rsid w:val="00053179"/>
    <w:rsid w:val="00053182"/>
    <w:rsid w:val="00053275"/>
    <w:rsid w:val="0005328B"/>
    <w:rsid w:val="00053328"/>
    <w:rsid w:val="00053376"/>
    <w:rsid w:val="0005342D"/>
    <w:rsid w:val="000535DE"/>
    <w:rsid w:val="00053726"/>
    <w:rsid w:val="0005378E"/>
    <w:rsid w:val="00053795"/>
    <w:rsid w:val="000537C4"/>
    <w:rsid w:val="000538E0"/>
    <w:rsid w:val="0005394E"/>
    <w:rsid w:val="00053AAA"/>
    <w:rsid w:val="00053E29"/>
    <w:rsid w:val="00053F99"/>
    <w:rsid w:val="0005403F"/>
    <w:rsid w:val="0005416B"/>
    <w:rsid w:val="00054752"/>
    <w:rsid w:val="000547EB"/>
    <w:rsid w:val="000548FB"/>
    <w:rsid w:val="00054953"/>
    <w:rsid w:val="00054AAD"/>
    <w:rsid w:val="00054B49"/>
    <w:rsid w:val="00054C04"/>
    <w:rsid w:val="00054D86"/>
    <w:rsid w:val="0005503D"/>
    <w:rsid w:val="0005504C"/>
    <w:rsid w:val="000550D2"/>
    <w:rsid w:val="000551EB"/>
    <w:rsid w:val="000552CA"/>
    <w:rsid w:val="0005536E"/>
    <w:rsid w:val="00055523"/>
    <w:rsid w:val="0005561B"/>
    <w:rsid w:val="00055B5C"/>
    <w:rsid w:val="00055B86"/>
    <w:rsid w:val="00055BF9"/>
    <w:rsid w:val="00055CB4"/>
    <w:rsid w:val="00055CD5"/>
    <w:rsid w:val="00055ED9"/>
    <w:rsid w:val="00055FF4"/>
    <w:rsid w:val="0005605C"/>
    <w:rsid w:val="00056113"/>
    <w:rsid w:val="0005658D"/>
    <w:rsid w:val="000565FB"/>
    <w:rsid w:val="000567A0"/>
    <w:rsid w:val="000567B0"/>
    <w:rsid w:val="000567F6"/>
    <w:rsid w:val="000569B7"/>
    <w:rsid w:val="00056ADE"/>
    <w:rsid w:val="00056D92"/>
    <w:rsid w:val="00056EFF"/>
    <w:rsid w:val="00056FEF"/>
    <w:rsid w:val="00057147"/>
    <w:rsid w:val="000572C9"/>
    <w:rsid w:val="00057465"/>
    <w:rsid w:val="000576EE"/>
    <w:rsid w:val="0005770F"/>
    <w:rsid w:val="00057883"/>
    <w:rsid w:val="00057BA7"/>
    <w:rsid w:val="00057C74"/>
    <w:rsid w:val="000600FA"/>
    <w:rsid w:val="0006045F"/>
    <w:rsid w:val="000606FB"/>
    <w:rsid w:val="000607AD"/>
    <w:rsid w:val="0006082B"/>
    <w:rsid w:val="00060A09"/>
    <w:rsid w:val="00060A7F"/>
    <w:rsid w:val="00060AD5"/>
    <w:rsid w:val="00060B33"/>
    <w:rsid w:val="00060B95"/>
    <w:rsid w:val="00060D20"/>
    <w:rsid w:val="00060D23"/>
    <w:rsid w:val="00061053"/>
    <w:rsid w:val="00061375"/>
    <w:rsid w:val="00061418"/>
    <w:rsid w:val="000616B7"/>
    <w:rsid w:val="000616D0"/>
    <w:rsid w:val="00061AE5"/>
    <w:rsid w:val="00061B8B"/>
    <w:rsid w:val="00061BFD"/>
    <w:rsid w:val="00061C6C"/>
    <w:rsid w:val="00061CC3"/>
    <w:rsid w:val="00061EC8"/>
    <w:rsid w:val="00061FF6"/>
    <w:rsid w:val="0006215B"/>
    <w:rsid w:val="0006216F"/>
    <w:rsid w:val="000621BB"/>
    <w:rsid w:val="000624BC"/>
    <w:rsid w:val="000624E7"/>
    <w:rsid w:val="000624F8"/>
    <w:rsid w:val="000624FE"/>
    <w:rsid w:val="000625BA"/>
    <w:rsid w:val="00062796"/>
    <w:rsid w:val="000627C7"/>
    <w:rsid w:val="00062825"/>
    <w:rsid w:val="0006282E"/>
    <w:rsid w:val="000628F3"/>
    <w:rsid w:val="00062913"/>
    <w:rsid w:val="0006294A"/>
    <w:rsid w:val="000629E9"/>
    <w:rsid w:val="00062C95"/>
    <w:rsid w:val="00062D2A"/>
    <w:rsid w:val="00062DDD"/>
    <w:rsid w:val="00063104"/>
    <w:rsid w:val="00063124"/>
    <w:rsid w:val="0006314A"/>
    <w:rsid w:val="0006325D"/>
    <w:rsid w:val="000635AF"/>
    <w:rsid w:val="000636BF"/>
    <w:rsid w:val="000637A3"/>
    <w:rsid w:val="00063809"/>
    <w:rsid w:val="00063A53"/>
    <w:rsid w:val="00063B33"/>
    <w:rsid w:val="00063C89"/>
    <w:rsid w:val="00063D28"/>
    <w:rsid w:val="00063F0C"/>
    <w:rsid w:val="000644A6"/>
    <w:rsid w:val="00064696"/>
    <w:rsid w:val="00064736"/>
    <w:rsid w:val="00064835"/>
    <w:rsid w:val="00064AA7"/>
    <w:rsid w:val="00064BBD"/>
    <w:rsid w:val="00064FB0"/>
    <w:rsid w:val="00065095"/>
    <w:rsid w:val="00065125"/>
    <w:rsid w:val="000651B6"/>
    <w:rsid w:val="0006528E"/>
    <w:rsid w:val="000652C3"/>
    <w:rsid w:val="000652E3"/>
    <w:rsid w:val="0006538B"/>
    <w:rsid w:val="000658AD"/>
    <w:rsid w:val="00065AB2"/>
    <w:rsid w:val="00065B9E"/>
    <w:rsid w:val="00065CAE"/>
    <w:rsid w:val="00065CEC"/>
    <w:rsid w:val="00065D67"/>
    <w:rsid w:val="00065DAE"/>
    <w:rsid w:val="00066135"/>
    <w:rsid w:val="00066261"/>
    <w:rsid w:val="0006628C"/>
    <w:rsid w:val="000663FD"/>
    <w:rsid w:val="00066431"/>
    <w:rsid w:val="00066647"/>
    <w:rsid w:val="00066690"/>
    <w:rsid w:val="0006686D"/>
    <w:rsid w:val="000669C7"/>
    <w:rsid w:val="00066CF9"/>
    <w:rsid w:val="00066E53"/>
    <w:rsid w:val="00066F19"/>
    <w:rsid w:val="00066F74"/>
    <w:rsid w:val="0006701A"/>
    <w:rsid w:val="00067134"/>
    <w:rsid w:val="000674DA"/>
    <w:rsid w:val="00067591"/>
    <w:rsid w:val="000677CE"/>
    <w:rsid w:val="00067970"/>
    <w:rsid w:val="000679CD"/>
    <w:rsid w:val="00067A36"/>
    <w:rsid w:val="00067BD2"/>
    <w:rsid w:val="00067D97"/>
    <w:rsid w:val="00067E3D"/>
    <w:rsid w:val="00067E73"/>
    <w:rsid w:val="00067EDF"/>
    <w:rsid w:val="000700CB"/>
    <w:rsid w:val="00070376"/>
    <w:rsid w:val="00070395"/>
    <w:rsid w:val="000707C4"/>
    <w:rsid w:val="000707C9"/>
    <w:rsid w:val="0007081A"/>
    <w:rsid w:val="00070858"/>
    <w:rsid w:val="00070A4D"/>
    <w:rsid w:val="00070AC9"/>
    <w:rsid w:val="00070ED7"/>
    <w:rsid w:val="00070F41"/>
    <w:rsid w:val="000710CA"/>
    <w:rsid w:val="00071132"/>
    <w:rsid w:val="0007131D"/>
    <w:rsid w:val="0007154E"/>
    <w:rsid w:val="0007157E"/>
    <w:rsid w:val="00071943"/>
    <w:rsid w:val="00071AB0"/>
    <w:rsid w:val="00071AF9"/>
    <w:rsid w:val="00071C16"/>
    <w:rsid w:val="00071EA7"/>
    <w:rsid w:val="00071F7B"/>
    <w:rsid w:val="00072199"/>
    <w:rsid w:val="00072217"/>
    <w:rsid w:val="000724F9"/>
    <w:rsid w:val="00072500"/>
    <w:rsid w:val="000726A1"/>
    <w:rsid w:val="000727BB"/>
    <w:rsid w:val="0007290D"/>
    <w:rsid w:val="00072989"/>
    <w:rsid w:val="00072A15"/>
    <w:rsid w:val="00072B5C"/>
    <w:rsid w:val="00072DC0"/>
    <w:rsid w:val="00072DDD"/>
    <w:rsid w:val="0007318F"/>
    <w:rsid w:val="000732B7"/>
    <w:rsid w:val="000733E3"/>
    <w:rsid w:val="00073433"/>
    <w:rsid w:val="0007346A"/>
    <w:rsid w:val="000734AE"/>
    <w:rsid w:val="000734BB"/>
    <w:rsid w:val="00073683"/>
    <w:rsid w:val="000738A2"/>
    <w:rsid w:val="000738C1"/>
    <w:rsid w:val="00073961"/>
    <w:rsid w:val="00073A3C"/>
    <w:rsid w:val="00073AC3"/>
    <w:rsid w:val="00073B93"/>
    <w:rsid w:val="00073BA4"/>
    <w:rsid w:val="00073D62"/>
    <w:rsid w:val="00073DAB"/>
    <w:rsid w:val="00073DDF"/>
    <w:rsid w:val="00073EED"/>
    <w:rsid w:val="00073F10"/>
    <w:rsid w:val="0007400D"/>
    <w:rsid w:val="00074043"/>
    <w:rsid w:val="00074083"/>
    <w:rsid w:val="000741CA"/>
    <w:rsid w:val="000741DE"/>
    <w:rsid w:val="0007428B"/>
    <w:rsid w:val="00074482"/>
    <w:rsid w:val="00074900"/>
    <w:rsid w:val="0007491E"/>
    <w:rsid w:val="0007495B"/>
    <w:rsid w:val="00074F11"/>
    <w:rsid w:val="00074F2C"/>
    <w:rsid w:val="00074F8E"/>
    <w:rsid w:val="00075085"/>
    <w:rsid w:val="00075180"/>
    <w:rsid w:val="000751D7"/>
    <w:rsid w:val="00075204"/>
    <w:rsid w:val="0007521A"/>
    <w:rsid w:val="000753F2"/>
    <w:rsid w:val="0007543A"/>
    <w:rsid w:val="0007543E"/>
    <w:rsid w:val="000754CA"/>
    <w:rsid w:val="0007575C"/>
    <w:rsid w:val="00075853"/>
    <w:rsid w:val="000758A6"/>
    <w:rsid w:val="00075A0F"/>
    <w:rsid w:val="00075AD8"/>
    <w:rsid w:val="00075BB5"/>
    <w:rsid w:val="00075BFF"/>
    <w:rsid w:val="00075DE3"/>
    <w:rsid w:val="00075EB0"/>
    <w:rsid w:val="00075FD0"/>
    <w:rsid w:val="00076169"/>
    <w:rsid w:val="000761A7"/>
    <w:rsid w:val="00076286"/>
    <w:rsid w:val="000762F6"/>
    <w:rsid w:val="00076586"/>
    <w:rsid w:val="000767FE"/>
    <w:rsid w:val="00076843"/>
    <w:rsid w:val="0007686A"/>
    <w:rsid w:val="00076B00"/>
    <w:rsid w:val="00076E1F"/>
    <w:rsid w:val="00076F3E"/>
    <w:rsid w:val="00076F88"/>
    <w:rsid w:val="000772EC"/>
    <w:rsid w:val="000773AA"/>
    <w:rsid w:val="000775E8"/>
    <w:rsid w:val="0007784F"/>
    <w:rsid w:val="00077885"/>
    <w:rsid w:val="0007789E"/>
    <w:rsid w:val="0007796B"/>
    <w:rsid w:val="000779B3"/>
    <w:rsid w:val="000779E4"/>
    <w:rsid w:val="00077A3D"/>
    <w:rsid w:val="00077A8B"/>
    <w:rsid w:val="00077B09"/>
    <w:rsid w:val="00077E9B"/>
    <w:rsid w:val="00077FC5"/>
    <w:rsid w:val="00080084"/>
    <w:rsid w:val="0008009C"/>
    <w:rsid w:val="0008029A"/>
    <w:rsid w:val="000802C1"/>
    <w:rsid w:val="000804E4"/>
    <w:rsid w:val="0008061F"/>
    <w:rsid w:val="00080669"/>
    <w:rsid w:val="000806A4"/>
    <w:rsid w:val="000807C4"/>
    <w:rsid w:val="00080CAA"/>
    <w:rsid w:val="00080CCD"/>
    <w:rsid w:val="00080F8F"/>
    <w:rsid w:val="0008108B"/>
    <w:rsid w:val="00081380"/>
    <w:rsid w:val="000813D4"/>
    <w:rsid w:val="0008142B"/>
    <w:rsid w:val="00081563"/>
    <w:rsid w:val="000816F4"/>
    <w:rsid w:val="00081A4A"/>
    <w:rsid w:val="00081B6B"/>
    <w:rsid w:val="00082037"/>
    <w:rsid w:val="00082106"/>
    <w:rsid w:val="000821FE"/>
    <w:rsid w:val="000822A5"/>
    <w:rsid w:val="000822CE"/>
    <w:rsid w:val="0008248E"/>
    <w:rsid w:val="000827F0"/>
    <w:rsid w:val="00082818"/>
    <w:rsid w:val="00082855"/>
    <w:rsid w:val="0008293E"/>
    <w:rsid w:val="0008297F"/>
    <w:rsid w:val="00082EA7"/>
    <w:rsid w:val="00082FB9"/>
    <w:rsid w:val="00082FBA"/>
    <w:rsid w:val="00082FD6"/>
    <w:rsid w:val="0008302C"/>
    <w:rsid w:val="000830DC"/>
    <w:rsid w:val="000830EB"/>
    <w:rsid w:val="000831A8"/>
    <w:rsid w:val="00083393"/>
    <w:rsid w:val="000833CF"/>
    <w:rsid w:val="00083582"/>
    <w:rsid w:val="000835DB"/>
    <w:rsid w:val="00083788"/>
    <w:rsid w:val="00083841"/>
    <w:rsid w:val="0008387E"/>
    <w:rsid w:val="000838DA"/>
    <w:rsid w:val="00083AC5"/>
    <w:rsid w:val="00083AF5"/>
    <w:rsid w:val="00083C96"/>
    <w:rsid w:val="00083E1E"/>
    <w:rsid w:val="00083E24"/>
    <w:rsid w:val="00083F9E"/>
    <w:rsid w:val="00083FE2"/>
    <w:rsid w:val="00084055"/>
    <w:rsid w:val="000846B6"/>
    <w:rsid w:val="0008472C"/>
    <w:rsid w:val="000848B5"/>
    <w:rsid w:val="000848BD"/>
    <w:rsid w:val="00084919"/>
    <w:rsid w:val="00084C14"/>
    <w:rsid w:val="00084C68"/>
    <w:rsid w:val="00084DA8"/>
    <w:rsid w:val="00084EB0"/>
    <w:rsid w:val="00084EFF"/>
    <w:rsid w:val="00084F1B"/>
    <w:rsid w:val="000850DA"/>
    <w:rsid w:val="000852A2"/>
    <w:rsid w:val="0008543F"/>
    <w:rsid w:val="000854E9"/>
    <w:rsid w:val="000854FC"/>
    <w:rsid w:val="000855A3"/>
    <w:rsid w:val="000856F0"/>
    <w:rsid w:val="00085704"/>
    <w:rsid w:val="000858F6"/>
    <w:rsid w:val="0008592D"/>
    <w:rsid w:val="00085931"/>
    <w:rsid w:val="00085992"/>
    <w:rsid w:val="000859D8"/>
    <w:rsid w:val="00085B12"/>
    <w:rsid w:val="00085B64"/>
    <w:rsid w:val="00085B79"/>
    <w:rsid w:val="00085BB7"/>
    <w:rsid w:val="00085C5D"/>
    <w:rsid w:val="00085D12"/>
    <w:rsid w:val="00085D68"/>
    <w:rsid w:val="00085E67"/>
    <w:rsid w:val="00085F2F"/>
    <w:rsid w:val="000862C1"/>
    <w:rsid w:val="0008637C"/>
    <w:rsid w:val="000863BF"/>
    <w:rsid w:val="00086464"/>
    <w:rsid w:val="0008658D"/>
    <w:rsid w:val="000865BB"/>
    <w:rsid w:val="000866D7"/>
    <w:rsid w:val="000868EA"/>
    <w:rsid w:val="000869B0"/>
    <w:rsid w:val="000869F0"/>
    <w:rsid w:val="00086AE2"/>
    <w:rsid w:val="00086C8D"/>
    <w:rsid w:val="00086DA1"/>
    <w:rsid w:val="00086E28"/>
    <w:rsid w:val="00086E30"/>
    <w:rsid w:val="00086F7C"/>
    <w:rsid w:val="000870ED"/>
    <w:rsid w:val="000871D8"/>
    <w:rsid w:val="000873E1"/>
    <w:rsid w:val="00087469"/>
    <w:rsid w:val="000878FF"/>
    <w:rsid w:val="00087AFD"/>
    <w:rsid w:val="00087B89"/>
    <w:rsid w:val="00087C67"/>
    <w:rsid w:val="0009029F"/>
    <w:rsid w:val="00090305"/>
    <w:rsid w:val="00090383"/>
    <w:rsid w:val="000903A6"/>
    <w:rsid w:val="000903F8"/>
    <w:rsid w:val="00090499"/>
    <w:rsid w:val="00090542"/>
    <w:rsid w:val="0009083C"/>
    <w:rsid w:val="0009093A"/>
    <w:rsid w:val="00090C85"/>
    <w:rsid w:val="00090C9E"/>
    <w:rsid w:val="00090D9C"/>
    <w:rsid w:val="00090E2E"/>
    <w:rsid w:val="00090EC1"/>
    <w:rsid w:val="000910BC"/>
    <w:rsid w:val="000910F6"/>
    <w:rsid w:val="000912B7"/>
    <w:rsid w:val="000912C1"/>
    <w:rsid w:val="00091333"/>
    <w:rsid w:val="000914FE"/>
    <w:rsid w:val="00091560"/>
    <w:rsid w:val="00091687"/>
    <w:rsid w:val="00091859"/>
    <w:rsid w:val="000918DA"/>
    <w:rsid w:val="0009194C"/>
    <w:rsid w:val="00091986"/>
    <w:rsid w:val="000919D3"/>
    <w:rsid w:val="000919E1"/>
    <w:rsid w:val="000919F0"/>
    <w:rsid w:val="00091C4B"/>
    <w:rsid w:val="00091CC0"/>
    <w:rsid w:val="00091CF7"/>
    <w:rsid w:val="00091E4A"/>
    <w:rsid w:val="00091F42"/>
    <w:rsid w:val="00091F78"/>
    <w:rsid w:val="000920C4"/>
    <w:rsid w:val="00092367"/>
    <w:rsid w:val="000923B8"/>
    <w:rsid w:val="00092628"/>
    <w:rsid w:val="000926DD"/>
    <w:rsid w:val="000927ED"/>
    <w:rsid w:val="000928C6"/>
    <w:rsid w:val="00092B5F"/>
    <w:rsid w:val="00092B78"/>
    <w:rsid w:val="00092BC5"/>
    <w:rsid w:val="00092C01"/>
    <w:rsid w:val="00092C97"/>
    <w:rsid w:val="00092D31"/>
    <w:rsid w:val="00092DB2"/>
    <w:rsid w:val="00092F3A"/>
    <w:rsid w:val="000930C9"/>
    <w:rsid w:val="00093181"/>
    <w:rsid w:val="000934F1"/>
    <w:rsid w:val="0009356B"/>
    <w:rsid w:val="0009357E"/>
    <w:rsid w:val="000938F6"/>
    <w:rsid w:val="00093A83"/>
    <w:rsid w:val="00093B02"/>
    <w:rsid w:val="00093D6F"/>
    <w:rsid w:val="00093F30"/>
    <w:rsid w:val="00093F3A"/>
    <w:rsid w:val="0009401E"/>
    <w:rsid w:val="0009412E"/>
    <w:rsid w:val="000941D8"/>
    <w:rsid w:val="00094321"/>
    <w:rsid w:val="00094430"/>
    <w:rsid w:val="000944A3"/>
    <w:rsid w:val="00094523"/>
    <w:rsid w:val="00094575"/>
    <w:rsid w:val="00094692"/>
    <w:rsid w:val="0009474C"/>
    <w:rsid w:val="0009478C"/>
    <w:rsid w:val="0009489D"/>
    <w:rsid w:val="00094996"/>
    <w:rsid w:val="00094AF0"/>
    <w:rsid w:val="00094B2E"/>
    <w:rsid w:val="00094C3F"/>
    <w:rsid w:val="00094DDD"/>
    <w:rsid w:val="000950CC"/>
    <w:rsid w:val="00095327"/>
    <w:rsid w:val="0009532A"/>
    <w:rsid w:val="00095576"/>
    <w:rsid w:val="00095614"/>
    <w:rsid w:val="0009561A"/>
    <w:rsid w:val="0009566D"/>
    <w:rsid w:val="000958D1"/>
    <w:rsid w:val="00095952"/>
    <w:rsid w:val="00095AE5"/>
    <w:rsid w:val="00095B96"/>
    <w:rsid w:val="00095BD2"/>
    <w:rsid w:val="00095CE1"/>
    <w:rsid w:val="00095E36"/>
    <w:rsid w:val="00095F09"/>
    <w:rsid w:val="0009618A"/>
    <w:rsid w:val="00096297"/>
    <w:rsid w:val="00096364"/>
    <w:rsid w:val="0009638E"/>
    <w:rsid w:val="0009639A"/>
    <w:rsid w:val="000964FA"/>
    <w:rsid w:val="000967C2"/>
    <w:rsid w:val="000967FC"/>
    <w:rsid w:val="00096859"/>
    <w:rsid w:val="0009688B"/>
    <w:rsid w:val="00096894"/>
    <w:rsid w:val="000968BD"/>
    <w:rsid w:val="000969CE"/>
    <w:rsid w:val="000969DA"/>
    <w:rsid w:val="00096A64"/>
    <w:rsid w:val="00096C2D"/>
    <w:rsid w:val="00096D01"/>
    <w:rsid w:val="00096D1F"/>
    <w:rsid w:val="000970BD"/>
    <w:rsid w:val="00097213"/>
    <w:rsid w:val="00097216"/>
    <w:rsid w:val="0009736E"/>
    <w:rsid w:val="000973C2"/>
    <w:rsid w:val="000974E7"/>
    <w:rsid w:val="0009756C"/>
    <w:rsid w:val="000975D3"/>
    <w:rsid w:val="0009764B"/>
    <w:rsid w:val="0009779A"/>
    <w:rsid w:val="0009794C"/>
    <w:rsid w:val="000979AE"/>
    <w:rsid w:val="00097BEF"/>
    <w:rsid w:val="00097C71"/>
    <w:rsid w:val="00097D54"/>
    <w:rsid w:val="00097D89"/>
    <w:rsid w:val="000A025C"/>
    <w:rsid w:val="000A0436"/>
    <w:rsid w:val="000A0610"/>
    <w:rsid w:val="000A070C"/>
    <w:rsid w:val="000A0903"/>
    <w:rsid w:val="000A0A6E"/>
    <w:rsid w:val="000A0B92"/>
    <w:rsid w:val="000A0BA5"/>
    <w:rsid w:val="000A0BB3"/>
    <w:rsid w:val="000A0C57"/>
    <w:rsid w:val="000A0C8D"/>
    <w:rsid w:val="000A0DF2"/>
    <w:rsid w:val="000A0E47"/>
    <w:rsid w:val="000A0E66"/>
    <w:rsid w:val="000A0EFF"/>
    <w:rsid w:val="000A1002"/>
    <w:rsid w:val="000A100D"/>
    <w:rsid w:val="000A1105"/>
    <w:rsid w:val="000A1112"/>
    <w:rsid w:val="000A121F"/>
    <w:rsid w:val="000A1290"/>
    <w:rsid w:val="000A12EB"/>
    <w:rsid w:val="000A13C4"/>
    <w:rsid w:val="000A1488"/>
    <w:rsid w:val="000A14A5"/>
    <w:rsid w:val="000A168C"/>
    <w:rsid w:val="000A17F3"/>
    <w:rsid w:val="000A18D9"/>
    <w:rsid w:val="000A1954"/>
    <w:rsid w:val="000A1A48"/>
    <w:rsid w:val="000A1B4D"/>
    <w:rsid w:val="000A1D99"/>
    <w:rsid w:val="000A21D0"/>
    <w:rsid w:val="000A21D1"/>
    <w:rsid w:val="000A220E"/>
    <w:rsid w:val="000A228B"/>
    <w:rsid w:val="000A2374"/>
    <w:rsid w:val="000A26F3"/>
    <w:rsid w:val="000A2726"/>
    <w:rsid w:val="000A275A"/>
    <w:rsid w:val="000A28E6"/>
    <w:rsid w:val="000A2942"/>
    <w:rsid w:val="000A2A3B"/>
    <w:rsid w:val="000A2B98"/>
    <w:rsid w:val="000A2C74"/>
    <w:rsid w:val="000A2D14"/>
    <w:rsid w:val="000A2E4B"/>
    <w:rsid w:val="000A2E5D"/>
    <w:rsid w:val="000A2E96"/>
    <w:rsid w:val="000A2EC4"/>
    <w:rsid w:val="000A3170"/>
    <w:rsid w:val="000A323A"/>
    <w:rsid w:val="000A3359"/>
    <w:rsid w:val="000A34CD"/>
    <w:rsid w:val="000A34F9"/>
    <w:rsid w:val="000A352D"/>
    <w:rsid w:val="000A35A1"/>
    <w:rsid w:val="000A3627"/>
    <w:rsid w:val="000A3B64"/>
    <w:rsid w:val="000A3CCA"/>
    <w:rsid w:val="000A3DE9"/>
    <w:rsid w:val="000A405D"/>
    <w:rsid w:val="000A42D8"/>
    <w:rsid w:val="000A44E4"/>
    <w:rsid w:val="000A4572"/>
    <w:rsid w:val="000A47D4"/>
    <w:rsid w:val="000A48E5"/>
    <w:rsid w:val="000A4941"/>
    <w:rsid w:val="000A494D"/>
    <w:rsid w:val="000A49E4"/>
    <w:rsid w:val="000A4A09"/>
    <w:rsid w:val="000A4A17"/>
    <w:rsid w:val="000A4C18"/>
    <w:rsid w:val="000A4C20"/>
    <w:rsid w:val="000A4DC0"/>
    <w:rsid w:val="000A4EC8"/>
    <w:rsid w:val="000A4FF5"/>
    <w:rsid w:val="000A51F7"/>
    <w:rsid w:val="000A5237"/>
    <w:rsid w:val="000A54CA"/>
    <w:rsid w:val="000A55C7"/>
    <w:rsid w:val="000A5623"/>
    <w:rsid w:val="000A586E"/>
    <w:rsid w:val="000A597E"/>
    <w:rsid w:val="000A5A9D"/>
    <w:rsid w:val="000A5CB1"/>
    <w:rsid w:val="000A5D84"/>
    <w:rsid w:val="000A5EA8"/>
    <w:rsid w:val="000A5EDD"/>
    <w:rsid w:val="000A5F00"/>
    <w:rsid w:val="000A5F91"/>
    <w:rsid w:val="000A604F"/>
    <w:rsid w:val="000A617B"/>
    <w:rsid w:val="000A6211"/>
    <w:rsid w:val="000A6645"/>
    <w:rsid w:val="000A671C"/>
    <w:rsid w:val="000A674C"/>
    <w:rsid w:val="000A67FC"/>
    <w:rsid w:val="000A6851"/>
    <w:rsid w:val="000A6A61"/>
    <w:rsid w:val="000A6ABD"/>
    <w:rsid w:val="000A6C53"/>
    <w:rsid w:val="000A6C74"/>
    <w:rsid w:val="000A6D49"/>
    <w:rsid w:val="000A7109"/>
    <w:rsid w:val="000A7148"/>
    <w:rsid w:val="000A724D"/>
    <w:rsid w:val="000A7378"/>
    <w:rsid w:val="000A7619"/>
    <w:rsid w:val="000A773F"/>
    <w:rsid w:val="000A7876"/>
    <w:rsid w:val="000A78C1"/>
    <w:rsid w:val="000A79BF"/>
    <w:rsid w:val="000A7B5A"/>
    <w:rsid w:val="000A7C0B"/>
    <w:rsid w:val="000A7C7E"/>
    <w:rsid w:val="000A7DBD"/>
    <w:rsid w:val="000B00BB"/>
    <w:rsid w:val="000B00C7"/>
    <w:rsid w:val="000B0175"/>
    <w:rsid w:val="000B01DE"/>
    <w:rsid w:val="000B0225"/>
    <w:rsid w:val="000B0321"/>
    <w:rsid w:val="000B040E"/>
    <w:rsid w:val="000B070C"/>
    <w:rsid w:val="000B0797"/>
    <w:rsid w:val="000B0E85"/>
    <w:rsid w:val="000B0F48"/>
    <w:rsid w:val="000B0F58"/>
    <w:rsid w:val="000B1024"/>
    <w:rsid w:val="000B10B8"/>
    <w:rsid w:val="000B1136"/>
    <w:rsid w:val="000B1307"/>
    <w:rsid w:val="000B137C"/>
    <w:rsid w:val="000B13FD"/>
    <w:rsid w:val="000B1513"/>
    <w:rsid w:val="000B1553"/>
    <w:rsid w:val="000B1B10"/>
    <w:rsid w:val="000B1DD2"/>
    <w:rsid w:val="000B1EC9"/>
    <w:rsid w:val="000B1F06"/>
    <w:rsid w:val="000B2075"/>
    <w:rsid w:val="000B207E"/>
    <w:rsid w:val="000B20BE"/>
    <w:rsid w:val="000B2268"/>
    <w:rsid w:val="000B22E9"/>
    <w:rsid w:val="000B2341"/>
    <w:rsid w:val="000B23A1"/>
    <w:rsid w:val="000B23E7"/>
    <w:rsid w:val="000B2416"/>
    <w:rsid w:val="000B24AA"/>
    <w:rsid w:val="000B2556"/>
    <w:rsid w:val="000B27C1"/>
    <w:rsid w:val="000B2835"/>
    <w:rsid w:val="000B29F8"/>
    <w:rsid w:val="000B2ABB"/>
    <w:rsid w:val="000B2D8C"/>
    <w:rsid w:val="000B2DDC"/>
    <w:rsid w:val="000B2E0E"/>
    <w:rsid w:val="000B2E0F"/>
    <w:rsid w:val="000B2E71"/>
    <w:rsid w:val="000B2E77"/>
    <w:rsid w:val="000B307F"/>
    <w:rsid w:val="000B32A9"/>
    <w:rsid w:val="000B330B"/>
    <w:rsid w:val="000B3338"/>
    <w:rsid w:val="000B347B"/>
    <w:rsid w:val="000B34FC"/>
    <w:rsid w:val="000B3532"/>
    <w:rsid w:val="000B363C"/>
    <w:rsid w:val="000B3659"/>
    <w:rsid w:val="000B3669"/>
    <w:rsid w:val="000B3768"/>
    <w:rsid w:val="000B380B"/>
    <w:rsid w:val="000B3972"/>
    <w:rsid w:val="000B3BC4"/>
    <w:rsid w:val="000B3E1C"/>
    <w:rsid w:val="000B3E59"/>
    <w:rsid w:val="000B3F03"/>
    <w:rsid w:val="000B3F60"/>
    <w:rsid w:val="000B3F94"/>
    <w:rsid w:val="000B4258"/>
    <w:rsid w:val="000B4264"/>
    <w:rsid w:val="000B438A"/>
    <w:rsid w:val="000B454E"/>
    <w:rsid w:val="000B472E"/>
    <w:rsid w:val="000B47B7"/>
    <w:rsid w:val="000B485E"/>
    <w:rsid w:val="000B48ED"/>
    <w:rsid w:val="000B4A71"/>
    <w:rsid w:val="000B4B45"/>
    <w:rsid w:val="000B4C74"/>
    <w:rsid w:val="000B4ED7"/>
    <w:rsid w:val="000B5154"/>
    <w:rsid w:val="000B519A"/>
    <w:rsid w:val="000B5743"/>
    <w:rsid w:val="000B585B"/>
    <w:rsid w:val="000B59EE"/>
    <w:rsid w:val="000B5B0F"/>
    <w:rsid w:val="000B5C02"/>
    <w:rsid w:val="000B5C13"/>
    <w:rsid w:val="000B5C9C"/>
    <w:rsid w:val="000B5DF5"/>
    <w:rsid w:val="000B5EF0"/>
    <w:rsid w:val="000B611A"/>
    <w:rsid w:val="000B6135"/>
    <w:rsid w:val="000B62D7"/>
    <w:rsid w:val="000B6331"/>
    <w:rsid w:val="000B63B7"/>
    <w:rsid w:val="000B6400"/>
    <w:rsid w:val="000B647D"/>
    <w:rsid w:val="000B650A"/>
    <w:rsid w:val="000B6589"/>
    <w:rsid w:val="000B676B"/>
    <w:rsid w:val="000B6899"/>
    <w:rsid w:val="000B6A9F"/>
    <w:rsid w:val="000B6C1D"/>
    <w:rsid w:val="000B6C5B"/>
    <w:rsid w:val="000B6CFA"/>
    <w:rsid w:val="000B6D87"/>
    <w:rsid w:val="000B6DBB"/>
    <w:rsid w:val="000B7066"/>
    <w:rsid w:val="000B70B5"/>
    <w:rsid w:val="000B724C"/>
    <w:rsid w:val="000B728A"/>
    <w:rsid w:val="000B72AC"/>
    <w:rsid w:val="000B739A"/>
    <w:rsid w:val="000B7402"/>
    <w:rsid w:val="000B74DA"/>
    <w:rsid w:val="000B7685"/>
    <w:rsid w:val="000B76FA"/>
    <w:rsid w:val="000B7726"/>
    <w:rsid w:val="000B7805"/>
    <w:rsid w:val="000B7820"/>
    <w:rsid w:val="000B78EE"/>
    <w:rsid w:val="000B790A"/>
    <w:rsid w:val="000B79D0"/>
    <w:rsid w:val="000B7BAC"/>
    <w:rsid w:val="000B7C97"/>
    <w:rsid w:val="000B7E24"/>
    <w:rsid w:val="000C0070"/>
    <w:rsid w:val="000C013B"/>
    <w:rsid w:val="000C015A"/>
    <w:rsid w:val="000C0207"/>
    <w:rsid w:val="000C027D"/>
    <w:rsid w:val="000C0454"/>
    <w:rsid w:val="000C06CB"/>
    <w:rsid w:val="000C088D"/>
    <w:rsid w:val="000C0A83"/>
    <w:rsid w:val="000C0B02"/>
    <w:rsid w:val="000C0BB9"/>
    <w:rsid w:val="000C0D5A"/>
    <w:rsid w:val="000C0F59"/>
    <w:rsid w:val="000C137F"/>
    <w:rsid w:val="000C1563"/>
    <w:rsid w:val="000C184D"/>
    <w:rsid w:val="000C1860"/>
    <w:rsid w:val="000C190D"/>
    <w:rsid w:val="000C1942"/>
    <w:rsid w:val="000C1A8D"/>
    <w:rsid w:val="000C1B33"/>
    <w:rsid w:val="000C1BA2"/>
    <w:rsid w:val="000C1E18"/>
    <w:rsid w:val="000C1F46"/>
    <w:rsid w:val="000C2052"/>
    <w:rsid w:val="000C2096"/>
    <w:rsid w:val="000C2341"/>
    <w:rsid w:val="000C25A5"/>
    <w:rsid w:val="000C2783"/>
    <w:rsid w:val="000C281B"/>
    <w:rsid w:val="000C2C1F"/>
    <w:rsid w:val="000C2C76"/>
    <w:rsid w:val="000C2CFB"/>
    <w:rsid w:val="000C30B4"/>
    <w:rsid w:val="000C30FC"/>
    <w:rsid w:val="000C3222"/>
    <w:rsid w:val="000C32FA"/>
    <w:rsid w:val="000C3484"/>
    <w:rsid w:val="000C34F8"/>
    <w:rsid w:val="000C3506"/>
    <w:rsid w:val="000C364F"/>
    <w:rsid w:val="000C3670"/>
    <w:rsid w:val="000C3983"/>
    <w:rsid w:val="000C3C05"/>
    <w:rsid w:val="000C3C44"/>
    <w:rsid w:val="000C3C98"/>
    <w:rsid w:val="000C3CD9"/>
    <w:rsid w:val="000C3DCE"/>
    <w:rsid w:val="000C3E9C"/>
    <w:rsid w:val="000C3FC8"/>
    <w:rsid w:val="000C3FD5"/>
    <w:rsid w:val="000C4332"/>
    <w:rsid w:val="000C438B"/>
    <w:rsid w:val="000C45A5"/>
    <w:rsid w:val="000C45A9"/>
    <w:rsid w:val="000C46F7"/>
    <w:rsid w:val="000C4958"/>
    <w:rsid w:val="000C49F6"/>
    <w:rsid w:val="000C4A97"/>
    <w:rsid w:val="000C4B1D"/>
    <w:rsid w:val="000C4B3D"/>
    <w:rsid w:val="000C4FDE"/>
    <w:rsid w:val="000C5027"/>
    <w:rsid w:val="000C51F3"/>
    <w:rsid w:val="000C5282"/>
    <w:rsid w:val="000C550D"/>
    <w:rsid w:val="000C5542"/>
    <w:rsid w:val="000C55C3"/>
    <w:rsid w:val="000C5703"/>
    <w:rsid w:val="000C57D9"/>
    <w:rsid w:val="000C583A"/>
    <w:rsid w:val="000C5844"/>
    <w:rsid w:val="000C5A1B"/>
    <w:rsid w:val="000C5A62"/>
    <w:rsid w:val="000C5ABC"/>
    <w:rsid w:val="000C5B40"/>
    <w:rsid w:val="000C5D8B"/>
    <w:rsid w:val="000C5DBF"/>
    <w:rsid w:val="000C5DC2"/>
    <w:rsid w:val="000C5E72"/>
    <w:rsid w:val="000C5F6E"/>
    <w:rsid w:val="000C6036"/>
    <w:rsid w:val="000C6182"/>
    <w:rsid w:val="000C620D"/>
    <w:rsid w:val="000C62B2"/>
    <w:rsid w:val="000C62C1"/>
    <w:rsid w:val="000C652E"/>
    <w:rsid w:val="000C6732"/>
    <w:rsid w:val="000C674A"/>
    <w:rsid w:val="000C6807"/>
    <w:rsid w:val="000C6878"/>
    <w:rsid w:val="000C6F3C"/>
    <w:rsid w:val="000C6F50"/>
    <w:rsid w:val="000C724D"/>
    <w:rsid w:val="000C726C"/>
    <w:rsid w:val="000C746B"/>
    <w:rsid w:val="000C755D"/>
    <w:rsid w:val="000C75D7"/>
    <w:rsid w:val="000C77B0"/>
    <w:rsid w:val="000C7843"/>
    <w:rsid w:val="000C78BA"/>
    <w:rsid w:val="000C795E"/>
    <w:rsid w:val="000C7A8A"/>
    <w:rsid w:val="000C7AD9"/>
    <w:rsid w:val="000C7B22"/>
    <w:rsid w:val="000C7C7D"/>
    <w:rsid w:val="000C7CA5"/>
    <w:rsid w:val="000D00CD"/>
    <w:rsid w:val="000D01FE"/>
    <w:rsid w:val="000D0384"/>
    <w:rsid w:val="000D039D"/>
    <w:rsid w:val="000D04A2"/>
    <w:rsid w:val="000D06CC"/>
    <w:rsid w:val="000D07C3"/>
    <w:rsid w:val="000D07F9"/>
    <w:rsid w:val="000D080F"/>
    <w:rsid w:val="000D0969"/>
    <w:rsid w:val="000D0A23"/>
    <w:rsid w:val="000D0C11"/>
    <w:rsid w:val="000D0E5E"/>
    <w:rsid w:val="000D10E9"/>
    <w:rsid w:val="000D11BB"/>
    <w:rsid w:val="000D12AF"/>
    <w:rsid w:val="000D1326"/>
    <w:rsid w:val="000D1334"/>
    <w:rsid w:val="000D1355"/>
    <w:rsid w:val="000D13FD"/>
    <w:rsid w:val="000D1553"/>
    <w:rsid w:val="000D15F0"/>
    <w:rsid w:val="000D16AE"/>
    <w:rsid w:val="000D172B"/>
    <w:rsid w:val="000D183F"/>
    <w:rsid w:val="000D1870"/>
    <w:rsid w:val="000D18E9"/>
    <w:rsid w:val="000D1951"/>
    <w:rsid w:val="000D19B4"/>
    <w:rsid w:val="000D1A53"/>
    <w:rsid w:val="000D1ACD"/>
    <w:rsid w:val="000D1BC1"/>
    <w:rsid w:val="000D1CDE"/>
    <w:rsid w:val="000D1CF6"/>
    <w:rsid w:val="000D1F03"/>
    <w:rsid w:val="000D20EA"/>
    <w:rsid w:val="000D210C"/>
    <w:rsid w:val="000D2249"/>
    <w:rsid w:val="000D2574"/>
    <w:rsid w:val="000D2684"/>
    <w:rsid w:val="000D28D3"/>
    <w:rsid w:val="000D2A8B"/>
    <w:rsid w:val="000D2B17"/>
    <w:rsid w:val="000D2BAF"/>
    <w:rsid w:val="000D307E"/>
    <w:rsid w:val="000D318C"/>
    <w:rsid w:val="000D31C9"/>
    <w:rsid w:val="000D32A3"/>
    <w:rsid w:val="000D32F1"/>
    <w:rsid w:val="000D3484"/>
    <w:rsid w:val="000D3737"/>
    <w:rsid w:val="000D3781"/>
    <w:rsid w:val="000D384E"/>
    <w:rsid w:val="000D3A4D"/>
    <w:rsid w:val="000D3A69"/>
    <w:rsid w:val="000D3A7D"/>
    <w:rsid w:val="000D3A94"/>
    <w:rsid w:val="000D3DCE"/>
    <w:rsid w:val="000D3EF9"/>
    <w:rsid w:val="000D4186"/>
    <w:rsid w:val="000D4244"/>
    <w:rsid w:val="000D44CF"/>
    <w:rsid w:val="000D44FD"/>
    <w:rsid w:val="000D456E"/>
    <w:rsid w:val="000D4EAF"/>
    <w:rsid w:val="000D4F5E"/>
    <w:rsid w:val="000D4F74"/>
    <w:rsid w:val="000D538F"/>
    <w:rsid w:val="000D53F9"/>
    <w:rsid w:val="000D5483"/>
    <w:rsid w:val="000D55F1"/>
    <w:rsid w:val="000D57B3"/>
    <w:rsid w:val="000D586D"/>
    <w:rsid w:val="000D59B5"/>
    <w:rsid w:val="000D5A28"/>
    <w:rsid w:val="000D5AA1"/>
    <w:rsid w:val="000D5BD7"/>
    <w:rsid w:val="000D5DE5"/>
    <w:rsid w:val="000D5FB5"/>
    <w:rsid w:val="000D606C"/>
    <w:rsid w:val="000D611C"/>
    <w:rsid w:val="000D61A2"/>
    <w:rsid w:val="000D62F9"/>
    <w:rsid w:val="000D6753"/>
    <w:rsid w:val="000D698D"/>
    <w:rsid w:val="000D69CF"/>
    <w:rsid w:val="000D6CB3"/>
    <w:rsid w:val="000D6DFD"/>
    <w:rsid w:val="000D6EF7"/>
    <w:rsid w:val="000D710B"/>
    <w:rsid w:val="000D7129"/>
    <w:rsid w:val="000D71FC"/>
    <w:rsid w:val="000D7286"/>
    <w:rsid w:val="000D737F"/>
    <w:rsid w:val="000D7388"/>
    <w:rsid w:val="000D74B6"/>
    <w:rsid w:val="000D7723"/>
    <w:rsid w:val="000D776A"/>
    <w:rsid w:val="000D783A"/>
    <w:rsid w:val="000D7A8A"/>
    <w:rsid w:val="000D7B5F"/>
    <w:rsid w:val="000D7FDA"/>
    <w:rsid w:val="000E0102"/>
    <w:rsid w:val="000E0183"/>
    <w:rsid w:val="000E0307"/>
    <w:rsid w:val="000E04E6"/>
    <w:rsid w:val="000E04F0"/>
    <w:rsid w:val="000E07B4"/>
    <w:rsid w:val="000E083E"/>
    <w:rsid w:val="000E099F"/>
    <w:rsid w:val="000E09B3"/>
    <w:rsid w:val="000E0AAF"/>
    <w:rsid w:val="000E0B52"/>
    <w:rsid w:val="000E0C99"/>
    <w:rsid w:val="000E106B"/>
    <w:rsid w:val="000E10EE"/>
    <w:rsid w:val="000E143D"/>
    <w:rsid w:val="000E1605"/>
    <w:rsid w:val="000E1767"/>
    <w:rsid w:val="000E1958"/>
    <w:rsid w:val="000E196A"/>
    <w:rsid w:val="000E1BF7"/>
    <w:rsid w:val="000E1E86"/>
    <w:rsid w:val="000E1F6E"/>
    <w:rsid w:val="000E21FC"/>
    <w:rsid w:val="000E2279"/>
    <w:rsid w:val="000E24CD"/>
    <w:rsid w:val="000E26B7"/>
    <w:rsid w:val="000E2763"/>
    <w:rsid w:val="000E276B"/>
    <w:rsid w:val="000E2779"/>
    <w:rsid w:val="000E2977"/>
    <w:rsid w:val="000E2BC5"/>
    <w:rsid w:val="000E2CE7"/>
    <w:rsid w:val="000E2D02"/>
    <w:rsid w:val="000E2FA8"/>
    <w:rsid w:val="000E2FF5"/>
    <w:rsid w:val="000E35CF"/>
    <w:rsid w:val="000E3645"/>
    <w:rsid w:val="000E3713"/>
    <w:rsid w:val="000E3896"/>
    <w:rsid w:val="000E3917"/>
    <w:rsid w:val="000E395E"/>
    <w:rsid w:val="000E3CD4"/>
    <w:rsid w:val="000E3CE4"/>
    <w:rsid w:val="000E3CEC"/>
    <w:rsid w:val="000E3D54"/>
    <w:rsid w:val="000E3EF0"/>
    <w:rsid w:val="000E3F28"/>
    <w:rsid w:val="000E4010"/>
    <w:rsid w:val="000E40AE"/>
    <w:rsid w:val="000E447E"/>
    <w:rsid w:val="000E4481"/>
    <w:rsid w:val="000E44A1"/>
    <w:rsid w:val="000E4730"/>
    <w:rsid w:val="000E4816"/>
    <w:rsid w:val="000E4898"/>
    <w:rsid w:val="000E4A5D"/>
    <w:rsid w:val="000E4C60"/>
    <w:rsid w:val="000E4EBF"/>
    <w:rsid w:val="000E4FB5"/>
    <w:rsid w:val="000E4FDC"/>
    <w:rsid w:val="000E540B"/>
    <w:rsid w:val="000E5682"/>
    <w:rsid w:val="000E5770"/>
    <w:rsid w:val="000E5841"/>
    <w:rsid w:val="000E58EE"/>
    <w:rsid w:val="000E59B7"/>
    <w:rsid w:val="000E5A2D"/>
    <w:rsid w:val="000E5CBD"/>
    <w:rsid w:val="000E5DFE"/>
    <w:rsid w:val="000E5EB0"/>
    <w:rsid w:val="000E5F61"/>
    <w:rsid w:val="000E61E3"/>
    <w:rsid w:val="000E62D8"/>
    <w:rsid w:val="000E62F3"/>
    <w:rsid w:val="000E65C7"/>
    <w:rsid w:val="000E6614"/>
    <w:rsid w:val="000E679C"/>
    <w:rsid w:val="000E67B9"/>
    <w:rsid w:val="000E68DB"/>
    <w:rsid w:val="000E6D01"/>
    <w:rsid w:val="000E6D45"/>
    <w:rsid w:val="000E6E7E"/>
    <w:rsid w:val="000E7012"/>
    <w:rsid w:val="000E702F"/>
    <w:rsid w:val="000E71C8"/>
    <w:rsid w:val="000E7303"/>
    <w:rsid w:val="000E745E"/>
    <w:rsid w:val="000E76DC"/>
    <w:rsid w:val="000E771D"/>
    <w:rsid w:val="000E77A2"/>
    <w:rsid w:val="000E7A80"/>
    <w:rsid w:val="000E7AB5"/>
    <w:rsid w:val="000E7DAF"/>
    <w:rsid w:val="000E7E4D"/>
    <w:rsid w:val="000E7EF3"/>
    <w:rsid w:val="000E7F31"/>
    <w:rsid w:val="000F0051"/>
    <w:rsid w:val="000F056D"/>
    <w:rsid w:val="000F0628"/>
    <w:rsid w:val="000F06AD"/>
    <w:rsid w:val="000F076F"/>
    <w:rsid w:val="000F0803"/>
    <w:rsid w:val="000F080C"/>
    <w:rsid w:val="000F0843"/>
    <w:rsid w:val="000F0942"/>
    <w:rsid w:val="000F0AF1"/>
    <w:rsid w:val="000F0D31"/>
    <w:rsid w:val="000F0E7B"/>
    <w:rsid w:val="000F0EC1"/>
    <w:rsid w:val="000F111A"/>
    <w:rsid w:val="000F12D1"/>
    <w:rsid w:val="000F13C9"/>
    <w:rsid w:val="000F1452"/>
    <w:rsid w:val="000F1522"/>
    <w:rsid w:val="000F1528"/>
    <w:rsid w:val="000F1636"/>
    <w:rsid w:val="000F16AD"/>
    <w:rsid w:val="000F1792"/>
    <w:rsid w:val="000F17A9"/>
    <w:rsid w:val="000F1890"/>
    <w:rsid w:val="000F1900"/>
    <w:rsid w:val="000F1B93"/>
    <w:rsid w:val="000F1D07"/>
    <w:rsid w:val="000F1DA3"/>
    <w:rsid w:val="000F1E2F"/>
    <w:rsid w:val="000F20FE"/>
    <w:rsid w:val="000F21E5"/>
    <w:rsid w:val="000F2411"/>
    <w:rsid w:val="000F24C0"/>
    <w:rsid w:val="000F286A"/>
    <w:rsid w:val="000F2965"/>
    <w:rsid w:val="000F29E8"/>
    <w:rsid w:val="000F2B5F"/>
    <w:rsid w:val="000F2E67"/>
    <w:rsid w:val="000F2F60"/>
    <w:rsid w:val="000F30A1"/>
    <w:rsid w:val="000F3124"/>
    <w:rsid w:val="000F346E"/>
    <w:rsid w:val="000F351A"/>
    <w:rsid w:val="000F35C5"/>
    <w:rsid w:val="000F35D5"/>
    <w:rsid w:val="000F3783"/>
    <w:rsid w:val="000F38F9"/>
    <w:rsid w:val="000F39D1"/>
    <w:rsid w:val="000F39D8"/>
    <w:rsid w:val="000F3A18"/>
    <w:rsid w:val="000F3AD5"/>
    <w:rsid w:val="000F3B4F"/>
    <w:rsid w:val="000F3B9B"/>
    <w:rsid w:val="000F3BB0"/>
    <w:rsid w:val="000F3C4C"/>
    <w:rsid w:val="000F420F"/>
    <w:rsid w:val="000F4394"/>
    <w:rsid w:val="000F43D6"/>
    <w:rsid w:val="000F4527"/>
    <w:rsid w:val="000F46EB"/>
    <w:rsid w:val="000F47BF"/>
    <w:rsid w:val="000F4A20"/>
    <w:rsid w:val="000F4D28"/>
    <w:rsid w:val="000F507E"/>
    <w:rsid w:val="000F510F"/>
    <w:rsid w:val="000F51D5"/>
    <w:rsid w:val="000F5340"/>
    <w:rsid w:val="000F535A"/>
    <w:rsid w:val="000F53D1"/>
    <w:rsid w:val="000F5A8B"/>
    <w:rsid w:val="000F5EFC"/>
    <w:rsid w:val="000F5F26"/>
    <w:rsid w:val="000F5FFC"/>
    <w:rsid w:val="000F6030"/>
    <w:rsid w:val="000F6048"/>
    <w:rsid w:val="000F6083"/>
    <w:rsid w:val="000F611C"/>
    <w:rsid w:val="000F620A"/>
    <w:rsid w:val="000F632A"/>
    <w:rsid w:val="000F6452"/>
    <w:rsid w:val="000F65BC"/>
    <w:rsid w:val="000F65F1"/>
    <w:rsid w:val="000F6618"/>
    <w:rsid w:val="000F6931"/>
    <w:rsid w:val="000F6A23"/>
    <w:rsid w:val="000F6AF5"/>
    <w:rsid w:val="000F6BA2"/>
    <w:rsid w:val="000F6E72"/>
    <w:rsid w:val="000F6FDF"/>
    <w:rsid w:val="000F702B"/>
    <w:rsid w:val="000F714C"/>
    <w:rsid w:val="000F71E6"/>
    <w:rsid w:val="000F73C6"/>
    <w:rsid w:val="000F745E"/>
    <w:rsid w:val="000F76DE"/>
    <w:rsid w:val="000F7713"/>
    <w:rsid w:val="000F77C3"/>
    <w:rsid w:val="000F78DB"/>
    <w:rsid w:val="000F79B5"/>
    <w:rsid w:val="000F79E2"/>
    <w:rsid w:val="000F7B5D"/>
    <w:rsid w:val="000F7BD7"/>
    <w:rsid w:val="000F7CCC"/>
    <w:rsid w:val="000F7D2F"/>
    <w:rsid w:val="000F7DDE"/>
    <w:rsid w:val="000F7DF5"/>
    <w:rsid w:val="000F7EC8"/>
    <w:rsid w:val="000F7F2E"/>
    <w:rsid w:val="001002D8"/>
    <w:rsid w:val="00100395"/>
    <w:rsid w:val="0010050F"/>
    <w:rsid w:val="0010077F"/>
    <w:rsid w:val="00100916"/>
    <w:rsid w:val="00100939"/>
    <w:rsid w:val="001009D4"/>
    <w:rsid w:val="00100A85"/>
    <w:rsid w:val="00100CAF"/>
    <w:rsid w:val="00100D4B"/>
    <w:rsid w:val="00100D6B"/>
    <w:rsid w:val="00100DCB"/>
    <w:rsid w:val="00100E08"/>
    <w:rsid w:val="00100FD3"/>
    <w:rsid w:val="001010A6"/>
    <w:rsid w:val="001010BA"/>
    <w:rsid w:val="001010D9"/>
    <w:rsid w:val="00101115"/>
    <w:rsid w:val="00101334"/>
    <w:rsid w:val="0010153E"/>
    <w:rsid w:val="001015A5"/>
    <w:rsid w:val="001015A7"/>
    <w:rsid w:val="00101AAD"/>
    <w:rsid w:val="00101B13"/>
    <w:rsid w:val="00101C67"/>
    <w:rsid w:val="00101F04"/>
    <w:rsid w:val="00101F12"/>
    <w:rsid w:val="00101F5F"/>
    <w:rsid w:val="00101F70"/>
    <w:rsid w:val="00102098"/>
    <w:rsid w:val="00102169"/>
    <w:rsid w:val="001022BF"/>
    <w:rsid w:val="001023FE"/>
    <w:rsid w:val="001024B7"/>
    <w:rsid w:val="0010251D"/>
    <w:rsid w:val="00102627"/>
    <w:rsid w:val="00102A84"/>
    <w:rsid w:val="00102CDC"/>
    <w:rsid w:val="00102DBF"/>
    <w:rsid w:val="00102DC1"/>
    <w:rsid w:val="00102DE4"/>
    <w:rsid w:val="00102F73"/>
    <w:rsid w:val="00103006"/>
    <w:rsid w:val="0010302D"/>
    <w:rsid w:val="00103067"/>
    <w:rsid w:val="001031D2"/>
    <w:rsid w:val="001034D1"/>
    <w:rsid w:val="0010361B"/>
    <w:rsid w:val="00103648"/>
    <w:rsid w:val="00103809"/>
    <w:rsid w:val="00103921"/>
    <w:rsid w:val="001039FF"/>
    <w:rsid w:val="00103A1F"/>
    <w:rsid w:val="00103A56"/>
    <w:rsid w:val="00103C45"/>
    <w:rsid w:val="00103DDC"/>
    <w:rsid w:val="00103DE1"/>
    <w:rsid w:val="00103EF6"/>
    <w:rsid w:val="00103EFD"/>
    <w:rsid w:val="0010405B"/>
    <w:rsid w:val="001040CA"/>
    <w:rsid w:val="001041E3"/>
    <w:rsid w:val="001041ED"/>
    <w:rsid w:val="00104274"/>
    <w:rsid w:val="001042B8"/>
    <w:rsid w:val="001042C6"/>
    <w:rsid w:val="001042D4"/>
    <w:rsid w:val="001042F7"/>
    <w:rsid w:val="001044DE"/>
    <w:rsid w:val="00104526"/>
    <w:rsid w:val="0010457E"/>
    <w:rsid w:val="0010460F"/>
    <w:rsid w:val="0010466A"/>
    <w:rsid w:val="0010470B"/>
    <w:rsid w:val="00104713"/>
    <w:rsid w:val="0010482C"/>
    <w:rsid w:val="00104835"/>
    <w:rsid w:val="00104880"/>
    <w:rsid w:val="001048A0"/>
    <w:rsid w:val="00104A21"/>
    <w:rsid w:val="001051C5"/>
    <w:rsid w:val="001051F6"/>
    <w:rsid w:val="00105346"/>
    <w:rsid w:val="00105425"/>
    <w:rsid w:val="001054FA"/>
    <w:rsid w:val="001054FD"/>
    <w:rsid w:val="001055F0"/>
    <w:rsid w:val="00105806"/>
    <w:rsid w:val="00105906"/>
    <w:rsid w:val="00105923"/>
    <w:rsid w:val="00105BF1"/>
    <w:rsid w:val="00105C10"/>
    <w:rsid w:val="00105D8B"/>
    <w:rsid w:val="00105EEE"/>
    <w:rsid w:val="00105F70"/>
    <w:rsid w:val="00105FBF"/>
    <w:rsid w:val="001061E9"/>
    <w:rsid w:val="001062E0"/>
    <w:rsid w:val="0010630C"/>
    <w:rsid w:val="001063C6"/>
    <w:rsid w:val="0010655B"/>
    <w:rsid w:val="0010656D"/>
    <w:rsid w:val="0010675D"/>
    <w:rsid w:val="00106979"/>
    <w:rsid w:val="00106ACD"/>
    <w:rsid w:val="00106CE6"/>
    <w:rsid w:val="00106E56"/>
    <w:rsid w:val="00106E85"/>
    <w:rsid w:val="001070C1"/>
    <w:rsid w:val="001073B8"/>
    <w:rsid w:val="0010753D"/>
    <w:rsid w:val="001076A7"/>
    <w:rsid w:val="001076F6"/>
    <w:rsid w:val="0010783F"/>
    <w:rsid w:val="00107841"/>
    <w:rsid w:val="0010785B"/>
    <w:rsid w:val="001078AB"/>
    <w:rsid w:val="0010797E"/>
    <w:rsid w:val="00107AA2"/>
    <w:rsid w:val="00107E4C"/>
    <w:rsid w:val="00107F87"/>
    <w:rsid w:val="001100C0"/>
    <w:rsid w:val="00110297"/>
    <w:rsid w:val="001102BC"/>
    <w:rsid w:val="0011030D"/>
    <w:rsid w:val="00110479"/>
    <w:rsid w:val="0011048A"/>
    <w:rsid w:val="00110627"/>
    <w:rsid w:val="0011067A"/>
    <w:rsid w:val="00110702"/>
    <w:rsid w:val="00110911"/>
    <w:rsid w:val="0011099B"/>
    <w:rsid w:val="001109D5"/>
    <w:rsid w:val="00110AFA"/>
    <w:rsid w:val="00110B1E"/>
    <w:rsid w:val="00110C6B"/>
    <w:rsid w:val="00110DA5"/>
    <w:rsid w:val="00110FFE"/>
    <w:rsid w:val="00111131"/>
    <w:rsid w:val="001111F9"/>
    <w:rsid w:val="00111258"/>
    <w:rsid w:val="001113AF"/>
    <w:rsid w:val="001114F5"/>
    <w:rsid w:val="0011150E"/>
    <w:rsid w:val="0011164B"/>
    <w:rsid w:val="00111715"/>
    <w:rsid w:val="00111722"/>
    <w:rsid w:val="001118DC"/>
    <w:rsid w:val="00111B23"/>
    <w:rsid w:val="00111BB8"/>
    <w:rsid w:val="00111D4A"/>
    <w:rsid w:val="00112026"/>
    <w:rsid w:val="00112191"/>
    <w:rsid w:val="001122AF"/>
    <w:rsid w:val="001122F5"/>
    <w:rsid w:val="0011234E"/>
    <w:rsid w:val="00112372"/>
    <w:rsid w:val="0011244D"/>
    <w:rsid w:val="00112679"/>
    <w:rsid w:val="001127B6"/>
    <w:rsid w:val="001129E0"/>
    <w:rsid w:val="00112CF8"/>
    <w:rsid w:val="00112E25"/>
    <w:rsid w:val="00112EC9"/>
    <w:rsid w:val="00113007"/>
    <w:rsid w:val="001132BD"/>
    <w:rsid w:val="001133AD"/>
    <w:rsid w:val="001133EA"/>
    <w:rsid w:val="001134C0"/>
    <w:rsid w:val="001134E2"/>
    <w:rsid w:val="0011351A"/>
    <w:rsid w:val="001136E3"/>
    <w:rsid w:val="0011383C"/>
    <w:rsid w:val="00113961"/>
    <w:rsid w:val="0011398D"/>
    <w:rsid w:val="00113A54"/>
    <w:rsid w:val="00113BF8"/>
    <w:rsid w:val="00113ECA"/>
    <w:rsid w:val="00113F36"/>
    <w:rsid w:val="00113FCC"/>
    <w:rsid w:val="00113FF1"/>
    <w:rsid w:val="00114171"/>
    <w:rsid w:val="001141A2"/>
    <w:rsid w:val="00114575"/>
    <w:rsid w:val="00114621"/>
    <w:rsid w:val="001146B3"/>
    <w:rsid w:val="00114705"/>
    <w:rsid w:val="00114722"/>
    <w:rsid w:val="0011475C"/>
    <w:rsid w:val="00114894"/>
    <w:rsid w:val="0011489A"/>
    <w:rsid w:val="001149FA"/>
    <w:rsid w:val="00114AB4"/>
    <w:rsid w:val="00114BAA"/>
    <w:rsid w:val="00114D98"/>
    <w:rsid w:val="00114DC5"/>
    <w:rsid w:val="00114E4B"/>
    <w:rsid w:val="00115127"/>
    <w:rsid w:val="0011513D"/>
    <w:rsid w:val="001152AA"/>
    <w:rsid w:val="001153B7"/>
    <w:rsid w:val="001153BC"/>
    <w:rsid w:val="0011545E"/>
    <w:rsid w:val="001154CE"/>
    <w:rsid w:val="0011553B"/>
    <w:rsid w:val="00115616"/>
    <w:rsid w:val="001157E6"/>
    <w:rsid w:val="00115910"/>
    <w:rsid w:val="00115B30"/>
    <w:rsid w:val="00115B45"/>
    <w:rsid w:val="00115B7D"/>
    <w:rsid w:val="00115CF4"/>
    <w:rsid w:val="00115F04"/>
    <w:rsid w:val="00115F85"/>
    <w:rsid w:val="00115FA4"/>
    <w:rsid w:val="001161E5"/>
    <w:rsid w:val="0011625C"/>
    <w:rsid w:val="0011660C"/>
    <w:rsid w:val="001166A6"/>
    <w:rsid w:val="00116B1D"/>
    <w:rsid w:val="00116D93"/>
    <w:rsid w:val="00116E49"/>
    <w:rsid w:val="00117453"/>
    <w:rsid w:val="001174F2"/>
    <w:rsid w:val="001175D1"/>
    <w:rsid w:val="0011763B"/>
    <w:rsid w:val="0011786E"/>
    <w:rsid w:val="001178E0"/>
    <w:rsid w:val="00117D60"/>
    <w:rsid w:val="00117ED0"/>
    <w:rsid w:val="00117F4A"/>
    <w:rsid w:val="0012002A"/>
    <w:rsid w:val="001200A8"/>
    <w:rsid w:val="001201A6"/>
    <w:rsid w:val="001202E5"/>
    <w:rsid w:val="00120452"/>
    <w:rsid w:val="001208E1"/>
    <w:rsid w:val="00120902"/>
    <w:rsid w:val="001209C6"/>
    <w:rsid w:val="00120AA7"/>
    <w:rsid w:val="00120B2B"/>
    <w:rsid w:val="00120BDB"/>
    <w:rsid w:val="00120C26"/>
    <w:rsid w:val="00120D26"/>
    <w:rsid w:val="00121075"/>
    <w:rsid w:val="00121079"/>
    <w:rsid w:val="00121581"/>
    <w:rsid w:val="00121708"/>
    <w:rsid w:val="00121728"/>
    <w:rsid w:val="00121842"/>
    <w:rsid w:val="00121971"/>
    <w:rsid w:val="00121A8F"/>
    <w:rsid w:val="00121BE2"/>
    <w:rsid w:val="00121E6B"/>
    <w:rsid w:val="00121F6F"/>
    <w:rsid w:val="001220DB"/>
    <w:rsid w:val="00122110"/>
    <w:rsid w:val="0012215D"/>
    <w:rsid w:val="001221FB"/>
    <w:rsid w:val="001224AC"/>
    <w:rsid w:val="0012251A"/>
    <w:rsid w:val="001225BA"/>
    <w:rsid w:val="00122704"/>
    <w:rsid w:val="00122724"/>
    <w:rsid w:val="00122764"/>
    <w:rsid w:val="00122861"/>
    <w:rsid w:val="0012290C"/>
    <w:rsid w:val="00122BB1"/>
    <w:rsid w:val="00122C6A"/>
    <w:rsid w:val="00122CD5"/>
    <w:rsid w:val="00122EB6"/>
    <w:rsid w:val="00122FB8"/>
    <w:rsid w:val="001230C7"/>
    <w:rsid w:val="001230EC"/>
    <w:rsid w:val="0012317A"/>
    <w:rsid w:val="001231EB"/>
    <w:rsid w:val="00123403"/>
    <w:rsid w:val="00123585"/>
    <w:rsid w:val="001236D1"/>
    <w:rsid w:val="001239D8"/>
    <w:rsid w:val="00123A02"/>
    <w:rsid w:val="00123A06"/>
    <w:rsid w:val="00123AC2"/>
    <w:rsid w:val="00123C0E"/>
    <w:rsid w:val="00123D1E"/>
    <w:rsid w:val="00123DCD"/>
    <w:rsid w:val="00123F09"/>
    <w:rsid w:val="00124037"/>
    <w:rsid w:val="00124060"/>
    <w:rsid w:val="001240EA"/>
    <w:rsid w:val="00124223"/>
    <w:rsid w:val="0012441D"/>
    <w:rsid w:val="00124446"/>
    <w:rsid w:val="0012445D"/>
    <w:rsid w:val="00124711"/>
    <w:rsid w:val="001247BA"/>
    <w:rsid w:val="001248B4"/>
    <w:rsid w:val="00124A59"/>
    <w:rsid w:val="00124B35"/>
    <w:rsid w:val="00124C51"/>
    <w:rsid w:val="00124CBE"/>
    <w:rsid w:val="00124CD2"/>
    <w:rsid w:val="00124D28"/>
    <w:rsid w:val="00124D89"/>
    <w:rsid w:val="00124DC0"/>
    <w:rsid w:val="0012573E"/>
    <w:rsid w:val="0012574A"/>
    <w:rsid w:val="00125AEB"/>
    <w:rsid w:val="00125B95"/>
    <w:rsid w:val="00125D51"/>
    <w:rsid w:val="00125D91"/>
    <w:rsid w:val="001260E5"/>
    <w:rsid w:val="00126256"/>
    <w:rsid w:val="00126267"/>
    <w:rsid w:val="001268AE"/>
    <w:rsid w:val="00126925"/>
    <w:rsid w:val="00126AF4"/>
    <w:rsid w:val="00126BEA"/>
    <w:rsid w:val="00126CCB"/>
    <w:rsid w:val="00126E31"/>
    <w:rsid w:val="00126F3A"/>
    <w:rsid w:val="00127187"/>
    <w:rsid w:val="0012739C"/>
    <w:rsid w:val="0012740D"/>
    <w:rsid w:val="00127545"/>
    <w:rsid w:val="001276D0"/>
    <w:rsid w:val="001278F1"/>
    <w:rsid w:val="00127B10"/>
    <w:rsid w:val="00127DCC"/>
    <w:rsid w:val="0013015D"/>
    <w:rsid w:val="001302D5"/>
    <w:rsid w:val="001302DA"/>
    <w:rsid w:val="0013044C"/>
    <w:rsid w:val="0013050B"/>
    <w:rsid w:val="0013068E"/>
    <w:rsid w:val="001306AB"/>
    <w:rsid w:val="0013070A"/>
    <w:rsid w:val="001307E9"/>
    <w:rsid w:val="00130832"/>
    <w:rsid w:val="00130A42"/>
    <w:rsid w:val="00130B50"/>
    <w:rsid w:val="00130B95"/>
    <w:rsid w:val="00130C21"/>
    <w:rsid w:val="00130C3E"/>
    <w:rsid w:val="00130CE1"/>
    <w:rsid w:val="00130D7D"/>
    <w:rsid w:val="00130E76"/>
    <w:rsid w:val="00130F25"/>
    <w:rsid w:val="001310AD"/>
    <w:rsid w:val="00131179"/>
    <w:rsid w:val="001311B8"/>
    <w:rsid w:val="00131245"/>
    <w:rsid w:val="0013124D"/>
    <w:rsid w:val="00131284"/>
    <w:rsid w:val="0013128A"/>
    <w:rsid w:val="001314C6"/>
    <w:rsid w:val="001315E0"/>
    <w:rsid w:val="00131794"/>
    <w:rsid w:val="00131815"/>
    <w:rsid w:val="00131BB0"/>
    <w:rsid w:val="00131C87"/>
    <w:rsid w:val="00131D73"/>
    <w:rsid w:val="00131D8E"/>
    <w:rsid w:val="00131E14"/>
    <w:rsid w:val="00131FC6"/>
    <w:rsid w:val="0013215E"/>
    <w:rsid w:val="00132240"/>
    <w:rsid w:val="001322A1"/>
    <w:rsid w:val="0013298A"/>
    <w:rsid w:val="00132CA8"/>
    <w:rsid w:val="00132D35"/>
    <w:rsid w:val="00132DCC"/>
    <w:rsid w:val="00132ED7"/>
    <w:rsid w:val="00133044"/>
    <w:rsid w:val="0013318E"/>
    <w:rsid w:val="0013324C"/>
    <w:rsid w:val="00133424"/>
    <w:rsid w:val="001334C7"/>
    <w:rsid w:val="001336F6"/>
    <w:rsid w:val="001337AE"/>
    <w:rsid w:val="00133809"/>
    <w:rsid w:val="0013388D"/>
    <w:rsid w:val="001338B4"/>
    <w:rsid w:val="0013395E"/>
    <w:rsid w:val="00133993"/>
    <w:rsid w:val="00133BDB"/>
    <w:rsid w:val="00133D6A"/>
    <w:rsid w:val="001342B0"/>
    <w:rsid w:val="00134589"/>
    <w:rsid w:val="001346CA"/>
    <w:rsid w:val="0013474E"/>
    <w:rsid w:val="00134782"/>
    <w:rsid w:val="00134824"/>
    <w:rsid w:val="00134B58"/>
    <w:rsid w:val="00134C11"/>
    <w:rsid w:val="00134C31"/>
    <w:rsid w:val="00134C3B"/>
    <w:rsid w:val="00134D8B"/>
    <w:rsid w:val="00134E08"/>
    <w:rsid w:val="00134E60"/>
    <w:rsid w:val="00134F53"/>
    <w:rsid w:val="001352B7"/>
    <w:rsid w:val="001353C3"/>
    <w:rsid w:val="001353E5"/>
    <w:rsid w:val="0013545A"/>
    <w:rsid w:val="00135564"/>
    <w:rsid w:val="0013573A"/>
    <w:rsid w:val="00135790"/>
    <w:rsid w:val="001358F7"/>
    <w:rsid w:val="00135ACA"/>
    <w:rsid w:val="00135DC5"/>
    <w:rsid w:val="00135E37"/>
    <w:rsid w:val="00136268"/>
    <w:rsid w:val="00136272"/>
    <w:rsid w:val="001362C8"/>
    <w:rsid w:val="001362D9"/>
    <w:rsid w:val="0013633F"/>
    <w:rsid w:val="001364CD"/>
    <w:rsid w:val="0013656C"/>
    <w:rsid w:val="001365E8"/>
    <w:rsid w:val="00136639"/>
    <w:rsid w:val="001366C6"/>
    <w:rsid w:val="0013682C"/>
    <w:rsid w:val="001368AE"/>
    <w:rsid w:val="001368B0"/>
    <w:rsid w:val="001368CB"/>
    <w:rsid w:val="0013694D"/>
    <w:rsid w:val="00136964"/>
    <w:rsid w:val="0013698D"/>
    <w:rsid w:val="00136CA7"/>
    <w:rsid w:val="00136CEE"/>
    <w:rsid w:val="00136E7C"/>
    <w:rsid w:val="00136F4A"/>
    <w:rsid w:val="00136FC8"/>
    <w:rsid w:val="0013712A"/>
    <w:rsid w:val="00137222"/>
    <w:rsid w:val="00137303"/>
    <w:rsid w:val="00137421"/>
    <w:rsid w:val="0013748C"/>
    <w:rsid w:val="001374F6"/>
    <w:rsid w:val="00137641"/>
    <w:rsid w:val="001377CA"/>
    <w:rsid w:val="00137966"/>
    <w:rsid w:val="00137984"/>
    <w:rsid w:val="001379DA"/>
    <w:rsid w:val="00137A5C"/>
    <w:rsid w:val="00137A88"/>
    <w:rsid w:val="00137B37"/>
    <w:rsid w:val="00137E57"/>
    <w:rsid w:val="00137E5E"/>
    <w:rsid w:val="00137EE9"/>
    <w:rsid w:val="00140016"/>
    <w:rsid w:val="0014013A"/>
    <w:rsid w:val="00140182"/>
    <w:rsid w:val="001402A1"/>
    <w:rsid w:val="0014053B"/>
    <w:rsid w:val="001405D3"/>
    <w:rsid w:val="001407EB"/>
    <w:rsid w:val="00140C23"/>
    <w:rsid w:val="00140C4C"/>
    <w:rsid w:val="00140CBB"/>
    <w:rsid w:val="00140F65"/>
    <w:rsid w:val="00141018"/>
    <w:rsid w:val="001411F7"/>
    <w:rsid w:val="001414B8"/>
    <w:rsid w:val="001414CE"/>
    <w:rsid w:val="00141548"/>
    <w:rsid w:val="001416F6"/>
    <w:rsid w:val="00141827"/>
    <w:rsid w:val="00141891"/>
    <w:rsid w:val="00141A56"/>
    <w:rsid w:val="00141B60"/>
    <w:rsid w:val="00141CF6"/>
    <w:rsid w:val="00141E2B"/>
    <w:rsid w:val="00141F16"/>
    <w:rsid w:val="00142306"/>
    <w:rsid w:val="0014249D"/>
    <w:rsid w:val="00142652"/>
    <w:rsid w:val="00142910"/>
    <w:rsid w:val="00142A39"/>
    <w:rsid w:val="00142DB6"/>
    <w:rsid w:val="00142E80"/>
    <w:rsid w:val="00142EBA"/>
    <w:rsid w:val="00142EEB"/>
    <w:rsid w:val="00142F6F"/>
    <w:rsid w:val="00143108"/>
    <w:rsid w:val="0014336B"/>
    <w:rsid w:val="001435ED"/>
    <w:rsid w:val="001435F4"/>
    <w:rsid w:val="00143613"/>
    <w:rsid w:val="00143666"/>
    <w:rsid w:val="001438E9"/>
    <w:rsid w:val="0014398F"/>
    <w:rsid w:val="001439E3"/>
    <w:rsid w:val="00143A36"/>
    <w:rsid w:val="00143AE5"/>
    <w:rsid w:val="00143CA5"/>
    <w:rsid w:val="00143CC5"/>
    <w:rsid w:val="00143D7F"/>
    <w:rsid w:val="00143DB5"/>
    <w:rsid w:val="00143E10"/>
    <w:rsid w:val="0014403E"/>
    <w:rsid w:val="0014424E"/>
    <w:rsid w:val="00144252"/>
    <w:rsid w:val="001442DE"/>
    <w:rsid w:val="001444F2"/>
    <w:rsid w:val="0014492D"/>
    <w:rsid w:val="001449BC"/>
    <w:rsid w:val="00144A3A"/>
    <w:rsid w:val="00144AD2"/>
    <w:rsid w:val="00144C48"/>
    <w:rsid w:val="00144C76"/>
    <w:rsid w:val="00144D50"/>
    <w:rsid w:val="00144E24"/>
    <w:rsid w:val="00144EBC"/>
    <w:rsid w:val="00144ED0"/>
    <w:rsid w:val="00144EF3"/>
    <w:rsid w:val="00144EFD"/>
    <w:rsid w:val="00144FA4"/>
    <w:rsid w:val="00144FD9"/>
    <w:rsid w:val="00145161"/>
    <w:rsid w:val="001451A3"/>
    <w:rsid w:val="0014520E"/>
    <w:rsid w:val="0014521E"/>
    <w:rsid w:val="00145226"/>
    <w:rsid w:val="0014525F"/>
    <w:rsid w:val="0014528B"/>
    <w:rsid w:val="001452CA"/>
    <w:rsid w:val="0014567F"/>
    <w:rsid w:val="001456EE"/>
    <w:rsid w:val="00145970"/>
    <w:rsid w:val="00145BF0"/>
    <w:rsid w:val="00145C0A"/>
    <w:rsid w:val="00145C6B"/>
    <w:rsid w:val="00145C86"/>
    <w:rsid w:val="00145FD5"/>
    <w:rsid w:val="00146274"/>
    <w:rsid w:val="00146305"/>
    <w:rsid w:val="001466EF"/>
    <w:rsid w:val="0014673E"/>
    <w:rsid w:val="001468A9"/>
    <w:rsid w:val="00146951"/>
    <w:rsid w:val="00146A2C"/>
    <w:rsid w:val="00146A6E"/>
    <w:rsid w:val="00146EC6"/>
    <w:rsid w:val="00146F3D"/>
    <w:rsid w:val="00147031"/>
    <w:rsid w:val="001470BF"/>
    <w:rsid w:val="001474F5"/>
    <w:rsid w:val="001474F8"/>
    <w:rsid w:val="001475D1"/>
    <w:rsid w:val="00147608"/>
    <w:rsid w:val="001477EE"/>
    <w:rsid w:val="001478A2"/>
    <w:rsid w:val="001478B4"/>
    <w:rsid w:val="00147919"/>
    <w:rsid w:val="001479B5"/>
    <w:rsid w:val="00147A3C"/>
    <w:rsid w:val="00147AA9"/>
    <w:rsid w:val="00147AEC"/>
    <w:rsid w:val="00147AEF"/>
    <w:rsid w:val="00147BB4"/>
    <w:rsid w:val="00147C88"/>
    <w:rsid w:val="00147E19"/>
    <w:rsid w:val="00147E96"/>
    <w:rsid w:val="00147EE0"/>
    <w:rsid w:val="00150189"/>
    <w:rsid w:val="0015029E"/>
    <w:rsid w:val="001503D9"/>
    <w:rsid w:val="001503FF"/>
    <w:rsid w:val="001504B4"/>
    <w:rsid w:val="00150614"/>
    <w:rsid w:val="0015070F"/>
    <w:rsid w:val="00150827"/>
    <w:rsid w:val="0015084B"/>
    <w:rsid w:val="001509FE"/>
    <w:rsid w:val="00150A79"/>
    <w:rsid w:val="00150B40"/>
    <w:rsid w:val="00150C26"/>
    <w:rsid w:val="00150C87"/>
    <w:rsid w:val="00150ED4"/>
    <w:rsid w:val="00151070"/>
    <w:rsid w:val="00151409"/>
    <w:rsid w:val="001514F3"/>
    <w:rsid w:val="00151578"/>
    <w:rsid w:val="0015159C"/>
    <w:rsid w:val="001516B5"/>
    <w:rsid w:val="00151756"/>
    <w:rsid w:val="001517F0"/>
    <w:rsid w:val="001518E5"/>
    <w:rsid w:val="0015195F"/>
    <w:rsid w:val="001519B5"/>
    <w:rsid w:val="00151BB1"/>
    <w:rsid w:val="00151C6C"/>
    <w:rsid w:val="00151CFF"/>
    <w:rsid w:val="00151F39"/>
    <w:rsid w:val="00151F3B"/>
    <w:rsid w:val="00151F59"/>
    <w:rsid w:val="00152008"/>
    <w:rsid w:val="00152024"/>
    <w:rsid w:val="001522EC"/>
    <w:rsid w:val="0015245A"/>
    <w:rsid w:val="001524C3"/>
    <w:rsid w:val="00152528"/>
    <w:rsid w:val="00152750"/>
    <w:rsid w:val="001527D6"/>
    <w:rsid w:val="00152E67"/>
    <w:rsid w:val="00152F02"/>
    <w:rsid w:val="001531AE"/>
    <w:rsid w:val="00153308"/>
    <w:rsid w:val="0015336C"/>
    <w:rsid w:val="001533AA"/>
    <w:rsid w:val="001533E7"/>
    <w:rsid w:val="0015351D"/>
    <w:rsid w:val="001535C6"/>
    <w:rsid w:val="00153661"/>
    <w:rsid w:val="001536AA"/>
    <w:rsid w:val="00153856"/>
    <w:rsid w:val="00153DAC"/>
    <w:rsid w:val="00153F51"/>
    <w:rsid w:val="001540FE"/>
    <w:rsid w:val="0015427A"/>
    <w:rsid w:val="001542A5"/>
    <w:rsid w:val="001542BD"/>
    <w:rsid w:val="00154604"/>
    <w:rsid w:val="001547D3"/>
    <w:rsid w:val="001548AE"/>
    <w:rsid w:val="001548BF"/>
    <w:rsid w:val="00154BDB"/>
    <w:rsid w:val="00154C8B"/>
    <w:rsid w:val="00154CD3"/>
    <w:rsid w:val="0015500E"/>
    <w:rsid w:val="00155012"/>
    <w:rsid w:val="001551E5"/>
    <w:rsid w:val="0015521F"/>
    <w:rsid w:val="001553F2"/>
    <w:rsid w:val="0015560D"/>
    <w:rsid w:val="00155840"/>
    <w:rsid w:val="001558C4"/>
    <w:rsid w:val="0015597E"/>
    <w:rsid w:val="00155ADD"/>
    <w:rsid w:val="00155B1D"/>
    <w:rsid w:val="00155D4C"/>
    <w:rsid w:val="00155DC2"/>
    <w:rsid w:val="001561DC"/>
    <w:rsid w:val="001564EF"/>
    <w:rsid w:val="001565D3"/>
    <w:rsid w:val="00156623"/>
    <w:rsid w:val="00156A5C"/>
    <w:rsid w:val="00156BBE"/>
    <w:rsid w:val="00156C6D"/>
    <w:rsid w:val="0015702B"/>
    <w:rsid w:val="001571E1"/>
    <w:rsid w:val="0015730D"/>
    <w:rsid w:val="001573A6"/>
    <w:rsid w:val="00157474"/>
    <w:rsid w:val="001574FB"/>
    <w:rsid w:val="00157502"/>
    <w:rsid w:val="00157737"/>
    <w:rsid w:val="00157A8D"/>
    <w:rsid w:val="00157C41"/>
    <w:rsid w:val="00157D44"/>
    <w:rsid w:val="00157DBD"/>
    <w:rsid w:val="001600D7"/>
    <w:rsid w:val="0016019E"/>
    <w:rsid w:val="001603A6"/>
    <w:rsid w:val="001603B8"/>
    <w:rsid w:val="00160596"/>
    <w:rsid w:val="001606A5"/>
    <w:rsid w:val="001609A1"/>
    <w:rsid w:val="00160B63"/>
    <w:rsid w:val="00160BA4"/>
    <w:rsid w:val="00160E52"/>
    <w:rsid w:val="00160EAA"/>
    <w:rsid w:val="00160EDE"/>
    <w:rsid w:val="00161186"/>
    <w:rsid w:val="001614F6"/>
    <w:rsid w:val="0016155A"/>
    <w:rsid w:val="0016159C"/>
    <w:rsid w:val="001615AC"/>
    <w:rsid w:val="001617EE"/>
    <w:rsid w:val="00161B14"/>
    <w:rsid w:val="00161B66"/>
    <w:rsid w:val="00161C37"/>
    <w:rsid w:val="00161C62"/>
    <w:rsid w:val="00161D4A"/>
    <w:rsid w:val="00161D80"/>
    <w:rsid w:val="00161E0F"/>
    <w:rsid w:val="00161E11"/>
    <w:rsid w:val="00162163"/>
    <w:rsid w:val="00162240"/>
    <w:rsid w:val="00162258"/>
    <w:rsid w:val="001624E8"/>
    <w:rsid w:val="001627D1"/>
    <w:rsid w:val="00162825"/>
    <w:rsid w:val="00162958"/>
    <w:rsid w:val="00162964"/>
    <w:rsid w:val="00162A84"/>
    <w:rsid w:val="00162A9D"/>
    <w:rsid w:val="00162BCC"/>
    <w:rsid w:val="00162C56"/>
    <w:rsid w:val="00162FCE"/>
    <w:rsid w:val="0016305A"/>
    <w:rsid w:val="001630E7"/>
    <w:rsid w:val="001630FA"/>
    <w:rsid w:val="00163281"/>
    <w:rsid w:val="001632F7"/>
    <w:rsid w:val="001639F0"/>
    <w:rsid w:val="00163A05"/>
    <w:rsid w:val="00163A53"/>
    <w:rsid w:val="00163B9F"/>
    <w:rsid w:val="00163C40"/>
    <w:rsid w:val="00163CD1"/>
    <w:rsid w:val="00163CE9"/>
    <w:rsid w:val="00163DC5"/>
    <w:rsid w:val="00163FDF"/>
    <w:rsid w:val="00163FFC"/>
    <w:rsid w:val="00164120"/>
    <w:rsid w:val="00164577"/>
    <w:rsid w:val="00164A1A"/>
    <w:rsid w:val="00164BD0"/>
    <w:rsid w:val="00164C0A"/>
    <w:rsid w:val="00164E2D"/>
    <w:rsid w:val="00164E73"/>
    <w:rsid w:val="00164F1E"/>
    <w:rsid w:val="00164FE2"/>
    <w:rsid w:val="00165085"/>
    <w:rsid w:val="001653FA"/>
    <w:rsid w:val="001654B0"/>
    <w:rsid w:val="00165537"/>
    <w:rsid w:val="00165558"/>
    <w:rsid w:val="001655CD"/>
    <w:rsid w:val="0016563C"/>
    <w:rsid w:val="001656A4"/>
    <w:rsid w:val="001656F6"/>
    <w:rsid w:val="0016575D"/>
    <w:rsid w:val="0016590B"/>
    <w:rsid w:val="00165A2A"/>
    <w:rsid w:val="00165CFF"/>
    <w:rsid w:val="00165D6E"/>
    <w:rsid w:val="00165E58"/>
    <w:rsid w:val="00166074"/>
    <w:rsid w:val="0016614E"/>
    <w:rsid w:val="001661DA"/>
    <w:rsid w:val="0016636A"/>
    <w:rsid w:val="00166399"/>
    <w:rsid w:val="001663F9"/>
    <w:rsid w:val="0016650F"/>
    <w:rsid w:val="001665CD"/>
    <w:rsid w:val="00166A05"/>
    <w:rsid w:val="00166A6A"/>
    <w:rsid w:val="00166E29"/>
    <w:rsid w:val="00166ED8"/>
    <w:rsid w:val="00166FCB"/>
    <w:rsid w:val="00167423"/>
    <w:rsid w:val="0016746D"/>
    <w:rsid w:val="00167723"/>
    <w:rsid w:val="0016772E"/>
    <w:rsid w:val="0016779A"/>
    <w:rsid w:val="001677CE"/>
    <w:rsid w:val="00167808"/>
    <w:rsid w:val="0016799A"/>
    <w:rsid w:val="00167B9F"/>
    <w:rsid w:val="00167BE6"/>
    <w:rsid w:val="00167C05"/>
    <w:rsid w:val="00167CB6"/>
    <w:rsid w:val="00167CE0"/>
    <w:rsid w:val="00167E82"/>
    <w:rsid w:val="001700B8"/>
    <w:rsid w:val="001702CA"/>
    <w:rsid w:val="0017047E"/>
    <w:rsid w:val="001705D3"/>
    <w:rsid w:val="00170B4C"/>
    <w:rsid w:val="00170D13"/>
    <w:rsid w:val="00170E70"/>
    <w:rsid w:val="00170EA1"/>
    <w:rsid w:val="00170F34"/>
    <w:rsid w:val="00170F93"/>
    <w:rsid w:val="0017119E"/>
    <w:rsid w:val="001712BB"/>
    <w:rsid w:val="00171470"/>
    <w:rsid w:val="001714D0"/>
    <w:rsid w:val="001715C7"/>
    <w:rsid w:val="001715DA"/>
    <w:rsid w:val="00171611"/>
    <w:rsid w:val="001716C2"/>
    <w:rsid w:val="00171749"/>
    <w:rsid w:val="001719F9"/>
    <w:rsid w:val="00171C03"/>
    <w:rsid w:val="00171CBD"/>
    <w:rsid w:val="00171DC9"/>
    <w:rsid w:val="00171E36"/>
    <w:rsid w:val="00172060"/>
    <w:rsid w:val="00172594"/>
    <w:rsid w:val="00172644"/>
    <w:rsid w:val="00172815"/>
    <w:rsid w:val="00172863"/>
    <w:rsid w:val="00172874"/>
    <w:rsid w:val="00172C13"/>
    <w:rsid w:val="00172DD8"/>
    <w:rsid w:val="00172DEC"/>
    <w:rsid w:val="00172E65"/>
    <w:rsid w:val="00172F32"/>
    <w:rsid w:val="00172F60"/>
    <w:rsid w:val="00173115"/>
    <w:rsid w:val="00173137"/>
    <w:rsid w:val="001732DD"/>
    <w:rsid w:val="001733B2"/>
    <w:rsid w:val="001733E2"/>
    <w:rsid w:val="0017341C"/>
    <w:rsid w:val="001734F2"/>
    <w:rsid w:val="00173622"/>
    <w:rsid w:val="0017389C"/>
    <w:rsid w:val="001738A7"/>
    <w:rsid w:val="00173C01"/>
    <w:rsid w:val="00173D02"/>
    <w:rsid w:val="00173DFC"/>
    <w:rsid w:val="001741E4"/>
    <w:rsid w:val="00174314"/>
    <w:rsid w:val="00174530"/>
    <w:rsid w:val="001746BF"/>
    <w:rsid w:val="001746CE"/>
    <w:rsid w:val="001747FE"/>
    <w:rsid w:val="001748C2"/>
    <w:rsid w:val="00174A17"/>
    <w:rsid w:val="00174DFF"/>
    <w:rsid w:val="00175131"/>
    <w:rsid w:val="00175141"/>
    <w:rsid w:val="0017537C"/>
    <w:rsid w:val="00175381"/>
    <w:rsid w:val="00175418"/>
    <w:rsid w:val="001755B2"/>
    <w:rsid w:val="00175C93"/>
    <w:rsid w:val="00175EE1"/>
    <w:rsid w:val="001760F1"/>
    <w:rsid w:val="001762B6"/>
    <w:rsid w:val="0017635D"/>
    <w:rsid w:val="001765F9"/>
    <w:rsid w:val="00176A8A"/>
    <w:rsid w:val="00176D15"/>
    <w:rsid w:val="00176D52"/>
    <w:rsid w:val="00176E3C"/>
    <w:rsid w:val="00176FF6"/>
    <w:rsid w:val="00177077"/>
    <w:rsid w:val="001771D3"/>
    <w:rsid w:val="0017722F"/>
    <w:rsid w:val="00177264"/>
    <w:rsid w:val="0017740F"/>
    <w:rsid w:val="0017746C"/>
    <w:rsid w:val="0017772C"/>
    <w:rsid w:val="001777B6"/>
    <w:rsid w:val="001778CA"/>
    <w:rsid w:val="00177B33"/>
    <w:rsid w:val="00177BB1"/>
    <w:rsid w:val="00177C95"/>
    <w:rsid w:val="00177D80"/>
    <w:rsid w:val="00177E20"/>
    <w:rsid w:val="00177F44"/>
    <w:rsid w:val="00177FD5"/>
    <w:rsid w:val="001802B1"/>
    <w:rsid w:val="001803EF"/>
    <w:rsid w:val="001803F0"/>
    <w:rsid w:val="00180548"/>
    <w:rsid w:val="00180872"/>
    <w:rsid w:val="00180880"/>
    <w:rsid w:val="001808B5"/>
    <w:rsid w:val="001808B8"/>
    <w:rsid w:val="00180970"/>
    <w:rsid w:val="00180B97"/>
    <w:rsid w:val="00180C7C"/>
    <w:rsid w:val="00180D6E"/>
    <w:rsid w:val="00180EF2"/>
    <w:rsid w:val="00180F04"/>
    <w:rsid w:val="0018124E"/>
    <w:rsid w:val="001813CD"/>
    <w:rsid w:val="00181439"/>
    <w:rsid w:val="001814D6"/>
    <w:rsid w:val="001816D0"/>
    <w:rsid w:val="00181843"/>
    <w:rsid w:val="0018192B"/>
    <w:rsid w:val="00181A69"/>
    <w:rsid w:val="00181B53"/>
    <w:rsid w:val="00181C8F"/>
    <w:rsid w:val="00181E11"/>
    <w:rsid w:val="00181E8E"/>
    <w:rsid w:val="0018202E"/>
    <w:rsid w:val="00182077"/>
    <w:rsid w:val="0018216C"/>
    <w:rsid w:val="0018233E"/>
    <w:rsid w:val="00182421"/>
    <w:rsid w:val="00182644"/>
    <w:rsid w:val="0018296D"/>
    <w:rsid w:val="00182AFB"/>
    <w:rsid w:val="00182D7C"/>
    <w:rsid w:val="00183069"/>
    <w:rsid w:val="00183296"/>
    <w:rsid w:val="0018334D"/>
    <w:rsid w:val="0018334E"/>
    <w:rsid w:val="0018339C"/>
    <w:rsid w:val="00183442"/>
    <w:rsid w:val="00183447"/>
    <w:rsid w:val="001834C6"/>
    <w:rsid w:val="001836C0"/>
    <w:rsid w:val="001839F7"/>
    <w:rsid w:val="00183CD2"/>
    <w:rsid w:val="00183F80"/>
    <w:rsid w:val="00183FA1"/>
    <w:rsid w:val="0018402D"/>
    <w:rsid w:val="00184205"/>
    <w:rsid w:val="00184285"/>
    <w:rsid w:val="001844E1"/>
    <w:rsid w:val="00184808"/>
    <w:rsid w:val="00184AC5"/>
    <w:rsid w:val="00184BD6"/>
    <w:rsid w:val="00184BD8"/>
    <w:rsid w:val="00184C7E"/>
    <w:rsid w:val="00184D4C"/>
    <w:rsid w:val="00184E6B"/>
    <w:rsid w:val="00184EDF"/>
    <w:rsid w:val="00185361"/>
    <w:rsid w:val="00185373"/>
    <w:rsid w:val="001855E8"/>
    <w:rsid w:val="00185710"/>
    <w:rsid w:val="001858B3"/>
    <w:rsid w:val="00185AB9"/>
    <w:rsid w:val="00185AEE"/>
    <w:rsid w:val="00185C78"/>
    <w:rsid w:val="00185CF4"/>
    <w:rsid w:val="001862C0"/>
    <w:rsid w:val="0018632A"/>
    <w:rsid w:val="00186459"/>
    <w:rsid w:val="001865D3"/>
    <w:rsid w:val="00186605"/>
    <w:rsid w:val="001866AC"/>
    <w:rsid w:val="00186835"/>
    <w:rsid w:val="001869DE"/>
    <w:rsid w:val="00186A07"/>
    <w:rsid w:val="00186A53"/>
    <w:rsid w:val="00186A87"/>
    <w:rsid w:val="00186B3F"/>
    <w:rsid w:val="00186B7F"/>
    <w:rsid w:val="00186D32"/>
    <w:rsid w:val="00186F12"/>
    <w:rsid w:val="001872DD"/>
    <w:rsid w:val="001873BC"/>
    <w:rsid w:val="001877DB"/>
    <w:rsid w:val="001878F2"/>
    <w:rsid w:val="00187A7A"/>
    <w:rsid w:val="00187B2A"/>
    <w:rsid w:val="00187B36"/>
    <w:rsid w:val="00187BA8"/>
    <w:rsid w:val="00187BC5"/>
    <w:rsid w:val="00187CA5"/>
    <w:rsid w:val="00187E1E"/>
    <w:rsid w:val="001900CF"/>
    <w:rsid w:val="001902F7"/>
    <w:rsid w:val="0019032B"/>
    <w:rsid w:val="0019038F"/>
    <w:rsid w:val="00190497"/>
    <w:rsid w:val="001904A0"/>
    <w:rsid w:val="001904C3"/>
    <w:rsid w:val="00190540"/>
    <w:rsid w:val="0019073D"/>
    <w:rsid w:val="00190822"/>
    <w:rsid w:val="0019087E"/>
    <w:rsid w:val="00190BF8"/>
    <w:rsid w:val="00190C21"/>
    <w:rsid w:val="00190C5E"/>
    <w:rsid w:val="00190CDF"/>
    <w:rsid w:val="00190ED4"/>
    <w:rsid w:val="00190F94"/>
    <w:rsid w:val="00191138"/>
    <w:rsid w:val="00191255"/>
    <w:rsid w:val="00191369"/>
    <w:rsid w:val="001913C3"/>
    <w:rsid w:val="00191528"/>
    <w:rsid w:val="001915A1"/>
    <w:rsid w:val="00191642"/>
    <w:rsid w:val="00191958"/>
    <w:rsid w:val="00191B1F"/>
    <w:rsid w:val="00191C66"/>
    <w:rsid w:val="00191C8E"/>
    <w:rsid w:val="00191C9B"/>
    <w:rsid w:val="00191CC1"/>
    <w:rsid w:val="00191D0E"/>
    <w:rsid w:val="00192051"/>
    <w:rsid w:val="0019232F"/>
    <w:rsid w:val="0019255E"/>
    <w:rsid w:val="001926D0"/>
    <w:rsid w:val="001929BA"/>
    <w:rsid w:val="00192A8A"/>
    <w:rsid w:val="00192AFE"/>
    <w:rsid w:val="00192D68"/>
    <w:rsid w:val="00192D7F"/>
    <w:rsid w:val="00192E17"/>
    <w:rsid w:val="00192E93"/>
    <w:rsid w:val="00193125"/>
    <w:rsid w:val="0019329A"/>
    <w:rsid w:val="00193476"/>
    <w:rsid w:val="0019348F"/>
    <w:rsid w:val="001934AF"/>
    <w:rsid w:val="00193502"/>
    <w:rsid w:val="001935E2"/>
    <w:rsid w:val="0019364B"/>
    <w:rsid w:val="001937B0"/>
    <w:rsid w:val="001938EB"/>
    <w:rsid w:val="0019391F"/>
    <w:rsid w:val="0019394D"/>
    <w:rsid w:val="001939AF"/>
    <w:rsid w:val="00193CEC"/>
    <w:rsid w:val="00193E4E"/>
    <w:rsid w:val="00193EA5"/>
    <w:rsid w:val="00193F02"/>
    <w:rsid w:val="001940F0"/>
    <w:rsid w:val="0019412E"/>
    <w:rsid w:val="00194157"/>
    <w:rsid w:val="001941E4"/>
    <w:rsid w:val="001941F5"/>
    <w:rsid w:val="00194420"/>
    <w:rsid w:val="00194434"/>
    <w:rsid w:val="0019471A"/>
    <w:rsid w:val="001948F1"/>
    <w:rsid w:val="00194905"/>
    <w:rsid w:val="00194AF4"/>
    <w:rsid w:val="00194BDD"/>
    <w:rsid w:val="00194C49"/>
    <w:rsid w:val="00194C76"/>
    <w:rsid w:val="00194C97"/>
    <w:rsid w:val="00194CDD"/>
    <w:rsid w:val="00194D01"/>
    <w:rsid w:val="00194D59"/>
    <w:rsid w:val="00194F08"/>
    <w:rsid w:val="001951FA"/>
    <w:rsid w:val="001952C4"/>
    <w:rsid w:val="0019533A"/>
    <w:rsid w:val="001955AA"/>
    <w:rsid w:val="00195722"/>
    <w:rsid w:val="00195762"/>
    <w:rsid w:val="001957EE"/>
    <w:rsid w:val="0019584E"/>
    <w:rsid w:val="001958D1"/>
    <w:rsid w:val="00195917"/>
    <w:rsid w:val="001959DF"/>
    <w:rsid w:val="00195A3E"/>
    <w:rsid w:val="00195A9D"/>
    <w:rsid w:val="00195BF8"/>
    <w:rsid w:val="00195D8D"/>
    <w:rsid w:val="00195F27"/>
    <w:rsid w:val="00196070"/>
    <w:rsid w:val="00196468"/>
    <w:rsid w:val="0019651A"/>
    <w:rsid w:val="0019651E"/>
    <w:rsid w:val="0019663F"/>
    <w:rsid w:val="0019677D"/>
    <w:rsid w:val="00196A63"/>
    <w:rsid w:val="00196B8C"/>
    <w:rsid w:val="00196CB3"/>
    <w:rsid w:val="00196E42"/>
    <w:rsid w:val="00196F06"/>
    <w:rsid w:val="001972A6"/>
    <w:rsid w:val="00197346"/>
    <w:rsid w:val="00197357"/>
    <w:rsid w:val="001974F1"/>
    <w:rsid w:val="001975B2"/>
    <w:rsid w:val="00197862"/>
    <w:rsid w:val="001978B7"/>
    <w:rsid w:val="00197BB4"/>
    <w:rsid w:val="00197CA7"/>
    <w:rsid w:val="00197E8C"/>
    <w:rsid w:val="001A001B"/>
    <w:rsid w:val="001A002B"/>
    <w:rsid w:val="001A01F7"/>
    <w:rsid w:val="001A0476"/>
    <w:rsid w:val="001A0488"/>
    <w:rsid w:val="001A04E9"/>
    <w:rsid w:val="001A052F"/>
    <w:rsid w:val="001A083A"/>
    <w:rsid w:val="001A0A05"/>
    <w:rsid w:val="001A0AAE"/>
    <w:rsid w:val="001A0BAC"/>
    <w:rsid w:val="001A0D36"/>
    <w:rsid w:val="001A0E68"/>
    <w:rsid w:val="001A0F7B"/>
    <w:rsid w:val="001A0FEA"/>
    <w:rsid w:val="001A1191"/>
    <w:rsid w:val="001A141F"/>
    <w:rsid w:val="001A149F"/>
    <w:rsid w:val="001A1546"/>
    <w:rsid w:val="001A1571"/>
    <w:rsid w:val="001A16C8"/>
    <w:rsid w:val="001A175C"/>
    <w:rsid w:val="001A176B"/>
    <w:rsid w:val="001A1864"/>
    <w:rsid w:val="001A18E7"/>
    <w:rsid w:val="001A1A59"/>
    <w:rsid w:val="001A1B0A"/>
    <w:rsid w:val="001A1CA6"/>
    <w:rsid w:val="001A1D62"/>
    <w:rsid w:val="001A1DEF"/>
    <w:rsid w:val="001A1E44"/>
    <w:rsid w:val="001A207D"/>
    <w:rsid w:val="001A20AB"/>
    <w:rsid w:val="001A20B2"/>
    <w:rsid w:val="001A20D0"/>
    <w:rsid w:val="001A219E"/>
    <w:rsid w:val="001A21A7"/>
    <w:rsid w:val="001A240B"/>
    <w:rsid w:val="001A2484"/>
    <w:rsid w:val="001A25FE"/>
    <w:rsid w:val="001A2606"/>
    <w:rsid w:val="001A2766"/>
    <w:rsid w:val="001A2B2C"/>
    <w:rsid w:val="001A2C8A"/>
    <w:rsid w:val="001A2D9F"/>
    <w:rsid w:val="001A2E11"/>
    <w:rsid w:val="001A2E4D"/>
    <w:rsid w:val="001A2F1A"/>
    <w:rsid w:val="001A2F95"/>
    <w:rsid w:val="001A324B"/>
    <w:rsid w:val="001A32D2"/>
    <w:rsid w:val="001A33C6"/>
    <w:rsid w:val="001A345D"/>
    <w:rsid w:val="001A3715"/>
    <w:rsid w:val="001A37F3"/>
    <w:rsid w:val="001A3AD8"/>
    <w:rsid w:val="001A3B33"/>
    <w:rsid w:val="001A3D05"/>
    <w:rsid w:val="001A3EF2"/>
    <w:rsid w:val="001A3FD5"/>
    <w:rsid w:val="001A4048"/>
    <w:rsid w:val="001A4315"/>
    <w:rsid w:val="001A449E"/>
    <w:rsid w:val="001A453D"/>
    <w:rsid w:val="001A45C7"/>
    <w:rsid w:val="001A47CE"/>
    <w:rsid w:val="001A4AF2"/>
    <w:rsid w:val="001A4C06"/>
    <w:rsid w:val="001A4E06"/>
    <w:rsid w:val="001A4E2B"/>
    <w:rsid w:val="001A4E56"/>
    <w:rsid w:val="001A4E63"/>
    <w:rsid w:val="001A509C"/>
    <w:rsid w:val="001A50A8"/>
    <w:rsid w:val="001A514F"/>
    <w:rsid w:val="001A5845"/>
    <w:rsid w:val="001A588F"/>
    <w:rsid w:val="001A5AD5"/>
    <w:rsid w:val="001A5BE6"/>
    <w:rsid w:val="001A5C08"/>
    <w:rsid w:val="001A5C87"/>
    <w:rsid w:val="001A5EF8"/>
    <w:rsid w:val="001A5F03"/>
    <w:rsid w:val="001A5FBD"/>
    <w:rsid w:val="001A61F3"/>
    <w:rsid w:val="001A6309"/>
    <w:rsid w:val="001A6362"/>
    <w:rsid w:val="001A63CD"/>
    <w:rsid w:val="001A6455"/>
    <w:rsid w:val="001A64AB"/>
    <w:rsid w:val="001A6704"/>
    <w:rsid w:val="001A675B"/>
    <w:rsid w:val="001A67FE"/>
    <w:rsid w:val="001A6802"/>
    <w:rsid w:val="001A68E1"/>
    <w:rsid w:val="001A6938"/>
    <w:rsid w:val="001A693F"/>
    <w:rsid w:val="001A6982"/>
    <w:rsid w:val="001A6A6B"/>
    <w:rsid w:val="001A6AFB"/>
    <w:rsid w:val="001A6C86"/>
    <w:rsid w:val="001A6CE2"/>
    <w:rsid w:val="001A6DAA"/>
    <w:rsid w:val="001A6E35"/>
    <w:rsid w:val="001A6F6B"/>
    <w:rsid w:val="001A76FA"/>
    <w:rsid w:val="001A77D1"/>
    <w:rsid w:val="001A78AD"/>
    <w:rsid w:val="001A78BF"/>
    <w:rsid w:val="001A79BD"/>
    <w:rsid w:val="001A7A38"/>
    <w:rsid w:val="001A7B03"/>
    <w:rsid w:val="001A7C28"/>
    <w:rsid w:val="001A7C43"/>
    <w:rsid w:val="001A7C47"/>
    <w:rsid w:val="001A7D5B"/>
    <w:rsid w:val="001A7DE1"/>
    <w:rsid w:val="001A7E61"/>
    <w:rsid w:val="001A7F71"/>
    <w:rsid w:val="001B0159"/>
    <w:rsid w:val="001B0165"/>
    <w:rsid w:val="001B0211"/>
    <w:rsid w:val="001B02A0"/>
    <w:rsid w:val="001B0474"/>
    <w:rsid w:val="001B08B6"/>
    <w:rsid w:val="001B0A5B"/>
    <w:rsid w:val="001B0B9F"/>
    <w:rsid w:val="001B0D44"/>
    <w:rsid w:val="001B0D90"/>
    <w:rsid w:val="001B0F38"/>
    <w:rsid w:val="001B1007"/>
    <w:rsid w:val="001B1047"/>
    <w:rsid w:val="001B1147"/>
    <w:rsid w:val="001B1213"/>
    <w:rsid w:val="001B12FE"/>
    <w:rsid w:val="001B131D"/>
    <w:rsid w:val="001B1351"/>
    <w:rsid w:val="001B176E"/>
    <w:rsid w:val="001B1818"/>
    <w:rsid w:val="001B18A9"/>
    <w:rsid w:val="001B193D"/>
    <w:rsid w:val="001B19D2"/>
    <w:rsid w:val="001B1B1C"/>
    <w:rsid w:val="001B1B80"/>
    <w:rsid w:val="001B1E39"/>
    <w:rsid w:val="001B2072"/>
    <w:rsid w:val="001B20D5"/>
    <w:rsid w:val="001B213D"/>
    <w:rsid w:val="001B2454"/>
    <w:rsid w:val="001B24ED"/>
    <w:rsid w:val="001B2537"/>
    <w:rsid w:val="001B262D"/>
    <w:rsid w:val="001B2671"/>
    <w:rsid w:val="001B295A"/>
    <w:rsid w:val="001B2BB9"/>
    <w:rsid w:val="001B2F47"/>
    <w:rsid w:val="001B309A"/>
    <w:rsid w:val="001B30E2"/>
    <w:rsid w:val="001B327B"/>
    <w:rsid w:val="001B32EA"/>
    <w:rsid w:val="001B33BA"/>
    <w:rsid w:val="001B35E4"/>
    <w:rsid w:val="001B36B9"/>
    <w:rsid w:val="001B373B"/>
    <w:rsid w:val="001B37DD"/>
    <w:rsid w:val="001B39B2"/>
    <w:rsid w:val="001B3A50"/>
    <w:rsid w:val="001B3AA6"/>
    <w:rsid w:val="001B3D9B"/>
    <w:rsid w:val="001B3FA1"/>
    <w:rsid w:val="001B3FAB"/>
    <w:rsid w:val="001B3FDE"/>
    <w:rsid w:val="001B3FE6"/>
    <w:rsid w:val="001B405F"/>
    <w:rsid w:val="001B4095"/>
    <w:rsid w:val="001B4194"/>
    <w:rsid w:val="001B424A"/>
    <w:rsid w:val="001B4350"/>
    <w:rsid w:val="001B43A2"/>
    <w:rsid w:val="001B46A3"/>
    <w:rsid w:val="001B46A9"/>
    <w:rsid w:val="001B46E4"/>
    <w:rsid w:val="001B476F"/>
    <w:rsid w:val="001B4943"/>
    <w:rsid w:val="001B4B76"/>
    <w:rsid w:val="001B4C0E"/>
    <w:rsid w:val="001B4C77"/>
    <w:rsid w:val="001B4E5D"/>
    <w:rsid w:val="001B4F0C"/>
    <w:rsid w:val="001B4F17"/>
    <w:rsid w:val="001B5135"/>
    <w:rsid w:val="001B51C8"/>
    <w:rsid w:val="001B55EC"/>
    <w:rsid w:val="001B56C3"/>
    <w:rsid w:val="001B56F3"/>
    <w:rsid w:val="001B570F"/>
    <w:rsid w:val="001B5720"/>
    <w:rsid w:val="001B5750"/>
    <w:rsid w:val="001B5977"/>
    <w:rsid w:val="001B5A20"/>
    <w:rsid w:val="001B5B6B"/>
    <w:rsid w:val="001B5BEA"/>
    <w:rsid w:val="001B5CBB"/>
    <w:rsid w:val="001B5E6B"/>
    <w:rsid w:val="001B5EAA"/>
    <w:rsid w:val="001B6104"/>
    <w:rsid w:val="001B61DB"/>
    <w:rsid w:val="001B62DC"/>
    <w:rsid w:val="001B62FC"/>
    <w:rsid w:val="001B6799"/>
    <w:rsid w:val="001B68C5"/>
    <w:rsid w:val="001B6999"/>
    <w:rsid w:val="001B69C6"/>
    <w:rsid w:val="001B6A3D"/>
    <w:rsid w:val="001B6AA6"/>
    <w:rsid w:val="001B6B1D"/>
    <w:rsid w:val="001B6B6C"/>
    <w:rsid w:val="001B6CB4"/>
    <w:rsid w:val="001B6D7B"/>
    <w:rsid w:val="001B6DDE"/>
    <w:rsid w:val="001B6DF3"/>
    <w:rsid w:val="001B6F0E"/>
    <w:rsid w:val="001B7087"/>
    <w:rsid w:val="001B7156"/>
    <w:rsid w:val="001B75B1"/>
    <w:rsid w:val="001B75D3"/>
    <w:rsid w:val="001B774E"/>
    <w:rsid w:val="001B7760"/>
    <w:rsid w:val="001B78A7"/>
    <w:rsid w:val="001B7C93"/>
    <w:rsid w:val="001B7CCC"/>
    <w:rsid w:val="001B7FB7"/>
    <w:rsid w:val="001C01EA"/>
    <w:rsid w:val="001C0506"/>
    <w:rsid w:val="001C081C"/>
    <w:rsid w:val="001C0947"/>
    <w:rsid w:val="001C097A"/>
    <w:rsid w:val="001C0A2E"/>
    <w:rsid w:val="001C0B63"/>
    <w:rsid w:val="001C0DB4"/>
    <w:rsid w:val="001C0E2B"/>
    <w:rsid w:val="001C0E4F"/>
    <w:rsid w:val="001C0F11"/>
    <w:rsid w:val="001C1044"/>
    <w:rsid w:val="001C10A7"/>
    <w:rsid w:val="001C115A"/>
    <w:rsid w:val="001C124C"/>
    <w:rsid w:val="001C1331"/>
    <w:rsid w:val="001C1623"/>
    <w:rsid w:val="001C16C7"/>
    <w:rsid w:val="001C1720"/>
    <w:rsid w:val="001C17F9"/>
    <w:rsid w:val="001C1874"/>
    <w:rsid w:val="001C18B0"/>
    <w:rsid w:val="001C18EA"/>
    <w:rsid w:val="001C199A"/>
    <w:rsid w:val="001C1A4B"/>
    <w:rsid w:val="001C1B87"/>
    <w:rsid w:val="001C1C32"/>
    <w:rsid w:val="001C1CD8"/>
    <w:rsid w:val="001C1DBC"/>
    <w:rsid w:val="001C1E06"/>
    <w:rsid w:val="001C1E12"/>
    <w:rsid w:val="001C1FF6"/>
    <w:rsid w:val="001C2005"/>
    <w:rsid w:val="001C22AB"/>
    <w:rsid w:val="001C233F"/>
    <w:rsid w:val="001C24F2"/>
    <w:rsid w:val="001C2555"/>
    <w:rsid w:val="001C25EB"/>
    <w:rsid w:val="001C263D"/>
    <w:rsid w:val="001C2668"/>
    <w:rsid w:val="001C2761"/>
    <w:rsid w:val="001C2A82"/>
    <w:rsid w:val="001C2C05"/>
    <w:rsid w:val="001C2C6F"/>
    <w:rsid w:val="001C2DD6"/>
    <w:rsid w:val="001C2E87"/>
    <w:rsid w:val="001C2EB9"/>
    <w:rsid w:val="001C2F33"/>
    <w:rsid w:val="001C327A"/>
    <w:rsid w:val="001C3307"/>
    <w:rsid w:val="001C3528"/>
    <w:rsid w:val="001C36A0"/>
    <w:rsid w:val="001C380E"/>
    <w:rsid w:val="001C38A2"/>
    <w:rsid w:val="001C39BE"/>
    <w:rsid w:val="001C3A10"/>
    <w:rsid w:val="001C3A6F"/>
    <w:rsid w:val="001C3B17"/>
    <w:rsid w:val="001C3C77"/>
    <w:rsid w:val="001C3C93"/>
    <w:rsid w:val="001C3D30"/>
    <w:rsid w:val="001C402A"/>
    <w:rsid w:val="001C408E"/>
    <w:rsid w:val="001C4186"/>
    <w:rsid w:val="001C4197"/>
    <w:rsid w:val="001C41E1"/>
    <w:rsid w:val="001C4311"/>
    <w:rsid w:val="001C4340"/>
    <w:rsid w:val="001C4380"/>
    <w:rsid w:val="001C43AB"/>
    <w:rsid w:val="001C4641"/>
    <w:rsid w:val="001C4658"/>
    <w:rsid w:val="001C46C4"/>
    <w:rsid w:val="001C480C"/>
    <w:rsid w:val="001C4862"/>
    <w:rsid w:val="001C4AAF"/>
    <w:rsid w:val="001C4B65"/>
    <w:rsid w:val="001C4B83"/>
    <w:rsid w:val="001C4BBF"/>
    <w:rsid w:val="001C4BF5"/>
    <w:rsid w:val="001C4C37"/>
    <w:rsid w:val="001C4CE5"/>
    <w:rsid w:val="001C4D18"/>
    <w:rsid w:val="001C4D53"/>
    <w:rsid w:val="001C4D7A"/>
    <w:rsid w:val="001C4E97"/>
    <w:rsid w:val="001C5064"/>
    <w:rsid w:val="001C51E0"/>
    <w:rsid w:val="001C539B"/>
    <w:rsid w:val="001C53A7"/>
    <w:rsid w:val="001C5432"/>
    <w:rsid w:val="001C545F"/>
    <w:rsid w:val="001C559F"/>
    <w:rsid w:val="001C5716"/>
    <w:rsid w:val="001C5758"/>
    <w:rsid w:val="001C5777"/>
    <w:rsid w:val="001C58D8"/>
    <w:rsid w:val="001C5A90"/>
    <w:rsid w:val="001C5AC8"/>
    <w:rsid w:val="001C5AF2"/>
    <w:rsid w:val="001C5C2D"/>
    <w:rsid w:val="001C5C45"/>
    <w:rsid w:val="001C5F0C"/>
    <w:rsid w:val="001C61EB"/>
    <w:rsid w:val="001C6261"/>
    <w:rsid w:val="001C63F0"/>
    <w:rsid w:val="001C647E"/>
    <w:rsid w:val="001C664C"/>
    <w:rsid w:val="001C6A47"/>
    <w:rsid w:val="001C6A62"/>
    <w:rsid w:val="001C6BEC"/>
    <w:rsid w:val="001C6EE1"/>
    <w:rsid w:val="001C6F65"/>
    <w:rsid w:val="001C734B"/>
    <w:rsid w:val="001C7625"/>
    <w:rsid w:val="001C7665"/>
    <w:rsid w:val="001C7869"/>
    <w:rsid w:val="001C7878"/>
    <w:rsid w:val="001C7A1E"/>
    <w:rsid w:val="001C7A4E"/>
    <w:rsid w:val="001C7BF6"/>
    <w:rsid w:val="001D0181"/>
    <w:rsid w:val="001D02AF"/>
    <w:rsid w:val="001D02BA"/>
    <w:rsid w:val="001D03E3"/>
    <w:rsid w:val="001D0417"/>
    <w:rsid w:val="001D04A8"/>
    <w:rsid w:val="001D078F"/>
    <w:rsid w:val="001D0958"/>
    <w:rsid w:val="001D0979"/>
    <w:rsid w:val="001D0B2D"/>
    <w:rsid w:val="001D0C91"/>
    <w:rsid w:val="001D0CF6"/>
    <w:rsid w:val="001D0F94"/>
    <w:rsid w:val="001D10BC"/>
    <w:rsid w:val="001D1140"/>
    <w:rsid w:val="001D132D"/>
    <w:rsid w:val="001D1527"/>
    <w:rsid w:val="001D1631"/>
    <w:rsid w:val="001D1697"/>
    <w:rsid w:val="001D1763"/>
    <w:rsid w:val="001D17FB"/>
    <w:rsid w:val="001D186F"/>
    <w:rsid w:val="001D1AF2"/>
    <w:rsid w:val="001D1C08"/>
    <w:rsid w:val="001D2001"/>
    <w:rsid w:val="001D201A"/>
    <w:rsid w:val="001D2053"/>
    <w:rsid w:val="001D22AE"/>
    <w:rsid w:val="001D22D7"/>
    <w:rsid w:val="001D2328"/>
    <w:rsid w:val="001D2390"/>
    <w:rsid w:val="001D24D7"/>
    <w:rsid w:val="001D27CD"/>
    <w:rsid w:val="001D27D8"/>
    <w:rsid w:val="001D2A9D"/>
    <w:rsid w:val="001D2B4A"/>
    <w:rsid w:val="001D2B63"/>
    <w:rsid w:val="001D2C6F"/>
    <w:rsid w:val="001D2D1B"/>
    <w:rsid w:val="001D2D71"/>
    <w:rsid w:val="001D2E79"/>
    <w:rsid w:val="001D31C3"/>
    <w:rsid w:val="001D3222"/>
    <w:rsid w:val="001D324C"/>
    <w:rsid w:val="001D3270"/>
    <w:rsid w:val="001D346B"/>
    <w:rsid w:val="001D35BB"/>
    <w:rsid w:val="001D36E5"/>
    <w:rsid w:val="001D3724"/>
    <w:rsid w:val="001D3769"/>
    <w:rsid w:val="001D3787"/>
    <w:rsid w:val="001D3B4B"/>
    <w:rsid w:val="001D3CC8"/>
    <w:rsid w:val="001D3DD2"/>
    <w:rsid w:val="001D3E84"/>
    <w:rsid w:val="001D408C"/>
    <w:rsid w:val="001D4272"/>
    <w:rsid w:val="001D4426"/>
    <w:rsid w:val="001D4501"/>
    <w:rsid w:val="001D46BF"/>
    <w:rsid w:val="001D48AE"/>
    <w:rsid w:val="001D4BE5"/>
    <w:rsid w:val="001D4C5C"/>
    <w:rsid w:val="001D4E5F"/>
    <w:rsid w:val="001D51DA"/>
    <w:rsid w:val="001D51EF"/>
    <w:rsid w:val="001D52BD"/>
    <w:rsid w:val="001D5560"/>
    <w:rsid w:val="001D55F3"/>
    <w:rsid w:val="001D565A"/>
    <w:rsid w:val="001D5787"/>
    <w:rsid w:val="001D5D5D"/>
    <w:rsid w:val="001D603A"/>
    <w:rsid w:val="001D60BC"/>
    <w:rsid w:val="001D6104"/>
    <w:rsid w:val="001D61BB"/>
    <w:rsid w:val="001D61DE"/>
    <w:rsid w:val="001D6259"/>
    <w:rsid w:val="001D6370"/>
    <w:rsid w:val="001D6422"/>
    <w:rsid w:val="001D644E"/>
    <w:rsid w:val="001D6466"/>
    <w:rsid w:val="001D64AD"/>
    <w:rsid w:val="001D660F"/>
    <w:rsid w:val="001D6661"/>
    <w:rsid w:val="001D670F"/>
    <w:rsid w:val="001D67A1"/>
    <w:rsid w:val="001D67E8"/>
    <w:rsid w:val="001D6934"/>
    <w:rsid w:val="001D696E"/>
    <w:rsid w:val="001D6A16"/>
    <w:rsid w:val="001D6A8E"/>
    <w:rsid w:val="001D702E"/>
    <w:rsid w:val="001D7107"/>
    <w:rsid w:val="001D7116"/>
    <w:rsid w:val="001D71B0"/>
    <w:rsid w:val="001D72FA"/>
    <w:rsid w:val="001D73A7"/>
    <w:rsid w:val="001D745B"/>
    <w:rsid w:val="001D7490"/>
    <w:rsid w:val="001D74B6"/>
    <w:rsid w:val="001D784E"/>
    <w:rsid w:val="001D7857"/>
    <w:rsid w:val="001D78F3"/>
    <w:rsid w:val="001D7A06"/>
    <w:rsid w:val="001D7A3D"/>
    <w:rsid w:val="001D7B77"/>
    <w:rsid w:val="001D7D57"/>
    <w:rsid w:val="001D7D87"/>
    <w:rsid w:val="001D7E26"/>
    <w:rsid w:val="001E0022"/>
    <w:rsid w:val="001E0042"/>
    <w:rsid w:val="001E00BF"/>
    <w:rsid w:val="001E02DB"/>
    <w:rsid w:val="001E0429"/>
    <w:rsid w:val="001E04E5"/>
    <w:rsid w:val="001E0589"/>
    <w:rsid w:val="001E05A5"/>
    <w:rsid w:val="001E074B"/>
    <w:rsid w:val="001E0A01"/>
    <w:rsid w:val="001E0A02"/>
    <w:rsid w:val="001E0A5F"/>
    <w:rsid w:val="001E0A9E"/>
    <w:rsid w:val="001E0AC9"/>
    <w:rsid w:val="001E0AEA"/>
    <w:rsid w:val="001E0CD0"/>
    <w:rsid w:val="001E107B"/>
    <w:rsid w:val="001E1114"/>
    <w:rsid w:val="001E1262"/>
    <w:rsid w:val="001E12BE"/>
    <w:rsid w:val="001E1364"/>
    <w:rsid w:val="001E1533"/>
    <w:rsid w:val="001E1681"/>
    <w:rsid w:val="001E1724"/>
    <w:rsid w:val="001E1779"/>
    <w:rsid w:val="001E1943"/>
    <w:rsid w:val="001E1947"/>
    <w:rsid w:val="001E1C3A"/>
    <w:rsid w:val="001E1C7F"/>
    <w:rsid w:val="001E1CFE"/>
    <w:rsid w:val="001E1D01"/>
    <w:rsid w:val="001E1D6D"/>
    <w:rsid w:val="001E1ED3"/>
    <w:rsid w:val="001E1FE4"/>
    <w:rsid w:val="001E203B"/>
    <w:rsid w:val="001E208A"/>
    <w:rsid w:val="001E2162"/>
    <w:rsid w:val="001E216E"/>
    <w:rsid w:val="001E2293"/>
    <w:rsid w:val="001E2346"/>
    <w:rsid w:val="001E245B"/>
    <w:rsid w:val="001E2507"/>
    <w:rsid w:val="001E25AA"/>
    <w:rsid w:val="001E2878"/>
    <w:rsid w:val="001E28A2"/>
    <w:rsid w:val="001E28F0"/>
    <w:rsid w:val="001E29B7"/>
    <w:rsid w:val="001E2B0E"/>
    <w:rsid w:val="001E2BC1"/>
    <w:rsid w:val="001E2C1B"/>
    <w:rsid w:val="001E2CA5"/>
    <w:rsid w:val="001E2CEB"/>
    <w:rsid w:val="001E2D17"/>
    <w:rsid w:val="001E2D6D"/>
    <w:rsid w:val="001E2DD9"/>
    <w:rsid w:val="001E310E"/>
    <w:rsid w:val="001E32B9"/>
    <w:rsid w:val="001E34DD"/>
    <w:rsid w:val="001E3500"/>
    <w:rsid w:val="001E35FE"/>
    <w:rsid w:val="001E36FD"/>
    <w:rsid w:val="001E38A6"/>
    <w:rsid w:val="001E3AC3"/>
    <w:rsid w:val="001E3B5C"/>
    <w:rsid w:val="001E3C9C"/>
    <w:rsid w:val="001E3E53"/>
    <w:rsid w:val="001E3ECC"/>
    <w:rsid w:val="001E3F05"/>
    <w:rsid w:val="001E3FAF"/>
    <w:rsid w:val="001E40B9"/>
    <w:rsid w:val="001E40DC"/>
    <w:rsid w:val="001E43CE"/>
    <w:rsid w:val="001E4470"/>
    <w:rsid w:val="001E458B"/>
    <w:rsid w:val="001E49A9"/>
    <w:rsid w:val="001E49BA"/>
    <w:rsid w:val="001E4C61"/>
    <w:rsid w:val="001E4EBC"/>
    <w:rsid w:val="001E4F1F"/>
    <w:rsid w:val="001E50B2"/>
    <w:rsid w:val="001E52A9"/>
    <w:rsid w:val="001E5481"/>
    <w:rsid w:val="001E54E9"/>
    <w:rsid w:val="001E5616"/>
    <w:rsid w:val="001E561E"/>
    <w:rsid w:val="001E563D"/>
    <w:rsid w:val="001E5797"/>
    <w:rsid w:val="001E57C8"/>
    <w:rsid w:val="001E5979"/>
    <w:rsid w:val="001E5A00"/>
    <w:rsid w:val="001E5C0F"/>
    <w:rsid w:val="001E5E1D"/>
    <w:rsid w:val="001E5EDA"/>
    <w:rsid w:val="001E5FCC"/>
    <w:rsid w:val="001E606D"/>
    <w:rsid w:val="001E607D"/>
    <w:rsid w:val="001E6129"/>
    <w:rsid w:val="001E6150"/>
    <w:rsid w:val="001E61BD"/>
    <w:rsid w:val="001E61E9"/>
    <w:rsid w:val="001E6242"/>
    <w:rsid w:val="001E6263"/>
    <w:rsid w:val="001E6277"/>
    <w:rsid w:val="001E6287"/>
    <w:rsid w:val="001E641E"/>
    <w:rsid w:val="001E6489"/>
    <w:rsid w:val="001E65F2"/>
    <w:rsid w:val="001E65F6"/>
    <w:rsid w:val="001E6736"/>
    <w:rsid w:val="001E69B9"/>
    <w:rsid w:val="001E6A2D"/>
    <w:rsid w:val="001E6A40"/>
    <w:rsid w:val="001E6C4B"/>
    <w:rsid w:val="001E6CEA"/>
    <w:rsid w:val="001E6F12"/>
    <w:rsid w:val="001E6F54"/>
    <w:rsid w:val="001E6F7B"/>
    <w:rsid w:val="001E71E9"/>
    <w:rsid w:val="001E755F"/>
    <w:rsid w:val="001E7589"/>
    <w:rsid w:val="001E7700"/>
    <w:rsid w:val="001E7A15"/>
    <w:rsid w:val="001E7A43"/>
    <w:rsid w:val="001E7AB5"/>
    <w:rsid w:val="001E7AED"/>
    <w:rsid w:val="001E7CDB"/>
    <w:rsid w:val="001E7D8D"/>
    <w:rsid w:val="001E7EF7"/>
    <w:rsid w:val="001E7F2B"/>
    <w:rsid w:val="001F0155"/>
    <w:rsid w:val="001F0233"/>
    <w:rsid w:val="001F043D"/>
    <w:rsid w:val="001F04BA"/>
    <w:rsid w:val="001F0513"/>
    <w:rsid w:val="001F06C4"/>
    <w:rsid w:val="001F085C"/>
    <w:rsid w:val="001F08A4"/>
    <w:rsid w:val="001F09BD"/>
    <w:rsid w:val="001F09BF"/>
    <w:rsid w:val="001F0A8C"/>
    <w:rsid w:val="001F0B0A"/>
    <w:rsid w:val="001F0B11"/>
    <w:rsid w:val="001F0C57"/>
    <w:rsid w:val="001F0CBF"/>
    <w:rsid w:val="001F0F05"/>
    <w:rsid w:val="001F0F2B"/>
    <w:rsid w:val="001F0F2E"/>
    <w:rsid w:val="001F0F7B"/>
    <w:rsid w:val="001F0FF7"/>
    <w:rsid w:val="001F107E"/>
    <w:rsid w:val="001F10D0"/>
    <w:rsid w:val="001F10E2"/>
    <w:rsid w:val="001F12C9"/>
    <w:rsid w:val="001F1308"/>
    <w:rsid w:val="001F13E2"/>
    <w:rsid w:val="001F142A"/>
    <w:rsid w:val="001F15D4"/>
    <w:rsid w:val="001F164E"/>
    <w:rsid w:val="001F175E"/>
    <w:rsid w:val="001F18B1"/>
    <w:rsid w:val="001F1ADF"/>
    <w:rsid w:val="001F1BC8"/>
    <w:rsid w:val="001F1C0E"/>
    <w:rsid w:val="001F1D1A"/>
    <w:rsid w:val="001F1F57"/>
    <w:rsid w:val="001F1FC2"/>
    <w:rsid w:val="001F2103"/>
    <w:rsid w:val="001F224F"/>
    <w:rsid w:val="001F24A2"/>
    <w:rsid w:val="001F24DC"/>
    <w:rsid w:val="001F250F"/>
    <w:rsid w:val="001F2755"/>
    <w:rsid w:val="001F2839"/>
    <w:rsid w:val="001F28D5"/>
    <w:rsid w:val="001F2AF4"/>
    <w:rsid w:val="001F2C4B"/>
    <w:rsid w:val="001F2C72"/>
    <w:rsid w:val="001F2CDC"/>
    <w:rsid w:val="001F2DA5"/>
    <w:rsid w:val="001F2DDE"/>
    <w:rsid w:val="001F2E37"/>
    <w:rsid w:val="001F2FAD"/>
    <w:rsid w:val="001F2FE7"/>
    <w:rsid w:val="001F302E"/>
    <w:rsid w:val="001F3041"/>
    <w:rsid w:val="001F31E6"/>
    <w:rsid w:val="001F323B"/>
    <w:rsid w:val="001F3427"/>
    <w:rsid w:val="001F3508"/>
    <w:rsid w:val="001F365C"/>
    <w:rsid w:val="001F36B5"/>
    <w:rsid w:val="001F36D1"/>
    <w:rsid w:val="001F370C"/>
    <w:rsid w:val="001F37BA"/>
    <w:rsid w:val="001F392A"/>
    <w:rsid w:val="001F39BB"/>
    <w:rsid w:val="001F39D8"/>
    <w:rsid w:val="001F39FA"/>
    <w:rsid w:val="001F4094"/>
    <w:rsid w:val="001F40EB"/>
    <w:rsid w:val="001F4168"/>
    <w:rsid w:val="001F42E6"/>
    <w:rsid w:val="001F443D"/>
    <w:rsid w:val="001F4453"/>
    <w:rsid w:val="001F46F1"/>
    <w:rsid w:val="001F4720"/>
    <w:rsid w:val="001F4A3F"/>
    <w:rsid w:val="001F4A6A"/>
    <w:rsid w:val="001F4B34"/>
    <w:rsid w:val="001F4B63"/>
    <w:rsid w:val="001F4C11"/>
    <w:rsid w:val="001F4C8D"/>
    <w:rsid w:val="001F4EA6"/>
    <w:rsid w:val="001F4ED5"/>
    <w:rsid w:val="001F5098"/>
    <w:rsid w:val="001F50CE"/>
    <w:rsid w:val="001F50F4"/>
    <w:rsid w:val="001F51DF"/>
    <w:rsid w:val="001F554C"/>
    <w:rsid w:val="001F573B"/>
    <w:rsid w:val="001F584B"/>
    <w:rsid w:val="001F586C"/>
    <w:rsid w:val="001F5A49"/>
    <w:rsid w:val="001F5A9F"/>
    <w:rsid w:val="001F5AE3"/>
    <w:rsid w:val="001F5EA8"/>
    <w:rsid w:val="001F5FAF"/>
    <w:rsid w:val="001F6051"/>
    <w:rsid w:val="001F60A1"/>
    <w:rsid w:val="001F60A6"/>
    <w:rsid w:val="001F61A8"/>
    <w:rsid w:val="001F6356"/>
    <w:rsid w:val="001F648D"/>
    <w:rsid w:val="001F64AA"/>
    <w:rsid w:val="001F64F4"/>
    <w:rsid w:val="001F65F2"/>
    <w:rsid w:val="001F6754"/>
    <w:rsid w:val="001F68BA"/>
    <w:rsid w:val="001F6C36"/>
    <w:rsid w:val="001F6D3E"/>
    <w:rsid w:val="001F6FB0"/>
    <w:rsid w:val="001F72B0"/>
    <w:rsid w:val="001F72BC"/>
    <w:rsid w:val="001F7308"/>
    <w:rsid w:val="001F7456"/>
    <w:rsid w:val="001F750D"/>
    <w:rsid w:val="001F7578"/>
    <w:rsid w:val="001F7602"/>
    <w:rsid w:val="001F7A2E"/>
    <w:rsid w:val="001F7A53"/>
    <w:rsid w:val="001F7BD5"/>
    <w:rsid w:val="00200117"/>
    <w:rsid w:val="002001D2"/>
    <w:rsid w:val="002002F5"/>
    <w:rsid w:val="0020031E"/>
    <w:rsid w:val="00200373"/>
    <w:rsid w:val="00200438"/>
    <w:rsid w:val="0020054E"/>
    <w:rsid w:val="002006D8"/>
    <w:rsid w:val="00200705"/>
    <w:rsid w:val="0020080C"/>
    <w:rsid w:val="00200A86"/>
    <w:rsid w:val="00200BDA"/>
    <w:rsid w:val="00200C2B"/>
    <w:rsid w:val="00200FD2"/>
    <w:rsid w:val="00201175"/>
    <w:rsid w:val="00201532"/>
    <w:rsid w:val="0020177C"/>
    <w:rsid w:val="002017A4"/>
    <w:rsid w:val="0020181A"/>
    <w:rsid w:val="00201962"/>
    <w:rsid w:val="0020196D"/>
    <w:rsid w:val="00201BFC"/>
    <w:rsid w:val="00201D8A"/>
    <w:rsid w:val="00201FF8"/>
    <w:rsid w:val="00202012"/>
    <w:rsid w:val="0020210F"/>
    <w:rsid w:val="002021D0"/>
    <w:rsid w:val="002021FE"/>
    <w:rsid w:val="002022A7"/>
    <w:rsid w:val="002023AB"/>
    <w:rsid w:val="002023D6"/>
    <w:rsid w:val="0020243D"/>
    <w:rsid w:val="00202593"/>
    <w:rsid w:val="002025A8"/>
    <w:rsid w:val="00202989"/>
    <w:rsid w:val="00202C4F"/>
    <w:rsid w:val="00202DEC"/>
    <w:rsid w:val="00202E68"/>
    <w:rsid w:val="00202F29"/>
    <w:rsid w:val="00203341"/>
    <w:rsid w:val="002033E1"/>
    <w:rsid w:val="002033E2"/>
    <w:rsid w:val="00203493"/>
    <w:rsid w:val="002035B4"/>
    <w:rsid w:val="002035E0"/>
    <w:rsid w:val="00203643"/>
    <w:rsid w:val="00203747"/>
    <w:rsid w:val="00203761"/>
    <w:rsid w:val="00203873"/>
    <w:rsid w:val="002039D6"/>
    <w:rsid w:val="00203AD8"/>
    <w:rsid w:val="00203B9E"/>
    <w:rsid w:val="00203B9F"/>
    <w:rsid w:val="00203DAC"/>
    <w:rsid w:val="00203DD6"/>
    <w:rsid w:val="00203F0F"/>
    <w:rsid w:val="00204106"/>
    <w:rsid w:val="0020423B"/>
    <w:rsid w:val="002043D1"/>
    <w:rsid w:val="00204639"/>
    <w:rsid w:val="0020466E"/>
    <w:rsid w:val="0020476C"/>
    <w:rsid w:val="00204795"/>
    <w:rsid w:val="002047E2"/>
    <w:rsid w:val="002047FE"/>
    <w:rsid w:val="00204836"/>
    <w:rsid w:val="002048AA"/>
    <w:rsid w:val="00204B8F"/>
    <w:rsid w:val="00204BF5"/>
    <w:rsid w:val="00204FD1"/>
    <w:rsid w:val="00204FE3"/>
    <w:rsid w:val="00205021"/>
    <w:rsid w:val="00205065"/>
    <w:rsid w:val="00205086"/>
    <w:rsid w:val="002050B8"/>
    <w:rsid w:val="002050CE"/>
    <w:rsid w:val="00205170"/>
    <w:rsid w:val="00205214"/>
    <w:rsid w:val="002052BA"/>
    <w:rsid w:val="00205443"/>
    <w:rsid w:val="0020551B"/>
    <w:rsid w:val="00205664"/>
    <w:rsid w:val="00205696"/>
    <w:rsid w:val="00205765"/>
    <w:rsid w:val="00205877"/>
    <w:rsid w:val="002058BF"/>
    <w:rsid w:val="00205995"/>
    <w:rsid w:val="00205B7B"/>
    <w:rsid w:val="00205B93"/>
    <w:rsid w:val="00205CD5"/>
    <w:rsid w:val="00205DB6"/>
    <w:rsid w:val="00205ED6"/>
    <w:rsid w:val="00205FC3"/>
    <w:rsid w:val="00206023"/>
    <w:rsid w:val="002065FF"/>
    <w:rsid w:val="002066A8"/>
    <w:rsid w:val="0020673F"/>
    <w:rsid w:val="00206800"/>
    <w:rsid w:val="0020687F"/>
    <w:rsid w:val="00206951"/>
    <w:rsid w:val="00206A49"/>
    <w:rsid w:val="00206BF6"/>
    <w:rsid w:val="00206E75"/>
    <w:rsid w:val="00206ECE"/>
    <w:rsid w:val="00207001"/>
    <w:rsid w:val="002078A7"/>
    <w:rsid w:val="00207C94"/>
    <w:rsid w:val="00207E9C"/>
    <w:rsid w:val="00207F6E"/>
    <w:rsid w:val="00207FED"/>
    <w:rsid w:val="002100B2"/>
    <w:rsid w:val="00210590"/>
    <w:rsid w:val="002105FC"/>
    <w:rsid w:val="002107B2"/>
    <w:rsid w:val="0021087A"/>
    <w:rsid w:val="002108CC"/>
    <w:rsid w:val="00210A80"/>
    <w:rsid w:val="00210D47"/>
    <w:rsid w:val="00210ECE"/>
    <w:rsid w:val="00210ED4"/>
    <w:rsid w:val="002111F4"/>
    <w:rsid w:val="0021141E"/>
    <w:rsid w:val="002115EF"/>
    <w:rsid w:val="00211641"/>
    <w:rsid w:val="002116CA"/>
    <w:rsid w:val="0021179D"/>
    <w:rsid w:val="002117A5"/>
    <w:rsid w:val="00211859"/>
    <w:rsid w:val="00211876"/>
    <w:rsid w:val="00211911"/>
    <w:rsid w:val="002119B6"/>
    <w:rsid w:val="00211B64"/>
    <w:rsid w:val="00211B83"/>
    <w:rsid w:val="00211BEF"/>
    <w:rsid w:val="00211CFA"/>
    <w:rsid w:val="00211D15"/>
    <w:rsid w:val="00211D47"/>
    <w:rsid w:val="00211D56"/>
    <w:rsid w:val="00211E4B"/>
    <w:rsid w:val="00211E6E"/>
    <w:rsid w:val="00211EA6"/>
    <w:rsid w:val="00211F1D"/>
    <w:rsid w:val="00211FC2"/>
    <w:rsid w:val="002123C1"/>
    <w:rsid w:val="002124C1"/>
    <w:rsid w:val="002125A4"/>
    <w:rsid w:val="002127CC"/>
    <w:rsid w:val="00212802"/>
    <w:rsid w:val="002128B6"/>
    <w:rsid w:val="0021296B"/>
    <w:rsid w:val="00212A94"/>
    <w:rsid w:val="00212F3A"/>
    <w:rsid w:val="00212F8C"/>
    <w:rsid w:val="00212FD3"/>
    <w:rsid w:val="0021306C"/>
    <w:rsid w:val="002130AE"/>
    <w:rsid w:val="002130E1"/>
    <w:rsid w:val="00213203"/>
    <w:rsid w:val="00213397"/>
    <w:rsid w:val="00213495"/>
    <w:rsid w:val="002135E6"/>
    <w:rsid w:val="002138EA"/>
    <w:rsid w:val="00213A38"/>
    <w:rsid w:val="00213AAF"/>
    <w:rsid w:val="00213DB6"/>
    <w:rsid w:val="00213DD8"/>
    <w:rsid w:val="0021407F"/>
    <w:rsid w:val="00214100"/>
    <w:rsid w:val="00214434"/>
    <w:rsid w:val="002148D6"/>
    <w:rsid w:val="0021495E"/>
    <w:rsid w:val="002149C9"/>
    <w:rsid w:val="002149EA"/>
    <w:rsid w:val="00214CEE"/>
    <w:rsid w:val="00214D14"/>
    <w:rsid w:val="00214DF7"/>
    <w:rsid w:val="00214E88"/>
    <w:rsid w:val="00214FDD"/>
    <w:rsid w:val="00215005"/>
    <w:rsid w:val="002150D5"/>
    <w:rsid w:val="0021518C"/>
    <w:rsid w:val="002151F4"/>
    <w:rsid w:val="00215306"/>
    <w:rsid w:val="002155E4"/>
    <w:rsid w:val="00215616"/>
    <w:rsid w:val="002159D8"/>
    <w:rsid w:val="00215AEF"/>
    <w:rsid w:val="00215B10"/>
    <w:rsid w:val="00215CBB"/>
    <w:rsid w:val="00215E9D"/>
    <w:rsid w:val="00216312"/>
    <w:rsid w:val="002166CA"/>
    <w:rsid w:val="0021685E"/>
    <w:rsid w:val="002169D3"/>
    <w:rsid w:val="002169F0"/>
    <w:rsid w:val="00216AD9"/>
    <w:rsid w:val="00216B54"/>
    <w:rsid w:val="00216B6E"/>
    <w:rsid w:val="00216C08"/>
    <w:rsid w:val="00216EA5"/>
    <w:rsid w:val="00216FF4"/>
    <w:rsid w:val="0021714D"/>
    <w:rsid w:val="002171C1"/>
    <w:rsid w:val="0021731D"/>
    <w:rsid w:val="002174A2"/>
    <w:rsid w:val="0021755A"/>
    <w:rsid w:val="00217581"/>
    <w:rsid w:val="0021777D"/>
    <w:rsid w:val="00217873"/>
    <w:rsid w:val="0021787C"/>
    <w:rsid w:val="002179BF"/>
    <w:rsid w:val="00217C7B"/>
    <w:rsid w:val="00217CC5"/>
    <w:rsid w:val="00217DEC"/>
    <w:rsid w:val="00217E74"/>
    <w:rsid w:val="00217F5D"/>
    <w:rsid w:val="002201C3"/>
    <w:rsid w:val="002201F8"/>
    <w:rsid w:val="00220336"/>
    <w:rsid w:val="00220337"/>
    <w:rsid w:val="00220384"/>
    <w:rsid w:val="002203AC"/>
    <w:rsid w:val="0022052C"/>
    <w:rsid w:val="00220613"/>
    <w:rsid w:val="0022073B"/>
    <w:rsid w:val="002207F7"/>
    <w:rsid w:val="0022087B"/>
    <w:rsid w:val="0022092C"/>
    <w:rsid w:val="002209BF"/>
    <w:rsid w:val="00220C13"/>
    <w:rsid w:val="00220CFF"/>
    <w:rsid w:val="00220E3C"/>
    <w:rsid w:val="00220EB4"/>
    <w:rsid w:val="00220F9F"/>
    <w:rsid w:val="00221078"/>
    <w:rsid w:val="002210DD"/>
    <w:rsid w:val="00221474"/>
    <w:rsid w:val="0022155B"/>
    <w:rsid w:val="0022166A"/>
    <w:rsid w:val="00221764"/>
    <w:rsid w:val="002217B5"/>
    <w:rsid w:val="0022188C"/>
    <w:rsid w:val="002218E8"/>
    <w:rsid w:val="00221A53"/>
    <w:rsid w:val="00221A60"/>
    <w:rsid w:val="00221AB7"/>
    <w:rsid w:val="00221BBF"/>
    <w:rsid w:val="00221D61"/>
    <w:rsid w:val="00221ECE"/>
    <w:rsid w:val="00221F00"/>
    <w:rsid w:val="002220B5"/>
    <w:rsid w:val="002220E8"/>
    <w:rsid w:val="00222237"/>
    <w:rsid w:val="002223EA"/>
    <w:rsid w:val="0022295C"/>
    <w:rsid w:val="002229C6"/>
    <w:rsid w:val="00222AC4"/>
    <w:rsid w:val="00222AE7"/>
    <w:rsid w:val="00222AEC"/>
    <w:rsid w:val="00222B6B"/>
    <w:rsid w:val="00222BDE"/>
    <w:rsid w:val="00222DE3"/>
    <w:rsid w:val="00223068"/>
    <w:rsid w:val="002230B4"/>
    <w:rsid w:val="002230C0"/>
    <w:rsid w:val="002234F1"/>
    <w:rsid w:val="00223618"/>
    <w:rsid w:val="0022370B"/>
    <w:rsid w:val="00223834"/>
    <w:rsid w:val="00223A08"/>
    <w:rsid w:val="00223B3C"/>
    <w:rsid w:val="00223BC1"/>
    <w:rsid w:val="00223D65"/>
    <w:rsid w:val="00223E99"/>
    <w:rsid w:val="00223F34"/>
    <w:rsid w:val="00223F3C"/>
    <w:rsid w:val="00224226"/>
    <w:rsid w:val="002242F4"/>
    <w:rsid w:val="00224425"/>
    <w:rsid w:val="00224447"/>
    <w:rsid w:val="00224554"/>
    <w:rsid w:val="00224698"/>
    <w:rsid w:val="002247E3"/>
    <w:rsid w:val="00224991"/>
    <w:rsid w:val="00224A3D"/>
    <w:rsid w:val="00224C3C"/>
    <w:rsid w:val="00224CE8"/>
    <w:rsid w:val="00224E0C"/>
    <w:rsid w:val="00224E5C"/>
    <w:rsid w:val="00225029"/>
    <w:rsid w:val="00225048"/>
    <w:rsid w:val="00225140"/>
    <w:rsid w:val="002252C9"/>
    <w:rsid w:val="002255A0"/>
    <w:rsid w:val="00225729"/>
    <w:rsid w:val="002257F3"/>
    <w:rsid w:val="00225803"/>
    <w:rsid w:val="00225897"/>
    <w:rsid w:val="002258FB"/>
    <w:rsid w:val="0022599A"/>
    <w:rsid w:val="00225A21"/>
    <w:rsid w:val="00225B43"/>
    <w:rsid w:val="00225BFD"/>
    <w:rsid w:val="00225C24"/>
    <w:rsid w:val="00225C62"/>
    <w:rsid w:val="00225CB3"/>
    <w:rsid w:val="00225E9F"/>
    <w:rsid w:val="0022622E"/>
    <w:rsid w:val="002262E6"/>
    <w:rsid w:val="00226442"/>
    <w:rsid w:val="002265FE"/>
    <w:rsid w:val="00226657"/>
    <w:rsid w:val="002266C0"/>
    <w:rsid w:val="002267E3"/>
    <w:rsid w:val="00226B37"/>
    <w:rsid w:val="00226B85"/>
    <w:rsid w:val="00226B99"/>
    <w:rsid w:val="00226CA7"/>
    <w:rsid w:val="00227022"/>
    <w:rsid w:val="002271C9"/>
    <w:rsid w:val="002272EE"/>
    <w:rsid w:val="002274CD"/>
    <w:rsid w:val="002278CE"/>
    <w:rsid w:val="002279CE"/>
    <w:rsid w:val="00227AA3"/>
    <w:rsid w:val="00227AC4"/>
    <w:rsid w:val="00227ADD"/>
    <w:rsid w:val="00227AE3"/>
    <w:rsid w:val="00227C51"/>
    <w:rsid w:val="00227CEE"/>
    <w:rsid w:val="00227E8D"/>
    <w:rsid w:val="00227F03"/>
    <w:rsid w:val="0023013A"/>
    <w:rsid w:val="0023031D"/>
    <w:rsid w:val="002303B5"/>
    <w:rsid w:val="00230750"/>
    <w:rsid w:val="0023092D"/>
    <w:rsid w:val="002309B7"/>
    <w:rsid w:val="00230C54"/>
    <w:rsid w:val="00230C8A"/>
    <w:rsid w:val="00230CAD"/>
    <w:rsid w:val="00230D19"/>
    <w:rsid w:val="00230DE2"/>
    <w:rsid w:val="00230DFB"/>
    <w:rsid w:val="00231029"/>
    <w:rsid w:val="00231094"/>
    <w:rsid w:val="002310C5"/>
    <w:rsid w:val="002311F3"/>
    <w:rsid w:val="0023140A"/>
    <w:rsid w:val="002315D2"/>
    <w:rsid w:val="002315FF"/>
    <w:rsid w:val="0023172F"/>
    <w:rsid w:val="00231AF8"/>
    <w:rsid w:val="00231B0B"/>
    <w:rsid w:val="00232175"/>
    <w:rsid w:val="0023222F"/>
    <w:rsid w:val="00232236"/>
    <w:rsid w:val="00232423"/>
    <w:rsid w:val="0023242A"/>
    <w:rsid w:val="002326D5"/>
    <w:rsid w:val="00232792"/>
    <w:rsid w:val="002329A4"/>
    <w:rsid w:val="002329A5"/>
    <w:rsid w:val="00232A40"/>
    <w:rsid w:val="00232B71"/>
    <w:rsid w:val="00232CEE"/>
    <w:rsid w:val="00233228"/>
    <w:rsid w:val="002333B9"/>
    <w:rsid w:val="002334E5"/>
    <w:rsid w:val="0023360E"/>
    <w:rsid w:val="002338AE"/>
    <w:rsid w:val="0023399E"/>
    <w:rsid w:val="00233BD5"/>
    <w:rsid w:val="00233C4D"/>
    <w:rsid w:val="00233F4E"/>
    <w:rsid w:val="00233FA2"/>
    <w:rsid w:val="002342BE"/>
    <w:rsid w:val="0023448A"/>
    <w:rsid w:val="0023466B"/>
    <w:rsid w:val="00234696"/>
    <w:rsid w:val="00234808"/>
    <w:rsid w:val="002348AD"/>
    <w:rsid w:val="002348DE"/>
    <w:rsid w:val="002349B4"/>
    <w:rsid w:val="00234BE1"/>
    <w:rsid w:val="00234E00"/>
    <w:rsid w:val="00234E51"/>
    <w:rsid w:val="00234E7B"/>
    <w:rsid w:val="00234F8F"/>
    <w:rsid w:val="00235064"/>
    <w:rsid w:val="00235240"/>
    <w:rsid w:val="002352E4"/>
    <w:rsid w:val="002352FC"/>
    <w:rsid w:val="0023537A"/>
    <w:rsid w:val="002353CB"/>
    <w:rsid w:val="00235429"/>
    <w:rsid w:val="0023551F"/>
    <w:rsid w:val="00235528"/>
    <w:rsid w:val="00235764"/>
    <w:rsid w:val="002359B5"/>
    <w:rsid w:val="002359ED"/>
    <w:rsid w:val="00235A0A"/>
    <w:rsid w:val="00235A85"/>
    <w:rsid w:val="00235BB3"/>
    <w:rsid w:val="00235C75"/>
    <w:rsid w:val="00235E9D"/>
    <w:rsid w:val="00235ED0"/>
    <w:rsid w:val="00235F9A"/>
    <w:rsid w:val="00235FA5"/>
    <w:rsid w:val="0023609C"/>
    <w:rsid w:val="002360EB"/>
    <w:rsid w:val="0023634D"/>
    <w:rsid w:val="00236484"/>
    <w:rsid w:val="00236608"/>
    <w:rsid w:val="00236677"/>
    <w:rsid w:val="002366AA"/>
    <w:rsid w:val="00236770"/>
    <w:rsid w:val="0023689D"/>
    <w:rsid w:val="00236A25"/>
    <w:rsid w:val="00236A95"/>
    <w:rsid w:val="00236A9A"/>
    <w:rsid w:val="00236B06"/>
    <w:rsid w:val="00236C77"/>
    <w:rsid w:val="002370A1"/>
    <w:rsid w:val="002370BD"/>
    <w:rsid w:val="002370CA"/>
    <w:rsid w:val="00237227"/>
    <w:rsid w:val="002374A3"/>
    <w:rsid w:val="002374ED"/>
    <w:rsid w:val="00237519"/>
    <w:rsid w:val="00237560"/>
    <w:rsid w:val="00237585"/>
    <w:rsid w:val="0023758E"/>
    <w:rsid w:val="00237624"/>
    <w:rsid w:val="00237676"/>
    <w:rsid w:val="002376D0"/>
    <w:rsid w:val="00237733"/>
    <w:rsid w:val="002377C2"/>
    <w:rsid w:val="002377E6"/>
    <w:rsid w:val="00237813"/>
    <w:rsid w:val="002379E2"/>
    <w:rsid w:val="00237A57"/>
    <w:rsid w:val="00237B59"/>
    <w:rsid w:val="00237BFC"/>
    <w:rsid w:val="00237D4A"/>
    <w:rsid w:val="00237E80"/>
    <w:rsid w:val="00237F45"/>
    <w:rsid w:val="002401D3"/>
    <w:rsid w:val="0024027F"/>
    <w:rsid w:val="00240372"/>
    <w:rsid w:val="00240455"/>
    <w:rsid w:val="00240613"/>
    <w:rsid w:val="0024070A"/>
    <w:rsid w:val="0024071D"/>
    <w:rsid w:val="002407A8"/>
    <w:rsid w:val="00240908"/>
    <w:rsid w:val="00240CCA"/>
    <w:rsid w:val="00240E09"/>
    <w:rsid w:val="00240E71"/>
    <w:rsid w:val="00240F7A"/>
    <w:rsid w:val="00241143"/>
    <w:rsid w:val="002411B1"/>
    <w:rsid w:val="002412F7"/>
    <w:rsid w:val="00241352"/>
    <w:rsid w:val="002413A2"/>
    <w:rsid w:val="002414B7"/>
    <w:rsid w:val="0024157C"/>
    <w:rsid w:val="0024160F"/>
    <w:rsid w:val="0024165E"/>
    <w:rsid w:val="0024172A"/>
    <w:rsid w:val="00241782"/>
    <w:rsid w:val="00241957"/>
    <w:rsid w:val="002419F4"/>
    <w:rsid w:val="00241A3E"/>
    <w:rsid w:val="00241AF1"/>
    <w:rsid w:val="00241B9E"/>
    <w:rsid w:val="00241C6B"/>
    <w:rsid w:val="00241C7A"/>
    <w:rsid w:val="00241DF7"/>
    <w:rsid w:val="00241E1B"/>
    <w:rsid w:val="00241E50"/>
    <w:rsid w:val="00242126"/>
    <w:rsid w:val="0024219B"/>
    <w:rsid w:val="002422B0"/>
    <w:rsid w:val="00242337"/>
    <w:rsid w:val="00242373"/>
    <w:rsid w:val="0024237A"/>
    <w:rsid w:val="00242406"/>
    <w:rsid w:val="00242464"/>
    <w:rsid w:val="00242560"/>
    <w:rsid w:val="002426DE"/>
    <w:rsid w:val="00242799"/>
    <w:rsid w:val="002427B6"/>
    <w:rsid w:val="002427C6"/>
    <w:rsid w:val="0024286D"/>
    <w:rsid w:val="00242897"/>
    <w:rsid w:val="00242A0E"/>
    <w:rsid w:val="00242D21"/>
    <w:rsid w:val="00242DD7"/>
    <w:rsid w:val="00242E5B"/>
    <w:rsid w:val="00242F0B"/>
    <w:rsid w:val="00243122"/>
    <w:rsid w:val="00243179"/>
    <w:rsid w:val="0024323D"/>
    <w:rsid w:val="00243278"/>
    <w:rsid w:val="00243301"/>
    <w:rsid w:val="002434C7"/>
    <w:rsid w:val="002435A8"/>
    <w:rsid w:val="00243640"/>
    <w:rsid w:val="00243700"/>
    <w:rsid w:val="002437C8"/>
    <w:rsid w:val="002437E0"/>
    <w:rsid w:val="00243B89"/>
    <w:rsid w:val="00243D63"/>
    <w:rsid w:val="00243DAD"/>
    <w:rsid w:val="00243DF5"/>
    <w:rsid w:val="00243F1A"/>
    <w:rsid w:val="0024425B"/>
    <w:rsid w:val="0024425F"/>
    <w:rsid w:val="002442E8"/>
    <w:rsid w:val="00244348"/>
    <w:rsid w:val="002446D2"/>
    <w:rsid w:val="00244903"/>
    <w:rsid w:val="00244909"/>
    <w:rsid w:val="0024493A"/>
    <w:rsid w:val="0024497E"/>
    <w:rsid w:val="002449CE"/>
    <w:rsid w:val="00244B77"/>
    <w:rsid w:val="00244BA1"/>
    <w:rsid w:val="00244DBD"/>
    <w:rsid w:val="00244E4C"/>
    <w:rsid w:val="00244EE9"/>
    <w:rsid w:val="00245057"/>
    <w:rsid w:val="0024516E"/>
    <w:rsid w:val="0024533E"/>
    <w:rsid w:val="00245351"/>
    <w:rsid w:val="002454CF"/>
    <w:rsid w:val="0024569D"/>
    <w:rsid w:val="002456CA"/>
    <w:rsid w:val="0024578A"/>
    <w:rsid w:val="00245798"/>
    <w:rsid w:val="00245930"/>
    <w:rsid w:val="00245B8E"/>
    <w:rsid w:val="00245C2F"/>
    <w:rsid w:val="00245DA1"/>
    <w:rsid w:val="00245F7F"/>
    <w:rsid w:val="0024608B"/>
    <w:rsid w:val="002460E3"/>
    <w:rsid w:val="002462B5"/>
    <w:rsid w:val="002462C7"/>
    <w:rsid w:val="00246470"/>
    <w:rsid w:val="002464EB"/>
    <w:rsid w:val="00246607"/>
    <w:rsid w:val="00246848"/>
    <w:rsid w:val="002468E0"/>
    <w:rsid w:val="00246C39"/>
    <w:rsid w:val="00246E6A"/>
    <w:rsid w:val="00246EF7"/>
    <w:rsid w:val="00246F66"/>
    <w:rsid w:val="0024700D"/>
    <w:rsid w:val="00247027"/>
    <w:rsid w:val="0024736B"/>
    <w:rsid w:val="002473F2"/>
    <w:rsid w:val="0024771D"/>
    <w:rsid w:val="002478F0"/>
    <w:rsid w:val="00247922"/>
    <w:rsid w:val="00247ADE"/>
    <w:rsid w:val="00247F6B"/>
    <w:rsid w:val="00250005"/>
    <w:rsid w:val="00250052"/>
    <w:rsid w:val="002501BE"/>
    <w:rsid w:val="002502BD"/>
    <w:rsid w:val="0025054B"/>
    <w:rsid w:val="002506BD"/>
    <w:rsid w:val="0025072D"/>
    <w:rsid w:val="00250737"/>
    <w:rsid w:val="0025095E"/>
    <w:rsid w:val="00250974"/>
    <w:rsid w:val="00250BB7"/>
    <w:rsid w:val="00250CED"/>
    <w:rsid w:val="00250E8E"/>
    <w:rsid w:val="00251132"/>
    <w:rsid w:val="00251195"/>
    <w:rsid w:val="0025140F"/>
    <w:rsid w:val="00251794"/>
    <w:rsid w:val="002518AB"/>
    <w:rsid w:val="00251A1A"/>
    <w:rsid w:val="00251AC5"/>
    <w:rsid w:val="00251BDA"/>
    <w:rsid w:val="00251C77"/>
    <w:rsid w:val="00251DCC"/>
    <w:rsid w:val="00251E6B"/>
    <w:rsid w:val="00251EAD"/>
    <w:rsid w:val="0025203F"/>
    <w:rsid w:val="0025207C"/>
    <w:rsid w:val="002520EA"/>
    <w:rsid w:val="00252311"/>
    <w:rsid w:val="00252445"/>
    <w:rsid w:val="0025251A"/>
    <w:rsid w:val="002527A1"/>
    <w:rsid w:val="00252809"/>
    <w:rsid w:val="00252889"/>
    <w:rsid w:val="0025292F"/>
    <w:rsid w:val="00252A85"/>
    <w:rsid w:val="00252B35"/>
    <w:rsid w:val="00252B50"/>
    <w:rsid w:val="00252D23"/>
    <w:rsid w:val="00252DBC"/>
    <w:rsid w:val="00252F1E"/>
    <w:rsid w:val="002537A5"/>
    <w:rsid w:val="00253994"/>
    <w:rsid w:val="002539D6"/>
    <w:rsid w:val="002539F2"/>
    <w:rsid w:val="00253ACD"/>
    <w:rsid w:val="00253AE5"/>
    <w:rsid w:val="00253C01"/>
    <w:rsid w:val="00253E1D"/>
    <w:rsid w:val="00253E65"/>
    <w:rsid w:val="00254437"/>
    <w:rsid w:val="002544A7"/>
    <w:rsid w:val="002545CE"/>
    <w:rsid w:val="002545F4"/>
    <w:rsid w:val="002546BE"/>
    <w:rsid w:val="0025470E"/>
    <w:rsid w:val="0025472A"/>
    <w:rsid w:val="00254ADB"/>
    <w:rsid w:val="00254C9D"/>
    <w:rsid w:val="00254DB2"/>
    <w:rsid w:val="00254F42"/>
    <w:rsid w:val="00254FAB"/>
    <w:rsid w:val="0025509A"/>
    <w:rsid w:val="002550E8"/>
    <w:rsid w:val="00255114"/>
    <w:rsid w:val="00255241"/>
    <w:rsid w:val="00255258"/>
    <w:rsid w:val="00255338"/>
    <w:rsid w:val="0025546A"/>
    <w:rsid w:val="002554A1"/>
    <w:rsid w:val="0025551D"/>
    <w:rsid w:val="00255796"/>
    <w:rsid w:val="00255945"/>
    <w:rsid w:val="00255A9D"/>
    <w:rsid w:val="00255A9F"/>
    <w:rsid w:val="00255CA8"/>
    <w:rsid w:val="00255DA1"/>
    <w:rsid w:val="002560CE"/>
    <w:rsid w:val="002560DD"/>
    <w:rsid w:val="002560FB"/>
    <w:rsid w:val="00256198"/>
    <w:rsid w:val="00256274"/>
    <w:rsid w:val="002562B8"/>
    <w:rsid w:val="00256356"/>
    <w:rsid w:val="002563BB"/>
    <w:rsid w:val="002563F6"/>
    <w:rsid w:val="0025666C"/>
    <w:rsid w:val="00256785"/>
    <w:rsid w:val="002568E2"/>
    <w:rsid w:val="00256A93"/>
    <w:rsid w:val="00256B0B"/>
    <w:rsid w:val="00256B69"/>
    <w:rsid w:val="00256CCB"/>
    <w:rsid w:val="00256DAA"/>
    <w:rsid w:val="00256DF5"/>
    <w:rsid w:val="00256ED7"/>
    <w:rsid w:val="00256F13"/>
    <w:rsid w:val="00256FA9"/>
    <w:rsid w:val="0025731C"/>
    <w:rsid w:val="0025745C"/>
    <w:rsid w:val="0025759D"/>
    <w:rsid w:val="002575E3"/>
    <w:rsid w:val="00257650"/>
    <w:rsid w:val="0025766B"/>
    <w:rsid w:val="0025780D"/>
    <w:rsid w:val="002578D8"/>
    <w:rsid w:val="00257CA1"/>
    <w:rsid w:val="00257E10"/>
    <w:rsid w:val="00257F54"/>
    <w:rsid w:val="0026021E"/>
    <w:rsid w:val="002604FC"/>
    <w:rsid w:val="002607DD"/>
    <w:rsid w:val="002607EC"/>
    <w:rsid w:val="0026082F"/>
    <w:rsid w:val="00260847"/>
    <w:rsid w:val="00260AF1"/>
    <w:rsid w:val="00260B46"/>
    <w:rsid w:val="00260CDB"/>
    <w:rsid w:val="0026116A"/>
    <w:rsid w:val="0026155E"/>
    <w:rsid w:val="002615D6"/>
    <w:rsid w:val="00261602"/>
    <w:rsid w:val="00261699"/>
    <w:rsid w:val="00261C43"/>
    <w:rsid w:val="00261D06"/>
    <w:rsid w:val="00261DCA"/>
    <w:rsid w:val="00261E29"/>
    <w:rsid w:val="00261FEB"/>
    <w:rsid w:val="00262037"/>
    <w:rsid w:val="00262189"/>
    <w:rsid w:val="0026227C"/>
    <w:rsid w:val="00262329"/>
    <w:rsid w:val="0026232E"/>
    <w:rsid w:val="00262369"/>
    <w:rsid w:val="00262557"/>
    <w:rsid w:val="002626A8"/>
    <w:rsid w:val="002626B8"/>
    <w:rsid w:val="00262AAA"/>
    <w:rsid w:val="00262AF8"/>
    <w:rsid w:val="00262DF4"/>
    <w:rsid w:val="00262EDB"/>
    <w:rsid w:val="00262F0D"/>
    <w:rsid w:val="0026313D"/>
    <w:rsid w:val="0026318A"/>
    <w:rsid w:val="002632C6"/>
    <w:rsid w:val="00263388"/>
    <w:rsid w:val="0026352F"/>
    <w:rsid w:val="00263591"/>
    <w:rsid w:val="002635B3"/>
    <w:rsid w:val="00263901"/>
    <w:rsid w:val="0026394C"/>
    <w:rsid w:val="00263B15"/>
    <w:rsid w:val="00263CA5"/>
    <w:rsid w:val="00264132"/>
    <w:rsid w:val="0026428B"/>
    <w:rsid w:val="00264307"/>
    <w:rsid w:val="002643D3"/>
    <w:rsid w:val="00264445"/>
    <w:rsid w:val="0026453C"/>
    <w:rsid w:val="002646D0"/>
    <w:rsid w:val="002646D9"/>
    <w:rsid w:val="0026480E"/>
    <w:rsid w:val="00264B03"/>
    <w:rsid w:val="00264B70"/>
    <w:rsid w:val="00264D33"/>
    <w:rsid w:val="00264D71"/>
    <w:rsid w:val="00264F9B"/>
    <w:rsid w:val="002653C3"/>
    <w:rsid w:val="002653C8"/>
    <w:rsid w:val="0026544F"/>
    <w:rsid w:val="002654D6"/>
    <w:rsid w:val="0026563F"/>
    <w:rsid w:val="002657BC"/>
    <w:rsid w:val="002657D9"/>
    <w:rsid w:val="002657EC"/>
    <w:rsid w:val="00265873"/>
    <w:rsid w:val="00265935"/>
    <w:rsid w:val="002659C1"/>
    <w:rsid w:val="00265B22"/>
    <w:rsid w:val="00265CD7"/>
    <w:rsid w:val="00265E2F"/>
    <w:rsid w:val="00265E39"/>
    <w:rsid w:val="00265EE8"/>
    <w:rsid w:val="00265EED"/>
    <w:rsid w:val="00266384"/>
    <w:rsid w:val="00266545"/>
    <w:rsid w:val="002665B1"/>
    <w:rsid w:val="00266821"/>
    <w:rsid w:val="00266872"/>
    <w:rsid w:val="00266982"/>
    <w:rsid w:val="00266BCE"/>
    <w:rsid w:val="00266BD9"/>
    <w:rsid w:val="00266BDC"/>
    <w:rsid w:val="00266C83"/>
    <w:rsid w:val="00266C97"/>
    <w:rsid w:val="00266CAE"/>
    <w:rsid w:val="00266D0C"/>
    <w:rsid w:val="00266EB3"/>
    <w:rsid w:val="00266F0C"/>
    <w:rsid w:val="00266F12"/>
    <w:rsid w:val="002670C2"/>
    <w:rsid w:val="00267296"/>
    <w:rsid w:val="0026765A"/>
    <w:rsid w:val="0026768C"/>
    <w:rsid w:val="002676A4"/>
    <w:rsid w:val="00267BD7"/>
    <w:rsid w:val="00267C99"/>
    <w:rsid w:val="00267D95"/>
    <w:rsid w:val="00267D9C"/>
    <w:rsid w:val="00267FA7"/>
    <w:rsid w:val="0027003C"/>
    <w:rsid w:val="00270179"/>
    <w:rsid w:val="00270182"/>
    <w:rsid w:val="0027026D"/>
    <w:rsid w:val="00270344"/>
    <w:rsid w:val="00270446"/>
    <w:rsid w:val="00270447"/>
    <w:rsid w:val="0027050B"/>
    <w:rsid w:val="00270666"/>
    <w:rsid w:val="0027071F"/>
    <w:rsid w:val="0027087B"/>
    <w:rsid w:val="002709C3"/>
    <w:rsid w:val="002709F9"/>
    <w:rsid w:val="00270BA1"/>
    <w:rsid w:val="00270CD4"/>
    <w:rsid w:val="00270EAB"/>
    <w:rsid w:val="00270F72"/>
    <w:rsid w:val="00271057"/>
    <w:rsid w:val="00271220"/>
    <w:rsid w:val="00271320"/>
    <w:rsid w:val="00271658"/>
    <w:rsid w:val="00271B03"/>
    <w:rsid w:val="00271B7D"/>
    <w:rsid w:val="002721BB"/>
    <w:rsid w:val="002722CA"/>
    <w:rsid w:val="00272378"/>
    <w:rsid w:val="002724A3"/>
    <w:rsid w:val="00272541"/>
    <w:rsid w:val="00272659"/>
    <w:rsid w:val="0027268B"/>
    <w:rsid w:val="00272760"/>
    <w:rsid w:val="002728FA"/>
    <w:rsid w:val="002729F4"/>
    <w:rsid w:val="00272A46"/>
    <w:rsid w:val="00272A6C"/>
    <w:rsid w:val="00272B8E"/>
    <w:rsid w:val="00272C0D"/>
    <w:rsid w:val="00272C72"/>
    <w:rsid w:val="00272D05"/>
    <w:rsid w:val="00273072"/>
    <w:rsid w:val="002731EE"/>
    <w:rsid w:val="0027336F"/>
    <w:rsid w:val="0027360A"/>
    <w:rsid w:val="002736B2"/>
    <w:rsid w:val="00273717"/>
    <w:rsid w:val="00273858"/>
    <w:rsid w:val="002738C8"/>
    <w:rsid w:val="00273A68"/>
    <w:rsid w:val="00273BC1"/>
    <w:rsid w:val="00273C63"/>
    <w:rsid w:val="00273D71"/>
    <w:rsid w:val="00273EC8"/>
    <w:rsid w:val="00274046"/>
    <w:rsid w:val="002741D7"/>
    <w:rsid w:val="002741E9"/>
    <w:rsid w:val="002742D4"/>
    <w:rsid w:val="00274465"/>
    <w:rsid w:val="002746AB"/>
    <w:rsid w:val="002746F6"/>
    <w:rsid w:val="0027486D"/>
    <w:rsid w:val="002748D4"/>
    <w:rsid w:val="002749E0"/>
    <w:rsid w:val="00274A46"/>
    <w:rsid w:val="00274AE8"/>
    <w:rsid w:val="00274B07"/>
    <w:rsid w:val="00274C54"/>
    <w:rsid w:val="00274D9F"/>
    <w:rsid w:val="00274DD3"/>
    <w:rsid w:val="00274E5D"/>
    <w:rsid w:val="00274EC9"/>
    <w:rsid w:val="00274FB0"/>
    <w:rsid w:val="00275234"/>
    <w:rsid w:val="002752E0"/>
    <w:rsid w:val="0027531D"/>
    <w:rsid w:val="00275334"/>
    <w:rsid w:val="00275481"/>
    <w:rsid w:val="0027598B"/>
    <w:rsid w:val="00275B51"/>
    <w:rsid w:val="00275DF0"/>
    <w:rsid w:val="00275E5E"/>
    <w:rsid w:val="00275FB1"/>
    <w:rsid w:val="002762CD"/>
    <w:rsid w:val="00276346"/>
    <w:rsid w:val="0027649C"/>
    <w:rsid w:val="002765AC"/>
    <w:rsid w:val="002765E0"/>
    <w:rsid w:val="002766D1"/>
    <w:rsid w:val="002768E5"/>
    <w:rsid w:val="002768F1"/>
    <w:rsid w:val="00276907"/>
    <w:rsid w:val="00276980"/>
    <w:rsid w:val="00276AF5"/>
    <w:rsid w:val="00276B7F"/>
    <w:rsid w:val="00276C1C"/>
    <w:rsid w:val="00276D77"/>
    <w:rsid w:val="00276DB5"/>
    <w:rsid w:val="00276ECF"/>
    <w:rsid w:val="00276FA1"/>
    <w:rsid w:val="0027707F"/>
    <w:rsid w:val="0027708B"/>
    <w:rsid w:val="002770DF"/>
    <w:rsid w:val="002770FD"/>
    <w:rsid w:val="002771ED"/>
    <w:rsid w:val="00277370"/>
    <w:rsid w:val="0027756C"/>
    <w:rsid w:val="002776F8"/>
    <w:rsid w:val="00277870"/>
    <w:rsid w:val="0027790E"/>
    <w:rsid w:val="002779F7"/>
    <w:rsid w:val="00277A37"/>
    <w:rsid w:val="00277B11"/>
    <w:rsid w:val="00277B51"/>
    <w:rsid w:val="00277B6B"/>
    <w:rsid w:val="00277DC6"/>
    <w:rsid w:val="00277E03"/>
    <w:rsid w:val="00277F62"/>
    <w:rsid w:val="00277F72"/>
    <w:rsid w:val="00277F77"/>
    <w:rsid w:val="00280045"/>
    <w:rsid w:val="0028031F"/>
    <w:rsid w:val="002804AF"/>
    <w:rsid w:val="0028069F"/>
    <w:rsid w:val="00280748"/>
    <w:rsid w:val="0028077C"/>
    <w:rsid w:val="0028082A"/>
    <w:rsid w:val="0028096E"/>
    <w:rsid w:val="002809A6"/>
    <w:rsid w:val="00280BF5"/>
    <w:rsid w:val="00280C64"/>
    <w:rsid w:val="00280DEE"/>
    <w:rsid w:val="002811AA"/>
    <w:rsid w:val="002812FD"/>
    <w:rsid w:val="00281357"/>
    <w:rsid w:val="002814D1"/>
    <w:rsid w:val="002819F4"/>
    <w:rsid w:val="00281B48"/>
    <w:rsid w:val="00281C38"/>
    <w:rsid w:val="00281E0F"/>
    <w:rsid w:val="00281E8A"/>
    <w:rsid w:val="00281EC8"/>
    <w:rsid w:val="0028234F"/>
    <w:rsid w:val="00282399"/>
    <w:rsid w:val="00282431"/>
    <w:rsid w:val="00282486"/>
    <w:rsid w:val="002825B3"/>
    <w:rsid w:val="002825E7"/>
    <w:rsid w:val="002825F9"/>
    <w:rsid w:val="00282912"/>
    <w:rsid w:val="00282916"/>
    <w:rsid w:val="002829A9"/>
    <w:rsid w:val="00282A3C"/>
    <w:rsid w:val="00282B11"/>
    <w:rsid w:val="00282BE7"/>
    <w:rsid w:val="00282C2A"/>
    <w:rsid w:val="00282EF6"/>
    <w:rsid w:val="00282FF4"/>
    <w:rsid w:val="00283153"/>
    <w:rsid w:val="0028337C"/>
    <w:rsid w:val="00283776"/>
    <w:rsid w:val="00283879"/>
    <w:rsid w:val="002839F2"/>
    <w:rsid w:val="00283CE8"/>
    <w:rsid w:val="00283D59"/>
    <w:rsid w:val="002844B1"/>
    <w:rsid w:val="002844B4"/>
    <w:rsid w:val="00284739"/>
    <w:rsid w:val="0028482D"/>
    <w:rsid w:val="0028492F"/>
    <w:rsid w:val="00284949"/>
    <w:rsid w:val="00284DDA"/>
    <w:rsid w:val="00284EEC"/>
    <w:rsid w:val="00284F89"/>
    <w:rsid w:val="0028518D"/>
    <w:rsid w:val="002851ED"/>
    <w:rsid w:val="0028541F"/>
    <w:rsid w:val="0028547E"/>
    <w:rsid w:val="00285577"/>
    <w:rsid w:val="002855E0"/>
    <w:rsid w:val="002857EF"/>
    <w:rsid w:val="002858D0"/>
    <w:rsid w:val="00285A0F"/>
    <w:rsid w:val="00285C9A"/>
    <w:rsid w:val="00285D53"/>
    <w:rsid w:val="00285D85"/>
    <w:rsid w:val="00285D89"/>
    <w:rsid w:val="00285F0E"/>
    <w:rsid w:val="00285F56"/>
    <w:rsid w:val="00286040"/>
    <w:rsid w:val="002861A5"/>
    <w:rsid w:val="002862D4"/>
    <w:rsid w:val="00286331"/>
    <w:rsid w:val="002863C2"/>
    <w:rsid w:val="00286490"/>
    <w:rsid w:val="002865CA"/>
    <w:rsid w:val="00286740"/>
    <w:rsid w:val="0028684A"/>
    <w:rsid w:val="0028693C"/>
    <w:rsid w:val="0028695C"/>
    <w:rsid w:val="002869C0"/>
    <w:rsid w:val="00286B45"/>
    <w:rsid w:val="00286E1B"/>
    <w:rsid w:val="0028702C"/>
    <w:rsid w:val="00287081"/>
    <w:rsid w:val="0028717B"/>
    <w:rsid w:val="00287199"/>
    <w:rsid w:val="00287335"/>
    <w:rsid w:val="00287575"/>
    <w:rsid w:val="002875ED"/>
    <w:rsid w:val="0028769E"/>
    <w:rsid w:val="00287994"/>
    <w:rsid w:val="002879D3"/>
    <w:rsid w:val="00287A79"/>
    <w:rsid w:val="00287C19"/>
    <w:rsid w:val="00287CBF"/>
    <w:rsid w:val="00287DAA"/>
    <w:rsid w:val="00287E4B"/>
    <w:rsid w:val="00287E65"/>
    <w:rsid w:val="00287F53"/>
    <w:rsid w:val="00290028"/>
    <w:rsid w:val="00290039"/>
    <w:rsid w:val="002901E2"/>
    <w:rsid w:val="00290240"/>
    <w:rsid w:val="0029031A"/>
    <w:rsid w:val="00290339"/>
    <w:rsid w:val="002903BF"/>
    <w:rsid w:val="002904CC"/>
    <w:rsid w:val="00290527"/>
    <w:rsid w:val="0029052C"/>
    <w:rsid w:val="00290593"/>
    <w:rsid w:val="002907D5"/>
    <w:rsid w:val="002907E0"/>
    <w:rsid w:val="00290893"/>
    <w:rsid w:val="00290A26"/>
    <w:rsid w:val="00290C98"/>
    <w:rsid w:val="00290CC4"/>
    <w:rsid w:val="00290FE6"/>
    <w:rsid w:val="00291362"/>
    <w:rsid w:val="00291397"/>
    <w:rsid w:val="0029147F"/>
    <w:rsid w:val="002915DF"/>
    <w:rsid w:val="00291618"/>
    <w:rsid w:val="0029183D"/>
    <w:rsid w:val="0029195D"/>
    <w:rsid w:val="00291B45"/>
    <w:rsid w:val="00291B7F"/>
    <w:rsid w:val="00291BCF"/>
    <w:rsid w:val="00291C3C"/>
    <w:rsid w:val="00291CF6"/>
    <w:rsid w:val="00291D45"/>
    <w:rsid w:val="00291DA6"/>
    <w:rsid w:val="00291DD3"/>
    <w:rsid w:val="00291F31"/>
    <w:rsid w:val="00291FC3"/>
    <w:rsid w:val="0029230F"/>
    <w:rsid w:val="00292420"/>
    <w:rsid w:val="0029247C"/>
    <w:rsid w:val="0029275A"/>
    <w:rsid w:val="00292773"/>
    <w:rsid w:val="00292983"/>
    <w:rsid w:val="002929A6"/>
    <w:rsid w:val="00292BE8"/>
    <w:rsid w:val="00292C70"/>
    <w:rsid w:val="00292D82"/>
    <w:rsid w:val="00292EC0"/>
    <w:rsid w:val="00292FC3"/>
    <w:rsid w:val="00292FEA"/>
    <w:rsid w:val="002932CD"/>
    <w:rsid w:val="002933EB"/>
    <w:rsid w:val="00293425"/>
    <w:rsid w:val="002934C0"/>
    <w:rsid w:val="002936FB"/>
    <w:rsid w:val="0029371E"/>
    <w:rsid w:val="002937A8"/>
    <w:rsid w:val="002937AF"/>
    <w:rsid w:val="00293980"/>
    <w:rsid w:val="002939F7"/>
    <w:rsid w:val="00293C3D"/>
    <w:rsid w:val="00293C66"/>
    <w:rsid w:val="00293C82"/>
    <w:rsid w:val="00293CB9"/>
    <w:rsid w:val="00293CE3"/>
    <w:rsid w:val="00293D5C"/>
    <w:rsid w:val="002942F5"/>
    <w:rsid w:val="002943A0"/>
    <w:rsid w:val="0029485E"/>
    <w:rsid w:val="0029497C"/>
    <w:rsid w:val="00294A4F"/>
    <w:rsid w:val="00294BE5"/>
    <w:rsid w:val="00294D06"/>
    <w:rsid w:val="00294ECC"/>
    <w:rsid w:val="00295064"/>
    <w:rsid w:val="002950E6"/>
    <w:rsid w:val="002951C9"/>
    <w:rsid w:val="00295241"/>
    <w:rsid w:val="00295348"/>
    <w:rsid w:val="00295405"/>
    <w:rsid w:val="0029578D"/>
    <w:rsid w:val="00295851"/>
    <w:rsid w:val="00295985"/>
    <w:rsid w:val="002959FE"/>
    <w:rsid w:val="00295A43"/>
    <w:rsid w:val="00295ABA"/>
    <w:rsid w:val="00295C82"/>
    <w:rsid w:val="00295C90"/>
    <w:rsid w:val="00295EBF"/>
    <w:rsid w:val="002960A7"/>
    <w:rsid w:val="002960D4"/>
    <w:rsid w:val="0029628B"/>
    <w:rsid w:val="002962BD"/>
    <w:rsid w:val="002963F8"/>
    <w:rsid w:val="0029671D"/>
    <w:rsid w:val="00296801"/>
    <w:rsid w:val="00296851"/>
    <w:rsid w:val="00296855"/>
    <w:rsid w:val="00296B89"/>
    <w:rsid w:val="00296D53"/>
    <w:rsid w:val="00296DA6"/>
    <w:rsid w:val="00296EF2"/>
    <w:rsid w:val="00296F09"/>
    <w:rsid w:val="00296F7C"/>
    <w:rsid w:val="00297115"/>
    <w:rsid w:val="002971CF"/>
    <w:rsid w:val="00297237"/>
    <w:rsid w:val="0029731A"/>
    <w:rsid w:val="00297939"/>
    <w:rsid w:val="00297C42"/>
    <w:rsid w:val="00297E35"/>
    <w:rsid w:val="002A0001"/>
    <w:rsid w:val="002A0441"/>
    <w:rsid w:val="002A04D5"/>
    <w:rsid w:val="002A0692"/>
    <w:rsid w:val="002A0752"/>
    <w:rsid w:val="002A087E"/>
    <w:rsid w:val="002A08F9"/>
    <w:rsid w:val="002A0901"/>
    <w:rsid w:val="002A0C53"/>
    <w:rsid w:val="002A0C5C"/>
    <w:rsid w:val="002A0E24"/>
    <w:rsid w:val="002A0F02"/>
    <w:rsid w:val="002A0F08"/>
    <w:rsid w:val="002A0F36"/>
    <w:rsid w:val="002A1018"/>
    <w:rsid w:val="002A1306"/>
    <w:rsid w:val="002A138A"/>
    <w:rsid w:val="002A157E"/>
    <w:rsid w:val="002A1642"/>
    <w:rsid w:val="002A178A"/>
    <w:rsid w:val="002A1B09"/>
    <w:rsid w:val="002A1E8D"/>
    <w:rsid w:val="002A1FC3"/>
    <w:rsid w:val="002A1FD7"/>
    <w:rsid w:val="002A21E7"/>
    <w:rsid w:val="002A2316"/>
    <w:rsid w:val="002A2477"/>
    <w:rsid w:val="002A267B"/>
    <w:rsid w:val="002A2695"/>
    <w:rsid w:val="002A27F4"/>
    <w:rsid w:val="002A28DC"/>
    <w:rsid w:val="002A29A3"/>
    <w:rsid w:val="002A2AD7"/>
    <w:rsid w:val="002A301D"/>
    <w:rsid w:val="002A32CD"/>
    <w:rsid w:val="002A33AE"/>
    <w:rsid w:val="002A343B"/>
    <w:rsid w:val="002A34D3"/>
    <w:rsid w:val="002A3606"/>
    <w:rsid w:val="002A3665"/>
    <w:rsid w:val="002A382D"/>
    <w:rsid w:val="002A388D"/>
    <w:rsid w:val="002A392B"/>
    <w:rsid w:val="002A3A2F"/>
    <w:rsid w:val="002A3B3B"/>
    <w:rsid w:val="002A3BFE"/>
    <w:rsid w:val="002A3EAB"/>
    <w:rsid w:val="002A3FAA"/>
    <w:rsid w:val="002A40B2"/>
    <w:rsid w:val="002A43A2"/>
    <w:rsid w:val="002A4650"/>
    <w:rsid w:val="002A4655"/>
    <w:rsid w:val="002A46D8"/>
    <w:rsid w:val="002A4732"/>
    <w:rsid w:val="002A49F8"/>
    <w:rsid w:val="002A4A7A"/>
    <w:rsid w:val="002A4B38"/>
    <w:rsid w:val="002A4B7A"/>
    <w:rsid w:val="002A4D50"/>
    <w:rsid w:val="002A4E1D"/>
    <w:rsid w:val="002A4EA4"/>
    <w:rsid w:val="002A4F90"/>
    <w:rsid w:val="002A4FA0"/>
    <w:rsid w:val="002A5198"/>
    <w:rsid w:val="002A523A"/>
    <w:rsid w:val="002A5395"/>
    <w:rsid w:val="002A54FC"/>
    <w:rsid w:val="002A552C"/>
    <w:rsid w:val="002A5759"/>
    <w:rsid w:val="002A5773"/>
    <w:rsid w:val="002A59B3"/>
    <w:rsid w:val="002A5A95"/>
    <w:rsid w:val="002A5CBF"/>
    <w:rsid w:val="002A5D66"/>
    <w:rsid w:val="002A5DC8"/>
    <w:rsid w:val="002A5EC1"/>
    <w:rsid w:val="002A61D1"/>
    <w:rsid w:val="002A635D"/>
    <w:rsid w:val="002A638E"/>
    <w:rsid w:val="002A63CC"/>
    <w:rsid w:val="002A63D9"/>
    <w:rsid w:val="002A649C"/>
    <w:rsid w:val="002A64AB"/>
    <w:rsid w:val="002A656B"/>
    <w:rsid w:val="002A6632"/>
    <w:rsid w:val="002A6712"/>
    <w:rsid w:val="002A6725"/>
    <w:rsid w:val="002A6921"/>
    <w:rsid w:val="002A69B3"/>
    <w:rsid w:val="002A69D6"/>
    <w:rsid w:val="002A6AEF"/>
    <w:rsid w:val="002A6B01"/>
    <w:rsid w:val="002A6B8C"/>
    <w:rsid w:val="002A6CDC"/>
    <w:rsid w:val="002A6DBB"/>
    <w:rsid w:val="002A6FCE"/>
    <w:rsid w:val="002A709E"/>
    <w:rsid w:val="002A7161"/>
    <w:rsid w:val="002A71C5"/>
    <w:rsid w:val="002A729B"/>
    <w:rsid w:val="002A7368"/>
    <w:rsid w:val="002A76D9"/>
    <w:rsid w:val="002A7804"/>
    <w:rsid w:val="002A7B53"/>
    <w:rsid w:val="002A7C0E"/>
    <w:rsid w:val="002A7CC5"/>
    <w:rsid w:val="002A7D19"/>
    <w:rsid w:val="002A7DAB"/>
    <w:rsid w:val="002A7F70"/>
    <w:rsid w:val="002A7F75"/>
    <w:rsid w:val="002B01A8"/>
    <w:rsid w:val="002B01EA"/>
    <w:rsid w:val="002B0456"/>
    <w:rsid w:val="002B0698"/>
    <w:rsid w:val="002B0747"/>
    <w:rsid w:val="002B07E5"/>
    <w:rsid w:val="002B0985"/>
    <w:rsid w:val="002B0B30"/>
    <w:rsid w:val="002B0CF0"/>
    <w:rsid w:val="002B0D7B"/>
    <w:rsid w:val="002B11E2"/>
    <w:rsid w:val="002B126F"/>
    <w:rsid w:val="002B12C6"/>
    <w:rsid w:val="002B1311"/>
    <w:rsid w:val="002B1322"/>
    <w:rsid w:val="002B135D"/>
    <w:rsid w:val="002B1648"/>
    <w:rsid w:val="002B167B"/>
    <w:rsid w:val="002B193F"/>
    <w:rsid w:val="002B199E"/>
    <w:rsid w:val="002B19BE"/>
    <w:rsid w:val="002B1C4F"/>
    <w:rsid w:val="002B1D12"/>
    <w:rsid w:val="002B1D2C"/>
    <w:rsid w:val="002B1FAC"/>
    <w:rsid w:val="002B1FB2"/>
    <w:rsid w:val="002B2019"/>
    <w:rsid w:val="002B24EC"/>
    <w:rsid w:val="002B264D"/>
    <w:rsid w:val="002B2654"/>
    <w:rsid w:val="002B26C7"/>
    <w:rsid w:val="002B270F"/>
    <w:rsid w:val="002B288B"/>
    <w:rsid w:val="002B28D8"/>
    <w:rsid w:val="002B29FF"/>
    <w:rsid w:val="002B2BA0"/>
    <w:rsid w:val="002B2BC5"/>
    <w:rsid w:val="002B2D72"/>
    <w:rsid w:val="002B2F34"/>
    <w:rsid w:val="002B2FA2"/>
    <w:rsid w:val="002B2FD6"/>
    <w:rsid w:val="002B3085"/>
    <w:rsid w:val="002B31B5"/>
    <w:rsid w:val="002B3269"/>
    <w:rsid w:val="002B339D"/>
    <w:rsid w:val="002B3808"/>
    <w:rsid w:val="002B3879"/>
    <w:rsid w:val="002B3971"/>
    <w:rsid w:val="002B3A0A"/>
    <w:rsid w:val="002B3AAA"/>
    <w:rsid w:val="002B3B30"/>
    <w:rsid w:val="002B3BE3"/>
    <w:rsid w:val="002B40FA"/>
    <w:rsid w:val="002B4373"/>
    <w:rsid w:val="002B4429"/>
    <w:rsid w:val="002B44A8"/>
    <w:rsid w:val="002B44C6"/>
    <w:rsid w:val="002B453B"/>
    <w:rsid w:val="002B4585"/>
    <w:rsid w:val="002B476F"/>
    <w:rsid w:val="002B48FF"/>
    <w:rsid w:val="002B4911"/>
    <w:rsid w:val="002B49A2"/>
    <w:rsid w:val="002B49A4"/>
    <w:rsid w:val="002B4C54"/>
    <w:rsid w:val="002B4C57"/>
    <w:rsid w:val="002B4FE0"/>
    <w:rsid w:val="002B510A"/>
    <w:rsid w:val="002B51B1"/>
    <w:rsid w:val="002B51D4"/>
    <w:rsid w:val="002B5376"/>
    <w:rsid w:val="002B54EF"/>
    <w:rsid w:val="002B5504"/>
    <w:rsid w:val="002B5566"/>
    <w:rsid w:val="002B55C6"/>
    <w:rsid w:val="002B5662"/>
    <w:rsid w:val="002B5959"/>
    <w:rsid w:val="002B5A87"/>
    <w:rsid w:val="002B5AB8"/>
    <w:rsid w:val="002B5B25"/>
    <w:rsid w:val="002B5D87"/>
    <w:rsid w:val="002B5E85"/>
    <w:rsid w:val="002B6080"/>
    <w:rsid w:val="002B6087"/>
    <w:rsid w:val="002B60B9"/>
    <w:rsid w:val="002B63BD"/>
    <w:rsid w:val="002B66DE"/>
    <w:rsid w:val="002B675F"/>
    <w:rsid w:val="002B6831"/>
    <w:rsid w:val="002B6A38"/>
    <w:rsid w:val="002B6BA0"/>
    <w:rsid w:val="002B6C65"/>
    <w:rsid w:val="002B6DAC"/>
    <w:rsid w:val="002B6E68"/>
    <w:rsid w:val="002B6F62"/>
    <w:rsid w:val="002B6F64"/>
    <w:rsid w:val="002B7077"/>
    <w:rsid w:val="002B70E4"/>
    <w:rsid w:val="002B717E"/>
    <w:rsid w:val="002B71C7"/>
    <w:rsid w:val="002B71E3"/>
    <w:rsid w:val="002B72BA"/>
    <w:rsid w:val="002B733D"/>
    <w:rsid w:val="002B73E5"/>
    <w:rsid w:val="002B742A"/>
    <w:rsid w:val="002B7462"/>
    <w:rsid w:val="002B7472"/>
    <w:rsid w:val="002B760E"/>
    <w:rsid w:val="002B7659"/>
    <w:rsid w:val="002B76D3"/>
    <w:rsid w:val="002B77A5"/>
    <w:rsid w:val="002B7881"/>
    <w:rsid w:val="002B78DF"/>
    <w:rsid w:val="002B7AF0"/>
    <w:rsid w:val="002B7BF6"/>
    <w:rsid w:val="002B7E1B"/>
    <w:rsid w:val="002B7F39"/>
    <w:rsid w:val="002B7F95"/>
    <w:rsid w:val="002C00E9"/>
    <w:rsid w:val="002C0100"/>
    <w:rsid w:val="002C0142"/>
    <w:rsid w:val="002C02A4"/>
    <w:rsid w:val="002C04F2"/>
    <w:rsid w:val="002C0527"/>
    <w:rsid w:val="002C0561"/>
    <w:rsid w:val="002C05F0"/>
    <w:rsid w:val="002C05F4"/>
    <w:rsid w:val="002C066F"/>
    <w:rsid w:val="002C0751"/>
    <w:rsid w:val="002C07CE"/>
    <w:rsid w:val="002C085F"/>
    <w:rsid w:val="002C08BB"/>
    <w:rsid w:val="002C0A7D"/>
    <w:rsid w:val="002C0B4F"/>
    <w:rsid w:val="002C0B76"/>
    <w:rsid w:val="002C0BE4"/>
    <w:rsid w:val="002C0D63"/>
    <w:rsid w:val="002C1004"/>
    <w:rsid w:val="002C1053"/>
    <w:rsid w:val="002C1118"/>
    <w:rsid w:val="002C1380"/>
    <w:rsid w:val="002C1548"/>
    <w:rsid w:val="002C155B"/>
    <w:rsid w:val="002C181D"/>
    <w:rsid w:val="002C1A52"/>
    <w:rsid w:val="002C1D24"/>
    <w:rsid w:val="002C21A1"/>
    <w:rsid w:val="002C22D3"/>
    <w:rsid w:val="002C22E8"/>
    <w:rsid w:val="002C24EA"/>
    <w:rsid w:val="002C24EE"/>
    <w:rsid w:val="002C25A3"/>
    <w:rsid w:val="002C27D3"/>
    <w:rsid w:val="002C27EC"/>
    <w:rsid w:val="002C28EA"/>
    <w:rsid w:val="002C292E"/>
    <w:rsid w:val="002C29C5"/>
    <w:rsid w:val="002C2ABF"/>
    <w:rsid w:val="002C2B47"/>
    <w:rsid w:val="002C2E35"/>
    <w:rsid w:val="002C2F21"/>
    <w:rsid w:val="002C2FC4"/>
    <w:rsid w:val="002C3064"/>
    <w:rsid w:val="002C30C1"/>
    <w:rsid w:val="002C30C8"/>
    <w:rsid w:val="002C31F2"/>
    <w:rsid w:val="002C324B"/>
    <w:rsid w:val="002C32D3"/>
    <w:rsid w:val="002C355C"/>
    <w:rsid w:val="002C37BA"/>
    <w:rsid w:val="002C3A3E"/>
    <w:rsid w:val="002C3AC5"/>
    <w:rsid w:val="002C3B49"/>
    <w:rsid w:val="002C3C39"/>
    <w:rsid w:val="002C402D"/>
    <w:rsid w:val="002C4185"/>
    <w:rsid w:val="002C41FE"/>
    <w:rsid w:val="002C4292"/>
    <w:rsid w:val="002C42E6"/>
    <w:rsid w:val="002C431D"/>
    <w:rsid w:val="002C4581"/>
    <w:rsid w:val="002C45A6"/>
    <w:rsid w:val="002C45BC"/>
    <w:rsid w:val="002C4682"/>
    <w:rsid w:val="002C4797"/>
    <w:rsid w:val="002C47AD"/>
    <w:rsid w:val="002C4841"/>
    <w:rsid w:val="002C489B"/>
    <w:rsid w:val="002C49AA"/>
    <w:rsid w:val="002C49E9"/>
    <w:rsid w:val="002C49EA"/>
    <w:rsid w:val="002C4C6B"/>
    <w:rsid w:val="002C4D27"/>
    <w:rsid w:val="002C4DAC"/>
    <w:rsid w:val="002C4E26"/>
    <w:rsid w:val="002C4E92"/>
    <w:rsid w:val="002C4EFD"/>
    <w:rsid w:val="002C50C0"/>
    <w:rsid w:val="002C514E"/>
    <w:rsid w:val="002C52F5"/>
    <w:rsid w:val="002C54A9"/>
    <w:rsid w:val="002C54F4"/>
    <w:rsid w:val="002C5551"/>
    <w:rsid w:val="002C55F1"/>
    <w:rsid w:val="002C583F"/>
    <w:rsid w:val="002C5977"/>
    <w:rsid w:val="002C597D"/>
    <w:rsid w:val="002C59AD"/>
    <w:rsid w:val="002C5B99"/>
    <w:rsid w:val="002C5C54"/>
    <w:rsid w:val="002C5F9D"/>
    <w:rsid w:val="002C6013"/>
    <w:rsid w:val="002C6330"/>
    <w:rsid w:val="002C64D9"/>
    <w:rsid w:val="002C64E7"/>
    <w:rsid w:val="002C6508"/>
    <w:rsid w:val="002C660D"/>
    <w:rsid w:val="002C66B7"/>
    <w:rsid w:val="002C6738"/>
    <w:rsid w:val="002C681C"/>
    <w:rsid w:val="002C698A"/>
    <w:rsid w:val="002C6A84"/>
    <w:rsid w:val="002C6A93"/>
    <w:rsid w:val="002C6C9B"/>
    <w:rsid w:val="002C6C9D"/>
    <w:rsid w:val="002C6CE0"/>
    <w:rsid w:val="002C6DE4"/>
    <w:rsid w:val="002C7177"/>
    <w:rsid w:val="002C728E"/>
    <w:rsid w:val="002C73E1"/>
    <w:rsid w:val="002C7416"/>
    <w:rsid w:val="002C75BC"/>
    <w:rsid w:val="002C7841"/>
    <w:rsid w:val="002C7A10"/>
    <w:rsid w:val="002C7B71"/>
    <w:rsid w:val="002C7D5B"/>
    <w:rsid w:val="002C7D6E"/>
    <w:rsid w:val="002C7DAC"/>
    <w:rsid w:val="002C7F1B"/>
    <w:rsid w:val="002D0126"/>
    <w:rsid w:val="002D0196"/>
    <w:rsid w:val="002D0375"/>
    <w:rsid w:val="002D037A"/>
    <w:rsid w:val="002D0405"/>
    <w:rsid w:val="002D04D4"/>
    <w:rsid w:val="002D05BB"/>
    <w:rsid w:val="002D0628"/>
    <w:rsid w:val="002D06F5"/>
    <w:rsid w:val="002D0B11"/>
    <w:rsid w:val="002D0C28"/>
    <w:rsid w:val="002D0D21"/>
    <w:rsid w:val="002D0E66"/>
    <w:rsid w:val="002D0E6B"/>
    <w:rsid w:val="002D0FA2"/>
    <w:rsid w:val="002D1046"/>
    <w:rsid w:val="002D12AB"/>
    <w:rsid w:val="002D1344"/>
    <w:rsid w:val="002D1524"/>
    <w:rsid w:val="002D153E"/>
    <w:rsid w:val="002D1579"/>
    <w:rsid w:val="002D1598"/>
    <w:rsid w:val="002D15A9"/>
    <w:rsid w:val="002D15B7"/>
    <w:rsid w:val="002D162E"/>
    <w:rsid w:val="002D16A2"/>
    <w:rsid w:val="002D16AA"/>
    <w:rsid w:val="002D16F1"/>
    <w:rsid w:val="002D18EA"/>
    <w:rsid w:val="002D1A4E"/>
    <w:rsid w:val="002D1B26"/>
    <w:rsid w:val="002D1BEC"/>
    <w:rsid w:val="002D1DA9"/>
    <w:rsid w:val="002D1F5E"/>
    <w:rsid w:val="002D209D"/>
    <w:rsid w:val="002D23F1"/>
    <w:rsid w:val="002D2416"/>
    <w:rsid w:val="002D248C"/>
    <w:rsid w:val="002D2FA7"/>
    <w:rsid w:val="002D311C"/>
    <w:rsid w:val="002D329B"/>
    <w:rsid w:val="002D329C"/>
    <w:rsid w:val="002D32C7"/>
    <w:rsid w:val="002D342A"/>
    <w:rsid w:val="002D3573"/>
    <w:rsid w:val="002D3597"/>
    <w:rsid w:val="002D35FA"/>
    <w:rsid w:val="002D3635"/>
    <w:rsid w:val="002D36A9"/>
    <w:rsid w:val="002D36BB"/>
    <w:rsid w:val="002D36D5"/>
    <w:rsid w:val="002D37D6"/>
    <w:rsid w:val="002D398B"/>
    <w:rsid w:val="002D39A1"/>
    <w:rsid w:val="002D3AB0"/>
    <w:rsid w:val="002D3B67"/>
    <w:rsid w:val="002D3BC4"/>
    <w:rsid w:val="002D3BDF"/>
    <w:rsid w:val="002D3C4A"/>
    <w:rsid w:val="002D3E52"/>
    <w:rsid w:val="002D3F1F"/>
    <w:rsid w:val="002D3FB6"/>
    <w:rsid w:val="002D412C"/>
    <w:rsid w:val="002D4815"/>
    <w:rsid w:val="002D48C1"/>
    <w:rsid w:val="002D4CB0"/>
    <w:rsid w:val="002D4DB9"/>
    <w:rsid w:val="002D4DEE"/>
    <w:rsid w:val="002D4E11"/>
    <w:rsid w:val="002D4FA2"/>
    <w:rsid w:val="002D506C"/>
    <w:rsid w:val="002D50FC"/>
    <w:rsid w:val="002D52DE"/>
    <w:rsid w:val="002D54DA"/>
    <w:rsid w:val="002D56DF"/>
    <w:rsid w:val="002D570F"/>
    <w:rsid w:val="002D5758"/>
    <w:rsid w:val="002D57DF"/>
    <w:rsid w:val="002D57ED"/>
    <w:rsid w:val="002D58E8"/>
    <w:rsid w:val="002D59E3"/>
    <w:rsid w:val="002D5A73"/>
    <w:rsid w:val="002D5B20"/>
    <w:rsid w:val="002D5B60"/>
    <w:rsid w:val="002D5C00"/>
    <w:rsid w:val="002D5C20"/>
    <w:rsid w:val="002D636C"/>
    <w:rsid w:val="002D6795"/>
    <w:rsid w:val="002D6836"/>
    <w:rsid w:val="002D698F"/>
    <w:rsid w:val="002D6A5A"/>
    <w:rsid w:val="002D6A70"/>
    <w:rsid w:val="002D6B18"/>
    <w:rsid w:val="002D6C63"/>
    <w:rsid w:val="002D6DCE"/>
    <w:rsid w:val="002D6F2A"/>
    <w:rsid w:val="002D702B"/>
    <w:rsid w:val="002D71FB"/>
    <w:rsid w:val="002D7275"/>
    <w:rsid w:val="002D748D"/>
    <w:rsid w:val="002D754E"/>
    <w:rsid w:val="002D76A4"/>
    <w:rsid w:val="002D775A"/>
    <w:rsid w:val="002D778F"/>
    <w:rsid w:val="002D7821"/>
    <w:rsid w:val="002D7889"/>
    <w:rsid w:val="002D7968"/>
    <w:rsid w:val="002D79DA"/>
    <w:rsid w:val="002D79F5"/>
    <w:rsid w:val="002D7B66"/>
    <w:rsid w:val="002D7BCF"/>
    <w:rsid w:val="002D7C57"/>
    <w:rsid w:val="002D7E84"/>
    <w:rsid w:val="002D7F7C"/>
    <w:rsid w:val="002E0175"/>
    <w:rsid w:val="002E023D"/>
    <w:rsid w:val="002E030B"/>
    <w:rsid w:val="002E03A9"/>
    <w:rsid w:val="002E03FD"/>
    <w:rsid w:val="002E059D"/>
    <w:rsid w:val="002E05EE"/>
    <w:rsid w:val="002E0612"/>
    <w:rsid w:val="002E0787"/>
    <w:rsid w:val="002E0CA8"/>
    <w:rsid w:val="002E0D49"/>
    <w:rsid w:val="002E0DB7"/>
    <w:rsid w:val="002E0EA1"/>
    <w:rsid w:val="002E0EC4"/>
    <w:rsid w:val="002E1017"/>
    <w:rsid w:val="002E1020"/>
    <w:rsid w:val="002E12D8"/>
    <w:rsid w:val="002E1338"/>
    <w:rsid w:val="002E13C0"/>
    <w:rsid w:val="002E15F8"/>
    <w:rsid w:val="002E1788"/>
    <w:rsid w:val="002E17A3"/>
    <w:rsid w:val="002E1979"/>
    <w:rsid w:val="002E1A47"/>
    <w:rsid w:val="002E1D1F"/>
    <w:rsid w:val="002E1D84"/>
    <w:rsid w:val="002E1E3D"/>
    <w:rsid w:val="002E1EA7"/>
    <w:rsid w:val="002E1F5E"/>
    <w:rsid w:val="002E203E"/>
    <w:rsid w:val="002E2417"/>
    <w:rsid w:val="002E2531"/>
    <w:rsid w:val="002E2639"/>
    <w:rsid w:val="002E267C"/>
    <w:rsid w:val="002E268D"/>
    <w:rsid w:val="002E2A52"/>
    <w:rsid w:val="002E2ECE"/>
    <w:rsid w:val="002E2F2F"/>
    <w:rsid w:val="002E2F3D"/>
    <w:rsid w:val="002E3169"/>
    <w:rsid w:val="002E3245"/>
    <w:rsid w:val="002E33FF"/>
    <w:rsid w:val="002E3491"/>
    <w:rsid w:val="002E34B7"/>
    <w:rsid w:val="002E35B1"/>
    <w:rsid w:val="002E35E7"/>
    <w:rsid w:val="002E36DD"/>
    <w:rsid w:val="002E380E"/>
    <w:rsid w:val="002E38B3"/>
    <w:rsid w:val="002E39B5"/>
    <w:rsid w:val="002E3C25"/>
    <w:rsid w:val="002E3CC5"/>
    <w:rsid w:val="002E3CC9"/>
    <w:rsid w:val="002E3D1F"/>
    <w:rsid w:val="002E3D2B"/>
    <w:rsid w:val="002E3E63"/>
    <w:rsid w:val="002E3EAC"/>
    <w:rsid w:val="002E3FAD"/>
    <w:rsid w:val="002E404C"/>
    <w:rsid w:val="002E4285"/>
    <w:rsid w:val="002E44CD"/>
    <w:rsid w:val="002E4845"/>
    <w:rsid w:val="002E4D27"/>
    <w:rsid w:val="002E4DD2"/>
    <w:rsid w:val="002E5017"/>
    <w:rsid w:val="002E5059"/>
    <w:rsid w:val="002E530D"/>
    <w:rsid w:val="002E5316"/>
    <w:rsid w:val="002E54F5"/>
    <w:rsid w:val="002E558A"/>
    <w:rsid w:val="002E55A8"/>
    <w:rsid w:val="002E58FD"/>
    <w:rsid w:val="002E596E"/>
    <w:rsid w:val="002E59A4"/>
    <w:rsid w:val="002E5AD7"/>
    <w:rsid w:val="002E5B4F"/>
    <w:rsid w:val="002E5BE0"/>
    <w:rsid w:val="002E5CD4"/>
    <w:rsid w:val="002E5DC1"/>
    <w:rsid w:val="002E5E89"/>
    <w:rsid w:val="002E5F2E"/>
    <w:rsid w:val="002E5F7A"/>
    <w:rsid w:val="002E6147"/>
    <w:rsid w:val="002E61F6"/>
    <w:rsid w:val="002E68FD"/>
    <w:rsid w:val="002E6AC8"/>
    <w:rsid w:val="002E6BA9"/>
    <w:rsid w:val="002E6C6B"/>
    <w:rsid w:val="002E6D71"/>
    <w:rsid w:val="002E6DCD"/>
    <w:rsid w:val="002E6E02"/>
    <w:rsid w:val="002E6E31"/>
    <w:rsid w:val="002E6E4D"/>
    <w:rsid w:val="002E6EEE"/>
    <w:rsid w:val="002E6F7F"/>
    <w:rsid w:val="002E7296"/>
    <w:rsid w:val="002E72A8"/>
    <w:rsid w:val="002E73F3"/>
    <w:rsid w:val="002E7423"/>
    <w:rsid w:val="002E7451"/>
    <w:rsid w:val="002E747A"/>
    <w:rsid w:val="002E7505"/>
    <w:rsid w:val="002E7A3D"/>
    <w:rsid w:val="002E7A74"/>
    <w:rsid w:val="002E7ACF"/>
    <w:rsid w:val="002E7AD9"/>
    <w:rsid w:val="002E7ADE"/>
    <w:rsid w:val="002E7B21"/>
    <w:rsid w:val="002E7C9B"/>
    <w:rsid w:val="002E7F9B"/>
    <w:rsid w:val="002E7FB7"/>
    <w:rsid w:val="002F0072"/>
    <w:rsid w:val="002F01F0"/>
    <w:rsid w:val="002F02D2"/>
    <w:rsid w:val="002F02DD"/>
    <w:rsid w:val="002F030B"/>
    <w:rsid w:val="002F04D6"/>
    <w:rsid w:val="002F0549"/>
    <w:rsid w:val="002F077A"/>
    <w:rsid w:val="002F07A9"/>
    <w:rsid w:val="002F07BB"/>
    <w:rsid w:val="002F081F"/>
    <w:rsid w:val="002F08FE"/>
    <w:rsid w:val="002F0A41"/>
    <w:rsid w:val="002F0A7D"/>
    <w:rsid w:val="002F0C89"/>
    <w:rsid w:val="002F0EA7"/>
    <w:rsid w:val="002F0EAF"/>
    <w:rsid w:val="002F0F6B"/>
    <w:rsid w:val="002F111E"/>
    <w:rsid w:val="002F1129"/>
    <w:rsid w:val="002F12FD"/>
    <w:rsid w:val="002F134D"/>
    <w:rsid w:val="002F13E0"/>
    <w:rsid w:val="002F14CA"/>
    <w:rsid w:val="002F14E9"/>
    <w:rsid w:val="002F18E7"/>
    <w:rsid w:val="002F1A34"/>
    <w:rsid w:val="002F1A7D"/>
    <w:rsid w:val="002F1C2B"/>
    <w:rsid w:val="002F1C52"/>
    <w:rsid w:val="002F1C81"/>
    <w:rsid w:val="002F1D5E"/>
    <w:rsid w:val="002F1E52"/>
    <w:rsid w:val="002F1E61"/>
    <w:rsid w:val="002F1E8E"/>
    <w:rsid w:val="002F21AC"/>
    <w:rsid w:val="002F21FA"/>
    <w:rsid w:val="002F2282"/>
    <w:rsid w:val="002F22A3"/>
    <w:rsid w:val="002F2310"/>
    <w:rsid w:val="002F24A6"/>
    <w:rsid w:val="002F277D"/>
    <w:rsid w:val="002F2890"/>
    <w:rsid w:val="002F2988"/>
    <w:rsid w:val="002F2AAB"/>
    <w:rsid w:val="002F2C6B"/>
    <w:rsid w:val="002F2F00"/>
    <w:rsid w:val="002F2F7D"/>
    <w:rsid w:val="002F321F"/>
    <w:rsid w:val="002F325E"/>
    <w:rsid w:val="002F330F"/>
    <w:rsid w:val="002F35BE"/>
    <w:rsid w:val="002F3668"/>
    <w:rsid w:val="002F36B3"/>
    <w:rsid w:val="002F375C"/>
    <w:rsid w:val="002F387A"/>
    <w:rsid w:val="002F3BC4"/>
    <w:rsid w:val="002F3C3C"/>
    <w:rsid w:val="002F3D56"/>
    <w:rsid w:val="002F4013"/>
    <w:rsid w:val="002F423E"/>
    <w:rsid w:val="002F43C1"/>
    <w:rsid w:val="002F43E9"/>
    <w:rsid w:val="002F4808"/>
    <w:rsid w:val="002F49A6"/>
    <w:rsid w:val="002F49CF"/>
    <w:rsid w:val="002F4B9A"/>
    <w:rsid w:val="002F4C5A"/>
    <w:rsid w:val="002F4EB7"/>
    <w:rsid w:val="002F4F4B"/>
    <w:rsid w:val="002F4F6C"/>
    <w:rsid w:val="002F5207"/>
    <w:rsid w:val="002F5255"/>
    <w:rsid w:val="002F535F"/>
    <w:rsid w:val="002F54BC"/>
    <w:rsid w:val="002F5503"/>
    <w:rsid w:val="002F5684"/>
    <w:rsid w:val="002F5724"/>
    <w:rsid w:val="002F57A8"/>
    <w:rsid w:val="002F5944"/>
    <w:rsid w:val="002F59C5"/>
    <w:rsid w:val="002F5B1B"/>
    <w:rsid w:val="002F5BCB"/>
    <w:rsid w:val="002F5EE3"/>
    <w:rsid w:val="002F5FF8"/>
    <w:rsid w:val="002F6025"/>
    <w:rsid w:val="002F61DA"/>
    <w:rsid w:val="002F62BD"/>
    <w:rsid w:val="002F643F"/>
    <w:rsid w:val="002F6456"/>
    <w:rsid w:val="002F646C"/>
    <w:rsid w:val="002F64BC"/>
    <w:rsid w:val="002F64C3"/>
    <w:rsid w:val="002F67F8"/>
    <w:rsid w:val="002F6912"/>
    <w:rsid w:val="002F6962"/>
    <w:rsid w:val="002F699E"/>
    <w:rsid w:val="002F69B2"/>
    <w:rsid w:val="002F6D0D"/>
    <w:rsid w:val="002F6D82"/>
    <w:rsid w:val="002F6E62"/>
    <w:rsid w:val="002F6F66"/>
    <w:rsid w:val="002F7080"/>
    <w:rsid w:val="002F746B"/>
    <w:rsid w:val="002F7557"/>
    <w:rsid w:val="002F7625"/>
    <w:rsid w:val="002F7653"/>
    <w:rsid w:val="002F775D"/>
    <w:rsid w:val="002F77C4"/>
    <w:rsid w:val="002F77E3"/>
    <w:rsid w:val="002F7846"/>
    <w:rsid w:val="002F794D"/>
    <w:rsid w:val="002F7C44"/>
    <w:rsid w:val="002F7D68"/>
    <w:rsid w:val="002F7D6D"/>
    <w:rsid w:val="002F7DF1"/>
    <w:rsid w:val="00300090"/>
    <w:rsid w:val="003000E2"/>
    <w:rsid w:val="003001C7"/>
    <w:rsid w:val="003001C9"/>
    <w:rsid w:val="003001F4"/>
    <w:rsid w:val="00300279"/>
    <w:rsid w:val="00300595"/>
    <w:rsid w:val="003007DC"/>
    <w:rsid w:val="00300928"/>
    <w:rsid w:val="003009A4"/>
    <w:rsid w:val="00300DE9"/>
    <w:rsid w:val="00300ECE"/>
    <w:rsid w:val="00300FD8"/>
    <w:rsid w:val="00301196"/>
    <w:rsid w:val="003015A4"/>
    <w:rsid w:val="00301868"/>
    <w:rsid w:val="00301975"/>
    <w:rsid w:val="00301C0A"/>
    <w:rsid w:val="00301D13"/>
    <w:rsid w:val="00301DCC"/>
    <w:rsid w:val="00301DE5"/>
    <w:rsid w:val="00301E71"/>
    <w:rsid w:val="00301EEA"/>
    <w:rsid w:val="003020B5"/>
    <w:rsid w:val="003020D0"/>
    <w:rsid w:val="003022C8"/>
    <w:rsid w:val="00302352"/>
    <w:rsid w:val="0030239D"/>
    <w:rsid w:val="00302712"/>
    <w:rsid w:val="003028A0"/>
    <w:rsid w:val="00302AAD"/>
    <w:rsid w:val="00302B60"/>
    <w:rsid w:val="00302C5B"/>
    <w:rsid w:val="00302D2F"/>
    <w:rsid w:val="00302D32"/>
    <w:rsid w:val="00302D46"/>
    <w:rsid w:val="00302EE6"/>
    <w:rsid w:val="003031E2"/>
    <w:rsid w:val="003031EA"/>
    <w:rsid w:val="00303268"/>
    <w:rsid w:val="0030326D"/>
    <w:rsid w:val="003036DB"/>
    <w:rsid w:val="00303878"/>
    <w:rsid w:val="003039E3"/>
    <w:rsid w:val="00303B25"/>
    <w:rsid w:val="00303B57"/>
    <w:rsid w:val="00303B88"/>
    <w:rsid w:val="00303CC0"/>
    <w:rsid w:val="00303D5E"/>
    <w:rsid w:val="00303D87"/>
    <w:rsid w:val="00303E9D"/>
    <w:rsid w:val="003040D3"/>
    <w:rsid w:val="0030415A"/>
    <w:rsid w:val="00304227"/>
    <w:rsid w:val="00304307"/>
    <w:rsid w:val="0030433A"/>
    <w:rsid w:val="0030439E"/>
    <w:rsid w:val="003043FF"/>
    <w:rsid w:val="0030442C"/>
    <w:rsid w:val="003047C4"/>
    <w:rsid w:val="00304896"/>
    <w:rsid w:val="00304A37"/>
    <w:rsid w:val="00304B25"/>
    <w:rsid w:val="00304B6F"/>
    <w:rsid w:val="00304B87"/>
    <w:rsid w:val="00304BB6"/>
    <w:rsid w:val="00304E6C"/>
    <w:rsid w:val="00304E72"/>
    <w:rsid w:val="00304EB8"/>
    <w:rsid w:val="00304F57"/>
    <w:rsid w:val="00305039"/>
    <w:rsid w:val="003050D2"/>
    <w:rsid w:val="0030514E"/>
    <w:rsid w:val="0030517B"/>
    <w:rsid w:val="00305196"/>
    <w:rsid w:val="00305474"/>
    <w:rsid w:val="00305530"/>
    <w:rsid w:val="0030566B"/>
    <w:rsid w:val="00305A43"/>
    <w:rsid w:val="00305B03"/>
    <w:rsid w:val="00305B4B"/>
    <w:rsid w:val="00305C5F"/>
    <w:rsid w:val="00305CE4"/>
    <w:rsid w:val="00305CEC"/>
    <w:rsid w:val="00305CF9"/>
    <w:rsid w:val="00305D23"/>
    <w:rsid w:val="00305DB0"/>
    <w:rsid w:val="00305F73"/>
    <w:rsid w:val="00305F9D"/>
    <w:rsid w:val="00305FF6"/>
    <w:rsid w:val="0030604A"/>
    <w:rsid w:val="003061B0"/>
    <w:rsid w:val="003062F6"/>
    <w:rsid w:val="0030638A"/>
    <w:rsid w:val="0030657A"/>
    <w:rsid w:val="003065BB"/>
    <w:rsid w:val="00306781"/>
    <w:rsid w:val="003067C8"/>
    <w:rsid w:val="00306A72"/>
    <w:rsid w:val="00306BE0"/>
    <w:rsid w:val="00306C58"/>
    <w:rsid w:val="00306C77"/>
    <w:rsid w:val="00306E58"/>
    <w:rsid w:val="00306FBE"/>
    <w:rsid w:val="00307000"/>
    <w:rsid w:val="00307012"/>
    <w:rsid w:val="003070AA"/>
    <w:rsid w:val="00307665"/>
    <w:rsid w:val="003077E3"/>
    <w:rsid w:val="0030783D"/>
    <w:rsid w:val="00307A8F"/>
    <w:rsid w:val="00307B5D"/>
    <w:rsid w:val="00307D0D"/>
    <w:rsid w:val="00307D52"/>
    <w:rsid w:val="00310329"/>
    <w:rsid w:val="0031035E"/>
    <w:rsid w:val="0031039E"/>
    <w:rsid w:val="00310404"/>
    <w:rsid w:val="00310794"/>
    <w:rsid w:val="0031094A"/>
    <w:rsid w:val="00310A72"/>
    <w:rsid w:val="00310AD1"/>
    <w:rsid w:val="00310CFE"/>
    <w:rsid w:val="00310D35"/>
    <w:rsid w:val="003110E9"/>
    <w:rsid w:val="0031110D"/>
    <w:rsid w:val="00311141"/>
    <w:rsid w:val="003111CE"/>
    <w:rsid w:val="003113A7"/>
    <w:rsid w:val="003113B0"/>
    <w:rsid w:val="0031140A"/>
    <w:rsid w:val="00311427"/>
    <w:rsid w:val="0031145A"/>
    <w:rsid w:val="0031151C"/>
    <w:rsid w:val="0031162B"/>
    <w:rsid w:val="0031165C"/>
    <w:rsid w:val="003116D2"/>
    <w:rsid w:val="0031198F"/>
    <w:rsid w:val="00311AB3"/>
    <w:rsid w:val="00311B87"/>
    <w:rsid w:val="00311C1F"/>
    <w:rsid w:val="00311F66"/>
    <w:rsid w:val="003121EC"/>
    <w:rsid w:val="003124E6"/>
    <w:rsid w:val="00312593"/>
    <w:rsid w:val="0031265B"/>
    <w:rsid w:val="003128AC"/>
    <w:rsid w:val="00312A7C"/>
    <w:rsid w:val="00312A98"/>
    <w:rsid w:val="00312AB4"/>
    <w:rsid w:val="00312C0B"/>
    <w:rsid w:val="00312D17"/>
    <w:rsid w:val="00312E78"/>
    <w:rsid w:val="00313032"/>
    <w:rsid w:val="003130AD"/>
    <w:rsid w:val="0031313C"/>
    <w:rsid w:val="0031322B"/>
    <w:rsid w:val="003134F1"/>
    <w:rsid w:val="00313742"/>
    <w:rsid w:val="0031379D"/>
    <w:rsid w:val="003138F5"/>
    <w:rsid w:val="00313930"/>
    <w:rsid w:val="00313B18"/>
    <w:rsid w:val="00313B2F"/>
    <w:rsid w:val="00313D66"/>
    <w:rsid w:val="00313DFC"/>
    <w:rsid w:val="00313EDA"/>
    <w:rsid w:val="00313FB0"/>
    <w:rsid w:val="003142E0"/>
    <w:rsid w:val="0031460A"/>
    <w:rsid w:val="00314718"/>
    <w:rsid w:val="00314767"/>
    <w:rsid w:val="003148A8"/>
    <w:rsid w:val="003148B1"/>
    <w:rsid w:val="003149A7"/>
    <w:rsid w:val="00314B93"/>
    <w:rsid w:val="00314C61"/>
    <w:rsid w:val="00314CA7"/>
    <w:rsid w:val="00314CEC"/>
    <w:rsid w:val="00314FA3"/>
    <w:rsid w:val="0031501C"/>
    <w:rsid w:val="003153DB"/>
    <w:rsid w:val="003154CC"/>
    <w:rsid w:val="003155D5"/>
    <w:rsid w:val="0031568F"/>
    <w:rsid w:val="0031587A"/>
    <w:rsid w:val="003158F4"/>
    <w:rsid w:val="00315B69"/>
    <w:rsid w:val="00315E97"/>
    <w:rsid w:val="00315FA9"/>
    <w:rsid w:val="00315FB2"/>
    <w:rsid w:val="00316163"/>
    <w:rsid w:val="00316178"/>
    <w:rsid w:val="0031618E"/>
    <w:rsid w:val="003161A6"/>
    <w:rsid w:val="003161DE"/>
    <w:rsid w:val="00316219"/>
    <w:rsid w:val="003164E9"/>
    <w:rsid w:val="0031653A"/>
    <w:rsid w:val="003165F7"/>
    <w:rsid w:val="003166B6"/>
    <w:rsid w:val="003166D8"/>
    <w:rsid w:val="003166E1"/>
    <w:rsid w:val="003167FD"/>
    <w:rsid w:val="003168E1"/>
    <w:rsid w:val="00316919"/>
    <w:rsid w:val="003169BA"/>
    <w:rsid w:val="003169C4"/>
    <w:rsid w:val="00316AA7"/>
    <w:rsid w:val="00316B2D"/>
    <w:rsid w:val="00316B3C"/>
    <w:rsid w:val="00316E73"/>
    <w:rsid w:val="0031704B"/>
    <w:rsid w:val="0031712C"/>
    <w:rsid w:val="00317167"/>
    <w:rsid w:val="003172E7"/>
    <w:rsid w:val="003173B0"/>
    <w:rsid w:val="00317680"/>
    <w:rsid w:val="00317842"/>
    <w:rsid w:val="003178F3"/>
    <w:rsid w:val="00317946"/>
    <w:rsid w:val="00317A94"/>
    <w:rsid w:val="00317E06"/>
    <w:rsid w:val="00317ECE"/>
    <w:rsid w:val="00317F0E"/>
    <w:rsid w:val="00317F1C"/>
    <w:rsid w:val="00317F52"/>
    <w:rsid w:val="00320278"/>
    <w:rsid w:val="003202E6"/>
    <w:rsid w:val="0032034E"/>
    <w:rsid w:val="003203CC"/>
    <w:rsid w:val="00320456"/>
    <w:rsid w:val="003206A3"/>
    <w:rsid w:val="00320950"/>
    <w:rsid w:val="00320A18"/>
    <w:rsid w:val="00320ED4"/>
    <w:rsid w:val="00320F26"/>
    <w:rsid w:val="00321091"/>
    <w:rsid w:val="003211CB"/>
    <w:rsid w:val="00321339"/>
    <w:rsid w:val="0032133A"/>
    <w:rsid w:val="00321469"/>
    <w:rsid w:val="0032146A"/>
    <w:rsid w:val="0032160D"/>
    <w:rsid w:val="00321610"/>
    <w:rsid w:val="003216D9"/>
    <w:rsid w:val="003217F8"/>
    <w:rsid w:val="00321873"/>
    <w:rsid w:val="00321916"/>
    <w:rsid w:val="00321BAF"/>
    <w:rsid w:val="00321BE0"/>
    <w:rsid w:val="00321C4F"/>
    <w:rsid w:val="00321FEE"/>
    <w:rsid w:val="003221E6"/>
    <w:rsid w:val="00322331"/>
    <w:rsid w:val="003224F5"/>
    <w:rsid w:val="0032252C"/>
    <w:rsid w:val="00322623"/>
    <w:rsid w:val="0032267A"/>
    <w:rsid w:val="003227FF"/>
    <w:rsid w:val="00322819"/>
    <w:rsid w:val="003228C9"/>
    <w:rsid w:val="00322914"/>
    <w:rsid w:val="00322936"/>
    <w:rsid w:val="00322A54"/>
    <w:rsid w:val="00322B9C"/>
    <w:rsid w:val="00322E56"/>
    <w:rsid w:val="00322E5F"/>
    <w:rsid w:val="00322EE5"/>
    <w:rsid w:val="00323040"/>
    <w:rsid w:val="003230DD"/>
    <w:rsid w:val="003231DA"/>
    <w:rsid w:val="003232AD"/>
    <w:rsid w:val="0032351A"/>
    <w:rsid w:val="0032373C"/>
    <w:rsid w:val="00323812"/>
    <w:rsid w:val="00323889"/>
    <w:rsid w:val="00323AAC"/>
    <w:rsid w:val="00323B30"/>
    <w:rsid w:val="00323B3F"/>
    <w:rsid w:val="00323BCC"/>
    <w:rsid w:val="00323D8B"/>
    <w:rsid w:val="00323DB9"/>
    <w:rsid w:val="00323F50"/>
    <w:rsid w:val="0032407F"/>
    <w:rsid w:val="00324178"/>
    <w:rsid w:val="0032417B"/>
    <w:rsid w:val="003241FB"/>
    <w:rsid w:val="0032439D"/>
    <w:rsid w:val="00324455"/>
    <w:rsid w:val="00324E76"/>
    <w:rsid w:val="00324EE5"/>
    <w:rsid w:val="00324F83"/>
    <w:rsid w:val="00324FD8"/>
    <w:rsid w:val="00325097"/>
    <w:rsid w:val="003250B7"/>
    <w:rsid w:val="0032514D"/>
    <w:rsid w:val="00325190"/>
    <w:rsid w:val="003251EF"/>
    <w:rsid w:val="00325230"/>
    <w:rsid w:val="00325296"/>
    <w:rsid w:val="003253AD"/>
    <w:rsid w:val="003253BC"/>
    <w:rsid w:val="00325794"/>
    <w:rsid w:val="00325850"/>
    <w:rsid w:val="003258DD"/>
    <w:rsid w:val="0032598F"/>
    <w:rsid w:val="003259CA"/>
    <w:rsid w:val="00325B7B"/>
    <w:rsid w:val="00325C02"/>
    <w:rsid w:val="00325DB7"/>
    <w:rsid w:val="00325F31"/>
    <w:rsid w:val="00326084"/>
    <w:rsid w:val="0032617C"/>
    <w:rsid w:val="003263DA"/>
    <w:rsid w:val="00326473"/>
    <w:rsid w:val="003264D0"/>
    <w:rsid w:val="0032697C"/>
    <w:rsid w:val="003269A2"/>
    <w:rsid w:val="003269A9"/>
    <w:rsid w:val="00326A42"/>
    <w:rsid w:val="00326BA7"/>
    <w:rsid w:val="00326DFB"/>
    <w:rsid w:val="00326F97"/>
    <w:rsid w:val="003270AE"/>
    <w:rsid w:val="003270E5"/>
    <w:rsid w:val="00327117"/>
    <w:rsid w:val="00327394"/>
    <w:rsid w:val="003273B6"/>
    <w:rsid w:val="0032746B"/>
    <w:rsid w:val="003274EB"/>
    <w:rsid w:val="0032769C"/>
    <w:rsid w:val="003276DF"/>
    <w:rsid w:val="003279E6"/>
    <w:rsid w:val="00327BA9"/>
    <w:rsid w:val="00327DA3"/>
    <w:rsid w:val="00327DCC"/>
    <w:rsid w:val="00327FE5"/>
    <w:rsid w:val="0033029C"/>
    <w:rsid w:val="00330359"/>
    <w:rsid w:val="00330453"/>
    <w:rsid w:val="00330614"/>
    <w:rsid w:val="00330758"/>
    <w:rsid w:val="00330AB8"/>
    <w:rsid w:val="00330C07"/>
    <w:rsid w:val="00330CA8"/>
    <w:rsid w:val="00330CB8"/>
    <w:rsid w:val="00331248"/>
    <w:rsid w:val="003312D0"/>
    <w:rsid w:val="0033152D"/>
    <w:rsid w:val="00331778"/>
    <w:rsid w:val="003317CF"/>
    <w:rsid w:val="003317EC"/>
    <w:rsid w:val="00331802"/>
    <w:rsid w:val="00331878"/>
    <w:rsid w:val="003318AA"/>
    <w:rsid w:val="00331910"/>
    <w:rsid w:val="00331931"/>
    <w:rsid w:val="00331D64"/>
    <w:rsid w:val="00332058"/>
    <w:rsid w:val="003320E9"/>
    <w:rsid w:val="00332173"/>
    <w:rsid w:val="00332302"/>
    <w:rsid w:val="003324DA"/>
    <w:rsid w:val="003326E2"/>
    <w:rsid w:val="003326EF"/>
    <w:rsid w:val="003327B4"/>
    <w:rsid w:val="00332941"/>
    <w:rsid w:val="00332A17"/>
    <w:rsid w:val="00332C6D"/>
    <w:rsid w:val="00332D23"/>
    <w:rsid w:val="0033319B"/>
    <w:rsid w:val="00333280"/>
    <w:rsid w:val="003332E6"/>
    <w:rsid w:val="00333545"/>
    <w:rsid w:val="00333815"/>
    <w:rsid w:val="00333868"/>
    <w:rsid w:val="00333A57"/>
    <w:rsid w:val="00333A9F"/>
    <w:rsid w:val="00333B96"/>
    <w:rsid w:val="00333DA2"/>
    <w:rsid w:val="00333ECF"/>
    <w:rsid w:val="00333F6D"/>
    <w:rsid w:val="00333FE8"/>
    <w:rsid w:val="003340BE"/>
    <w:rsid w:val="003342C0"/>
    <w:rsid w:val="00334535"/>
    <w:rsid w:val="00334613"/>
    <w:rsid w:val="0033486A"/>
    <w:rsid w:val="00334D54"/>
    <w:rsid w:val="00334FCA"/>
    <w:rsid w:val="0033505C"/>
    <w:rsid w:val="0033522E"/>
    <w:rsid w:val="0033538A"/>
    <w:rsid w:val="003353BD"/>
    <w:rsid w:val="00335604"/>
    <w:rsid w:val="003356F2"/>
    <w:rsid w:val="00335761"/>
    <w:rsid w:val="0033587F"/>
    <w:rsid w:val="003359EF"/>
    <w:rsid w:val="00335B80"/>
    <w:rsid w:val="00335C0A"/>
    <w:rsid w:val="00335D2E"/>
    <w:rsid w:val="00335D47"/>
    <w:rsid w:val="00336008"/>
    <w:rsid w:val="00336147"/>
    <w:rsid w:val="0033630F"/>
    <w:rsid w:val="003363B8"/>
    <w:rsid w:val="003363F9"/>
    <w:rsid w:val="00336477"/>
    <w:rsid w:val="0033672E"/>
    <w:rsid w:val="00336869"/>
    <w:rsid w:val="00336ACB"/>
    <w:rsid w:val="00336BAC"/>
    <w:rsid w:val="00336DA0"/>
    <w:rsid w:val="00336E16"/>
    <w:rsid w:val="00336E78"/>
    <w:rsid w:val="00337262"/>
    <w:rsid w:val="00337270"/>
    <w:rsid w:val="0033729F"/>
    <w:rsid w:val="003372D0"/>
    <w:rsid w:val="0033731A"/>
    <w:rsid w:val="00337367"/>
    <w:rsid w:val="0033742F"/>
    <w:rsid w:val="00337575"/>
    <w:rsid w:val="00337675"/>
    <w:rsid w:val="003376AC"/>
    <w:rsid w:val="003378E8"/>
    <w:rsid w:val="003378F0"/>
    <w:rsid w:val="00337A3D"/>
    <w:rsid w:val="00337A77"/>
    <w:rsid w:val="00337B74"/>
    <w:rsid w:val="00337D2D"/>
    <w:rsid w:val="00340041"/>
    <w:rsid w:val="00340183"/>
    <w:rsid w:val="003402CD"/>
    <w:rsid w:val="0034033E"/>
    <w:rsid w:val="003404F2"/>
    <w:rsid w:val="003405FA"/>
    <w:rsid w:val="00340677"/>
    <w:rsid w:val="0034081D"/>
    <w:rsid w:val="0034088E"/>
    <w:rsid w:val="00340911"/>
    <w:rsid w:val="00340A10"/>
    <w:rsid w:val="00340A50"/>
    <w:rsid w:val="00340D09"/>
    <w:rsid w:val="00340D86"/>
    <w:rsid w:val="00340DEA"/>
    <w:rsid w:val="00340E37"/>
    <w:rsid w:val="00340EAD"/>
    <w:rsid w:val="00340EE2"/>
    <w:rsid w:val="003410BC"/>
    <w:rsid w:val="0034129F"/>
    <w:rsid w:val="00341487"/>
    <w:rsid w:val="0034169C"/>
    <w:rsid w:val="003417E0"/>
    <w:rsid w:val="00341813"/>
    <w:rsid w:val="00341835"/>
    <w:rsid w:val="00341882"/>
    <w:rsid w:val="00341CB5"/>
    <w:rsid w:val="003422B4"/>
    <w:rsid w:val="003422D2"/>
    <w:rsid w:val="003423AD"/>
    <w:rsid w:val="0034249E"/>
    <w:rsid w:val="003424F8"/>
    <w:rsid w:val="00342735"/>
    <w:rsid w:val="003428C5"/>
    <w:rsid w:val="00342976"/>
    <w:rsid w:val="0034299F"/>
    <w:rsid w:val="00342A17"/>
    <w:rsid w:val="00342A65"/>
    <w:rsid w:val="00342AA1"/>
    <w:rsid w:val="00342C44"/>
    <w:rsid w:val="00342E91"/>
    <w:rsid w:val="00342FAD"/>
    <w:rsid w:val="003430C4"/>
    <w:rsid w:val="00343200"/>
    <w:rsid w:val="0034327F"/>
    <w:rsid w:val="0034373C"/>
    <w:rsid w:val="00343788"/>
    <w:rsid w:val="003437D0"/>
    <w:rsid w:val="0034384D"/>
    <w:rsid w:val="003438AA"/>
    <w:rsid w:val="00343992"/>
    <w:rsid w:val="00343A9D"/>
    <w:rsid w:val="00343CF5"/>
    <w:rsid w:val="00343DF3"/>
    <w:rsid w:val="00343E70"/>
    <w:rsid w:val="00343F6A"/>
    <w:rsid w:val="00344065"/>
    <w:rsid w:val="003440BD"/>
    <w:rsid w:val="003440D6"/>
    <w:rsid w:val="0034429A"/>
    <w:rsid w:val="0034438D"/>
    <w:rsid w:val="003444A5"/>
    <w:rsid w:val="0034450F"/>
    <w:rsid w:val="0034466D"/>
    <w:rsid w:val="00344694"/>
    <w:rsid w:val="003446A9"/>
    <w:rsid w:val="00344A4B"/>
    <w:rsid w:val="00344E69"/>
    <w:rsid w:val="00344F6E"/>
    <w:rsid w:val="00344F97"/>
    <w:rsid w:val="0034502E"/>
    <w:rsid w:val="00345040"/>
    <w:rsid w:val="0034507B"/>
    <w:rsid w:val="00345124"/>
    <w:rsid w:val="0034538D"/>
    <w:rsid w:val="003453AE"/>
    <w:rsid w:val="0034546D"/>
    <w:rsid w:val="0034552E"/>
    <w:rsid w:val="00345597"/>
    <w:rsid w:val="00345702"/>
    <w:rsid w:val="003458C7"/>
    <w:rsid w:val="003458D9"/>
    <w:rsid w:val="00345B3D"/>
    <w:rsid w:val="00345B70"/>
    <w:rsid w:val="00345C95"/>
    <w:rsid w:val="00345CD8"/>
    <w:rsid w:val="00345D5B"/>
    <w:rsid w:val="00345D62"/>
    <w:rsid w:val="00346182"/>
    <w:rsid w:val="00346440"/>
    <w:rsid w:val="00346572"/>
    <w:rsid w:val="003465B6"/>
    <w:rsid w:val="00346671"/>
    <w:rsid w:val="003467C1"/>
    <w:rsid w:val="00346815"/>
    <w:rsid w:val="00346949"/>
    <w:rsid w:val="00346970"/>
    <w:rsid w:val="00346AE5"/>
    <w:rsid w:val="00346B6C"/>
    <w:rsid w:val="00346BEB"/>
    <w:rsid w:val="00346CF6"/>
    <w:rsid w:val="00346DFF"/>
    <w:rsid w:val="00346F1F"/>
    <w:rsid w:val="003470D0"/>
    <w:rsid w:val="00347184"/>
    <w:rsid w:val="00347255"/>
    <w:rsid w:val="00347358"/>
    <w:rsid w:val="00347536"/>
    <w:rsid w:val="0034762B"/>
    <w:rsid w:val="003476EE"/>
    <w:rsid w:val="00347909"/>
    <w:rsid w:val="00347F40"/>
    <w:rsid w:val="00347F61"/>
    <w:rsid w:val="0035002B"/>
    <w:rsid w:val="00350181"/>
    <w:rsid w:val="003501B6"/>
    <w:rsid w:val="003504D3"/>
    <w:rsid w:val="00350703"/>
    <w:rsid w:val="00350778"/>
    <w:rsid w:val="0035084A"/>
    <w:rsid w:val="0035085C"/>
    <w:rsid w:val="00350865"/>
    <w:rsid w:val="003509C0"/>
    <w:rsid w:val="00350CAB"/>
    <w:rsid w:val="00350D99"/>
    <w:rsid w:val="00350E20"/>
    <w:rsid w:val="00350E3F"/>
    <w:rsid w:val="00350FAC"/>
    <w:rsid w:val="00351042"/>
    <w:rsid w:val="0035110E"/>
    <w:rsid w:val="003514B9"/>
    <w:rsid w:val="0035156E"/>
    <w:rsid w:val="00351653"/>
    <w:rsid w:val="00351812"/>
    <w:rsid w:val="00351A34"/>
    <w:rsid w:val="00351B58"/>
    <w:rsid w:val="00351F06"/>
    <w:rsid w:val="00351F19"/>
    <w:rsid w:val="00352062"/>
    <w:rsid w:val="003520F2"/>
    <w:rsid w:val="003520F6"/>
    <w:rsid w:val="00352297"/>
    <w:rsid w:val="003522A5"/>
    <w:rsid w:val="00352392"/>
    <w:rsid w:val="0035240B"/>
    <w:rsid w:val="00352707"/>
    <w:rsid w:val="0035274A"/>
    <w:rsid w:val="00352892"/>
    <w:rsid w:val="003528A4"/>
    <w:rsid w:val="00352A53"/>
    <w:rsid w:val="00352BED"/>
    <w:rsid w:val="00352DB6"/>
    <w:rsid w:val="00352E45"/>
    <w:rsid w:val="00352EB4"/>
    <w:rsid w:val="00352F09"/>
    <w:rsid w:val="00352FF7"/>
    <w:rsid w:val="00353078"/>
    <w:rsid w:val="003531B6"/>
    <w:rsid w:val="003532A3"/>
    <w:rsid w:val="0035358C"/>
    <w:rsid w:val="00353795"/>
    <w:rsid w:val="003537A8"/>
    <w:rsid w:val="003538BA"/>
    <w:rsid w:val="00353901"/>
    <w:rsid w:val="00353906"/>
    <w:rsid w:val="00353B97"/>
    <w:rsid w:val="00353E11"/>
    <w:rsid w:val="0035414D"/>
    <w:rsid w:val="00354373"/>
    <w:rsid w:val="003543E1"/>
    <w:rsid w:val="0035459E"/>
    <w:rsid w:val="00354761"/>
    <w:rsid w:val="003548D3"/>
    <w:rsid w:val="00354957"/>
    <w:rsid w:val="00354C6C"/>
    <w:rsid w:val="00354C6D"/>
    <w:rsid w:val="00354D0A"/>
    <w:rsid w:val="00354DB8"/>
    <w:rsid w:val="00354F9C"/>
    <w:rsid w:val="00354FA6"/>
    <w:rsid w:val="0035506D"/>
    <w:rsid w:val="00355094"/>
    <w:rsid w:val="0035559F"/>
    <w:rsid w:val="00355630"/>
    <w:rsid w:val="003556DF"/>
    <w:rsid w:val="003557AA"/>
    <w:rsid w:val="003557B1"/>
    <w:rsid w:val="00355B8D"/>
    <w:rsid w:val="00355C84"/>
    <w:rsid w:val="00355CD0"/>
    <w:rsid w:val="00355D33"/>
    <w:rsid w:val="00355DCB"/>
    <w:rsid w:val="00355F4E"/>
    <w:rsid w:val="00355FC5"/>
    <w:rsid w:val="00356070"/>
    <w:rsid w:val="003560B0"/>
    <w:rsid w:val="00356189"/>
    <w:rsid w:val="0035622F"/>
    <w:rsid w:val="00356287"/>
    <w:rsid w:val="00356480"/>
    <w:rsid w:val="00356A69"/>
    <w:rsid w:val="00356AB3"/>
    <w:rsid w:val="00356B5F"/>
    <w:rsid w:val="00356B9B"/>
    <w:rsid w:val="00356BF7"/>
    <w:rsid w:val="00356E00"/>
    <w:rsid w:val="00357138"/>
    <w:rsid w:val="00357169"/>
    <w:rsid w:val="003571D4"/>
    <w:rsid w:val="00357656"/>
    <w:rsid w:val="003576DA"/>
    <w:rsid w:val="003579A4"/>
    <w:rsid w:val="003579EA"/>
    <w:rsid w:val="00357B71"/>
    <w:rsid w:val="00357BEE"/>
    <w:rsid w:val="00357C76"/>
    <w:rsid w:val="00357C98"/>
    <w:rsid w:val="00357FC4"/>
    <w:rsid w:val="003601B5"/>
    <w:rsid w:val="00360386"/>
    <w:rsid w:val="0036047A"/>
    <w:rsid w:val="003604DE"/>
    <w:rsid w:val="00360577"/>
    <w:rsid w:val="0036057C"/>
    <w:rsid w:val="0036065B"/>
    <w:rsid w:val="003606E8"/>
    <w:rsid w:val="00360858"/>
    <w:rsid w:val="0036090C"/>
    <w:rsid w:val="003609C5"/>
    <w:rsid w:val="00360B4F"/>
    <w:rsid w:val="00360BB1"/>
    <w:rsid w:val="00360DCC"/>
    <w:rsid w:val="003610C8"/>
    <w:rsid w:val="0036130F"/>
    <w:rsid w:val="00361491"/>
    <w:rsid w:val="0036158E"/>
    <w:rsid w:val="003617F8"/>
    <w:rsid w:val="00361AFC"/>
    <w:rsid w:val="00361B73"/>
    <w:rsid w:val="00361C15"/>
    <w:rsid w:val="00361CD1"/>
    <w:rsid w:val="00361E06"/>
    <w:rsid w:val="00361E9E"/>
    <w:rsid w:val="00362102"/>
    <w:rsid w:val="00362215"/>
    <w:rsid w:val="003624AF"/>
    <w:rsid w:val="003624ED"/>
    <w:rsid w:val="0036270C"/>
    <w:rsid w:val="00362833"/>
    <w:rsid w:val="003628BB"/>
    <w:rsid w:val="00362A13"/>
    <w:rsid w:val="00362A3B"/>
    <w:rsid w:val="00362B4E"/>
    <w:rsid w:val="00362CE6"/>
    <w:rsid w:val="00362E4E"/>
    <w:rsid w:val="00362F0F"/>
    <w:rsid w:val="003630A6"/>
    <w:rsid w:val="00363175"/>
    <w:rsid w:val="00363211"/>
    <w:rsid w:val="003632FB"/>
    <w:rsid w:val="003633D3"/>
    <w:rsid w:val="003633DE"/>
    <w:rsid w:val="0036340C"/>
    <w:rsid w:val="00363419"/>
    <w:rsid w:val="00363488"/>
    <w:rsid w:val="00363560"/>
    <w:rsid w:val="0036366D"/>
    <w:rsid w:val="003636EC"/>
    <w:rsid w:val="003637DE"/>
    <w:rsid w:val="003638B4"/>
    <w:rsid w:val="003638C3"/>
    <w:rsid w:val="00363989"/>
    <w:rsid w:val="00363B4A"/>
    <w:rsid w:val="00363D04"/>
    <w:rsid w:val="00363D16"/>
    <w:rsid w:val="00363E4B"/>
    <w:rsid w:val="00363EA3"/>
    <w:rsid w:val="00363EF1"/>
    <w:rsid w:val="00363F67"/>
    <w:rsid w:val="00363F96"/>
    <w:rsid w:val="00364003"/>
    <w:rsid w:val="00364089"/>
    <w:rsid w:val="00364101"/>
    <w:rsid w:val="0036429D"/>
    <w:rsid w:val="003642AB"/>
    <w:rsid w:val="0036458A"/>
    <w:rsid w:val="0036461C"/>
    <w:rsid w:val="00364765"/>
    <w:rsid w:val="003649B5"/>
    <w:rsid w:val="00364AAC"/>
    <w:rsid w:val="00364B22"/>
    <w:rsid w:val="0036508F"/>
    <w:rsid w:val="003650B6"/>
    <w:rsid w:val="003650F4"/>
    <w:rsid w:val="00365155"/>
    <w:rsid w:val="00365194"/>
    <w:rsid w:val="003653A4"/>
    <w:rsid w:val="003653E5"/>
    <w:rsid w:val="0036557E"/>
    <w:rsid w:val="00365804"/>
    <w:rsid w:val="00365909"/>
    <w:rsid w:val="00365984"/>
    <w:rsid w:val="00365BF7"/>
    <w:rsid w:val="00365C92"/>
    <w:rsid w:val="00365D2C"/>
    <w:rsid w:val="00365EB4"/>
    <w:rsid w:val="00366250"/>
    <w:rsid w:val="0036627B"/>
    <w:rsid w:val="00366428"/>
    <w:rsid w:val="0036699F"/>
    <w:rsid w:val="00366A7C"/>
    <w:rsid w:val="00366B56"/>
    <w:rsid w:val="00366BB7"/>
    <w:rsid w:val="00366C77"/>
    <w:rsid w:val="00366D68"/>
    <w:rsid w:val="00366DDD"/>
    <w:rsid w:val="0036704E"/>
    <w:rsid w:val="00367089"/>
    <w:rsid w:val="003670C8"/>
    <w:rsid w:val="0036730A"/>
    <w:rsid w:val="00367310"/>
    <w:rsid w:val="003673BA"/>
    <w:rsid w:val="003673ED"/>
    <w:rsid w:val="0036742C"/>
    <w:rsid w:val="0036750F"/>
    <w:rsid w:val="003675C9"/>
    <w:rsid w:val="00367646"/>
    <w:rsid w:val="00367883"/>
    <w:rsid w:val="003678A8"/>
    <w:rsid w:val="003678E8"/>
    <w:rsid w:val="00367D15"/>
    <w:rsid w:val="00367EEB"/>
    <w:rsid w:val="00367F0A"/>
    <w:rsid w:val="00367F2B"/>
    <w:rsid w:val="00367FCA"/>
    <w:rsid w:val="00367FD2"/>
    <w:rsid w:val="00367FE3"/>
    <w:rsid w:val="003700B6"/>
    <w:rsid w:val="00370145"/>
    <w:rsid w:val="00370261"/>
    <w:rsid w:val="003702D8"/>
    <w:rsid w:val="003703B1"/>
    <w:rsid w:val="0037040F"/>
    <w:rsid w:val="00370542"/>
    <w:rsid w:val="003705B9"/>
    <w:rsid w:val="003705E2"/>
    <w:rsid w:val="003706EC"/>
    <w:rsid w:val="00370727"/>
    <w:rsid w:val="003708EF"/>
    <w:rsid w:val="00370B7E"/>
    <w:rsid w:val="00370D91"/>
    <w:rsid w:val="00370DDC"/>
    <w:rsid w:val="00370ED9"/>
    <w:rsid w:val="003712CA"/>
    <w:rsid w:val="00371379"/>
    <w:rsid w:val="003713F8"/>
    <w:rsid w:val="003717BF"/>
    <w:rsid w:val="00371814"/>
    <w:rsid w:val="003718C6"/>
    <w:rsid w:val="00371A08"/>
    <w:rsid w:val="00371C6C"/>
    <w:rsid w:val="00371DB3"/>
    <w:rsid w:val="00371F3B"/>
    <w:rsid w:val="00372040"/>
    <w:rsid w:val="00372118"/>
    <w:rsid w:val="003723B8"/>
    <w:rsid w:val="0037240A"/>
    <w:rsid w:val="003724C2"/>
    <w:rsid w:val="00372570"/>
    <w:rsid w:val="003726A8"/>
    <w:rsid w:val="0037276A"/>
    <w:rsid w:val="0037283F"/>
    <w:rsid w:val="00372909"/>
    <w:rsid w:val="0037299C"/>
    <w:rsid w:val="00372A9F"/>
    <w:rsid w:val="00372B3A"/>
    <w:rsid w:val="00372C8D"/>
    <w:rsid w:val="00372CB9"/>
    <w:rsid w:val="00372CCA"/>
    <w:rsid w:val="00372E4E"/>
    <w:rsid w:val="00372EE5"/>
    <w:rsid w:val="00373011"/>
    <w:rsid w:val="00373042"/>
    <w:rsid w:val="003731CF"/>
    <w:rsid w:val="0037321F"/>
    <w:rsid w:val="003735E8"/>
    <w:rsid w:val="00373880"/>
    <w:rsid w:val="00373ADD"/>
    <w:rsid w:val="00373B88"/>
    <w:rsid w:val="00373C55"/>
    <w:rsid w:val="00373CAD"/>
    <w:rsid w:val="00373D27"/>
    <w:rsid w:val="00373E75"/>
    <w:rsid w:val="00373F15"/>
    <w:rsid w:val="00374084"/>
    <w:rsid w:val="00374223"/>
    <w:rsid w:val="00374228"/>
    <w:rsid w:val="00374263"/>
    <w:rsid w:val="003743E1"/>
    <w:rsid w:val="00374439"/>
    <w:rsid w:val="003747AB"/>
    <w:rsid w:val="00374E4E"/>
    <w:rsid w:val="00374F0C"/>
    <w:rsid w:val="003755CF"/>
    <w:rsid w:val="0037584D"/>
    <w:rsid w:val="003758D0"/>
    <w:rsid w:val="003759B6"/>
    <w:rsid w:val="00375A1F"/>
    <w:rsid w:val="00375BB7"/>
    <w:rsid w:val="00375E4D"/>
    <w:rsid w:val="00375E62"/>
    <w:rsid w:val="00375F4F"/>
    <w:rsid w:val="00375FCD"/>
    <w:rsid w:val="00375FEE"/>
    <w:rsid w:val="0037607C"/>
    <w:rsid w:val="00376293"/>
    <w:rsid w:val="003762A9"/>
    <w:rsid w:val="0037651A"/>
    <w:rsid w:val="0037652E"/>
    <w:rsid w:val="003768F6"/>
    <w:rsid w:val="00376A68"/>
    <w:rsid w:val="00376BF0"/>
    <w:rsid w:val="003770F5"/>
    <w:rsid w:val="003771DA"/>
    <w:rsid w:val="00377274"/>
    <w:rsid w:val="003772F2"/>
    <w:rsid w:val="00377317"/>
    <w:rsid w:val="003774B2"/>
    <w:rsid w:val="00377590"/>
    <w:rsid w:val="003775A0"/>
    <w:rsid w:val="0037760B"/>
    <w:rsid w:val="0037782D"/>
    <w:rsid w:val="0037791D"/>
    <w:rsid w:val="0037793F"/>
    <w:rsid w:val="00377A66"/>
    <w:rsid w:val="00377BDA"/>
    <w:rsid w:val="00377E07"/>
    <w:rsid w:val="00377E33"/>
    <w:rsid w:val="00377F19"/>
    <w:rsid w:val="00377FDD"/>
    <w:rsid w:val="00380053"/>
    <w:rsid w:val="0038007E"/>
    <w:rsid w:val="003800D6"/>
    <w:rsid w:val="003800E7"/>
    <w:rsid w:val="00380195"/>
    <w:rsid w:val="00380382"/>
    <w:rsid w:val="003803B0"/>
    <w:rsid w:val="003805A3"/>
    <w:rsid w:val="003805B1"/>
    <w:rsid w:val="0038060A"/>
    <w:rsid w:val="003806F4"/>
    <w:rsid w:val="00380738"/>
    <w:rsid w:val="003807CB"/>
    <w:rsid w:val="0038098A"/>
    <w:rsid w:val="00380A11"/>
    <w:rsid w:val="00380B10"/>
    <w:rsid w:val="00380B8C"/>
    <w:rsid w:val="00380BBB"/>
    <w:rsid w:val="00380C6B"/>
    <w:rsid w:val="00380DFA"/>
    <w:rsid w:val="00380E31"/>
    <w:rsid w:val="00380E98"/>
    <w:rsid w:val="00380FF2"/>
    <w:rsid w:val="00381130"/>
    <w:rsid w:val="00381240"/>
    <w:rsid w:val="003815A5"/>
    <w:rsid w:val="003815C8"/>
    <w:rsid w:val="0038167C"/>
    <w:rsid w:val="0038167E"/>
    <w:rsid w:val="00381696"/>
    <w:rsid w:val="003818B6"/>
    <w:rsid w:val="003819C4"/>
    <w:rsid w:val="00381A20"/>
    <w:rsid w:val="00381AFC"/>
    <w:rsid w:val="00381BB8"/>
    <w:rsid w:val="00382090"/>
    <w:rsid w:val="0038225F"/>
    <w:rsid w:val="00382309"/>
    <w:rsid w:val="003823FA"/>
    <w:rsid w:val="00382489"/>
    <w:rsid w:val="00382528"/>
    <w:rsid w:val="0038268D"/>
    <w:rsid w:val="00382712"/>
    <w:rsid w:val="0038278A"/>
    <w:rsid w:val="0038282B"/>
    <w:rsid w:val="003829C8"/>
    <w:rsid w:val="00382ACD"/>
    <w:rsid w:val="00382B56"/>
    <w:rsid w:val="00382BF9"/>
    <w:rsid w:val="00382D21"/>
    <w:rsid w:val="00382D28"/>
    <w:rsid w:val="00382D29"/>
    <w:rsid w:val="00382DA7"/>
    <w:rsid w:val="00382DB6"/>
    <w:rsid w:val="00383001"/>
    <w:rsid w:val="00383062"/>
    <w:rsid w:val="0038316E"/>
    <w:rsid w:val="00383199"/>
    <w:rsid w:val="0038331B"/>
    <w:rsid w:val="00383440"/>
    <w:rsid w:val="00383489"/>
    <w:rsid w:val="00383530"/>
    <w:rsid w:val="00383633"/>
    <w:rsid w:val="00383865"/>
    <w:rsid w:val="003839C9"/>
    <w:rsid w:val="00383B1C"/>
    <w:rsid w:val="00383B56"/>
    <w:rsid w:val="00383D5F"/>
    <w:rsid w:val="00383FD3"/>
    <w:rsid w:val="00383FDC"/>
    <w:rsid w:val="00384202"/>
    <w:rsid w:val="0038422C"/>
    <w:rsid w:val="00384420"/>
    <w:rsid w:val="003844A7"/>
    <w:rsid w:val="0038450E"/>
    <w:rsid w:val="00384556"/>
    <w:rsid w:val="003845FD"/>
    <w:rsid w:val="00384794"/>
    <w:rsid w:val="003847BD"/>
    <w:rsid w:val="00384825"/>
    <w:rsid w:val="0038483C"/>
    <w:rsid w:val="0038494E"/>
    <w:rsid w:val="00384A12"/>
    <w:rsid w:val="00384B47"/>
    <w:rsid w:val="00384C3B"/>
    <w:rsid w:val="00384CB6"/>
    <w:rsid w:val="00385034"/>
    <w:rsid w:val="003850B8"/>
    <w:rsid w:val="003851C2"/>
    <w:rsid w:val="003851DF"/>
    <w:rsid w:val="00385243"/>
    <w:rsid w:val="00385360"/>
    <w:rsid w:val="003853E0"/>
    <w:rsid w:val="003853EB"/>
    <w:rsid w:val="003854DA"/>
    <w:rsid w:val="00385537"/>
    <w:rsid w:val="003855E4"/>
    <w:rsid w:val="003857CE"/>
    <w:rsid w:val="0038591B"/>
    <w:rsid w:val="00385AC0"/>
    <w:rsid w:val="00385C46"/>
    <w:rsid w:val="00385C5D"/>
    <w:rsid w:val="00385E06"/>
    <w:rsid w:val="00385E2B"/>
    <w:rsid w:val="00385E3B"/>
    <w:rsid w:val="00385EBD"/>
    <w:rsid w:val="0038618E"/>
    <w:rsid w:val="003861C4"/>
    <w:rsid w:val="00386383"/>
    <w:rsid w:val="003868B9"/>
    <w:rsid w:val="003868F4"/>
    <w:rsid w:val="00386A5A"/>
    <w:rsid w:val="00386B2E"/>
    <w:rsid w:val="00386B79"/>
    <w:rsid w:val="00386DFB"/>
    <w:rsid w:val="00386E19"/>
    <w:rsid w:val="00386E1B"/>
    <w:rsid w:val="00387138"/>
    <w:rsid w:val="00387391"/>
    <w:rsid w:val="0038760C"/>
    <w:rsid w:val="0038765F"/>
    <w:rsid w:val="00387718"/>
    <w:rsid w:val="00387A85"/>
    <w:rsid w:val="00387AF7"/>
    <w:rsid w:val="00387C84"/>
    <w:rsid w:val="00387CBB"/>
    <w:rsid w:val="00387D68"/>
    <w:rsid w:val="00387F1A"/>
    <w:rsid w:val="00390088"/>
    <w:rsid w:val="003900D9"/>
    <w:rsid w:val="0039029D"/>
    <w:rsid w:val="00390328"/>
    <w:rsid w:val="00390370"/>
    <w:rsid w:val="003904A7"/>
    <w:rsid w:val="003905DC"/>
    <w:rsid w:val="003905F0"/>
    <w:rsid w:val="00390733"/>
    <w:rsid w:val="003907D5"/>
    <w:rsid w:val="00390821"/>
    <w:rsid w:val="00390A1B"/>
    <w:rsid w:val="00390C00"/>
    <w:rsid w:val="00390CA3"/>
    <w:rsid w:val="00390DED"/>
    <w:rsid w:val="00390E7C"/>
    <w:rsid w:val="00390EA1"/>
    <w:rsid w:val="00390ECE"/>
    <w:rsid w:val="0039101A"/>
    <w:rsid w:val="00391045"/>
    <w:rsid w:val="0039147F"/>
    <w:rsid w:val="00391538"/>
    <w:rsid w:val="003917E0"/>
    <w:rsid w:val="003918A0"/>
    <w:rsid w:val="00391A4F"/>
    <w:rsid w:val="00391E20"/>
    <w:rsid w:val="00391F68"/>
    <w:rsid w:val="00392029"/>
    <w:rsid w:val="003924A3"/>
    <w:rsid w:val="00392580"/>
    <w:rsid w:val="00392693"/>
    <w:rsid w:val="00392836"/>
    <w:rsid w:val="00392941"/>
    <w:rsid w:val="00392BEA"/>
    <w:rsid w:val="00392D2C"/>
    <w:rsid w:val="00392DAC"/>
    <w:rsid w:val="00392E6C"/>
    <w:rsid w:val="00392EC1"/>
    <w:rsid w:val="00392EDD"/>
    <w:rsid w:val="00392F6D"/>
    <w:rsid w:val="00392F90"/>
    <w:rsid w:val="00393070"/>
    <w:rsid w:val="003930B9"/>
    <w:rsid w:val="00393946"/>
    <w:rsid w:val="00393A29"/>
    <w:rsid w:val="00393B0E"/>
    <w:rsid w:val="00393BE7"/>
    <w:rsid w:val="00393C40"/>
    <w:rsid w:val="00393D1F"/>
    <w:rsid w:val="00393E3A"/>
    <w:rsid w:val="00393E83"/>
    <w:rsid w:val="00393E8E"/>
    <w:rsid w:val="00393EC1"/>
    <w:rsid w:val="0039401C"/>
    <w:rsid w:val="00394131"/>
    <w:rsid w:val="00394423"/>
    <w:rsid w:val="0039462A"/>
    <w:rsid w:val="00394820"/>
    <w:rsid w:val="00394D76"/>
    <w:rsid w:val="00394E13"/>
    <w:rsid w:val="00394FA2"/>
    <w:rsid w:val="003950A4"/>
    <w:rsid w:val="00395355"/>
    <w:rsid w:val="00395390"/>
    <w:rsid w:val="003954A7"/>
    <w:rsid w:val="00395679"/>
    <w:rsid w:val="00395778"/>
    <w:rsid w:val="00395C1A"/>
    <w:rsid w:val="00395CC4"/>
    <w:rsid w:val="00395D13"/>
    <w:rsid w:val="00395D15"/>
    <w:rsid w:val="00395D37"/>
    <w:rsid w:val="00395D95"/>
    <w:rsid w:val="00395FAF"/>
    <w:rsid w:val="0039611E"/>
    <w:rsid w:val="00396157"/>
    <w:rsid w:val="00396169"/>
    <w:rsid w:val="003961C2"/>
    <w:rsid w:val="0039631E"/>
    <w:rsid w:val="00396449"/>
    <w:rsid w:val="0039655D"/>
    <w:rsid w:val="003965EE"/>
    <w:rsid w:val="00396798"/>
    <w:rsid w:val="00396852"/>
    <w:rsid w:val="0039685D"/>
    <w:rsid w:val="00396880"/>
    <w:rsid w:val="00396992"/>
    <w:rsid w:val="00396A57"/>
    <w:rsid w:val="00396A84"/>
    <w:rsid w:val="00396A9A"/>
    <w:rsid w:val="00396AB3"/>
    <w:rsid w:val="00396BD4"/>
    <w:rsid w:val="003970DD"/>
    <w:rsid w:val="00397129"/>
    <w:rsid w:val="0039718B"/>
    <w:rsid w:val="00397485"/>
    <w:rsid w:val="00397626"/>
    <w:rsid w:val="003978BB"/>
    <w:rsid w:val="00397904"/>
    <w:rsid w:val="00397A9C"/>
    <w:rsid w:val="00397AE6"/>
    <w:rsid w:val="00397B58"/>
    <w:rsid w:val="00397CA0"/>
    <w:rsid w:val="003A015F"/>
    <w:rsid w:val="003A02B5"/>
    <w:rsid w:val="003A038F"/>
    <w:rsid w:val="003A03A5"/>
    <w:rsid w:val="003A05ED"/>
    <w:rsid w:val="003A08EA"/>
    <w:rsid w:val="003A0B63"/>
    <w:rsid w:val="003A0DC9"/>
    <w:rsid w:val="003A0DDD"/>
    <w:rsid w:val="003A0EB3"/>
    <w:rsid w:val="003A0FDD"/>
    <w:rsid w:val="003A103B"/>
    <w:rsid w:val="003A109C"/>
    <w:rsid w:val="003A1197"/>
    <w:rsid w:val="003A134D"/>
    <w:rsid w:val="003A1452"/>
    <w:rsid w:val="003A14D6"/>
    <w:rsid w:val="003A1649"/>
    <w:rsid w:val="003A16BC"/>
    <w:rsid w:val="003A16DE"/>
    <w:rsid w:val="003A1748"/>
    <w:rsid w:val="003A1871"/>
    <w:rsid w:val="003A1888"/>
    <w:rsid w:val="003A18C6"/>
    <w:rsid w:val="003A1A4A"/>
    <w:rsid w:val="003A1AE7"/>
    <w:rsid w:val="003A1C95"/>
    <w:rsid w:val="003A1CC9"/>
    <w:rsid w:val="003A1D01"/>
    <w:rsid w:val="003A1D80"/>
    <w:rsid w:val="003A1E88"/>
    <w:rsid w:val="003A1E9E"/>
    <w:rsid w:val="003A1EB0"/>
    <w:rsid w:val="003A2359"/>
    <w:rsid w:val="003A23DD"/>
    <w:rsid w:val="003A24EE"/>
    <w:rsid w:val="003A2560"/>
    <w:rsid w:val="003A260C"/>
    <w:rsid w:val="003A26C1"/>
    <w:rsid w:val="003A28EA"/>
    <w:rsid w:val="003A2C79"/>
    <w:rsid w:val="003A2CBA"/>
    <w:rsid w:val="003A2CBE"/>
    <w:rsid w:val="003A2DFA"/>
    <w:rsid w:val="003A2E02"/>
    <w:rsid w:val="003A2F72"/>
    <w:rsid w:val="003A3069"/>
    <w:rsid w:val="003A30E0"/>
    <w:rsid w:val="003A319B"/>
    <w:rsid w:val="003A32DC"/>
    <w:rsid w:val="003A32ED"/>
    <w:rsid w:val="003A3383"/>
    <w:rsid w:val="003A3475"/>
    <w:rsid w:val="003A367E"/>
    <w:rsid w:val="003A39DA"/>
    <w:rsid w:val="003A3BC8"/>
    <w:rsid w:val="003A3BD7"/>
    <w:rsid w:val="003A3C0B"/>
    <w:rsid w:val="003A3E61"/>
    <w:rsid w:val="003A3EEC"/>
    <w:rsid w:val="003A3F36"/>
    <w:rsid w:val="003A40C0"/>
    <w:rsid w:val="003A4239"/>
    <w:rsid w:val="003A42B2"/>
    <w:rsid w:val="003A4422"/>
    <w:rsid w:val="003A4531"/>
    <w:rsid w:val="003A45BA"/>
    <w:rsid w:val="003A47B3"/>
    <w:rsid w:val="003A48D5"/>
    <w:rsid w:val="003A493D"/>
    <w:rsid w:val="003A4940"/>
    <w:rsid w:val="003A4971"/>
    <w:rsid w:val="003A4A4B"/>
    <w:rsid w:val="003A4B71"/>
    <w:rsid w:val="003A4BA0"/>
    <w:rsid w:val="003A4D62"/>
    <w:rsid w:val="003A4DD2"/>
    <w:rsid w:val="003A4E06"/>
    <w:rsid w:val="003A4EBF"/>
    <w:rsid w:val="003A4FAB"/>
    <w:rsid w:val="003A51E4"/>
    <w:rsid w:val="003A5268"/>
    <w:rsid w:val="003A5281"/>
    <w:rsid w:val="003A5317"/>
    <w:rsid w:val="003A5528"/>
    <w:rsid w:val="003A5674"/>
    <w:rsid w:val="003A56EB"/>
    <w:rsid w:val="003A5828"/>
    <w:rsid w:val="003A5919"/>
    <w:rsid w:val="003A59A3"/>
    <w:rsid w:val="003A5B0A"/>
    <w:rsid w:val="003A5D03"/>
    <w:rsid w:val="003A5EAD"/>
    <w:rsid w:val="003A5F20"/>
    <w:rsid w:val="003A5F89"/>
    <w:rsid w:val="003A60F9"/>
    <w:rsid w:val="003A63FB"/>
    <w:rsid w:val="003A642F"/>
    <w:rsid w:val="003A6733"/>
    <w:rsid w:val="003A6A47"/>
    <w:rsid w:val="003A6ADA"/>
    <w:rsid w:val="003A6BB0"/>
    <w:rsid w:val="003A6C5A"/>
    <w:rsid w:val="003A6C94"/>
    <w:rsid w:val="003A6D0D"/>
    <w:rsid w:val="003A6EEE"/>
    <w:rsid w:val="003A708A"/>
    <w:rsid w:val="003A7120"/>
    <w:rsid w:val="003A7215"/>
    <w:rsid w:val="003A72BF"/>
    <w:rsid w:val="003A73E8"/>
    <w:rsid w:val="003A749A"/>
    <w:rsid w:val="003A755C"/>
    <w:rsid w:val="003A759B"/>
    <w:rsid w:val="003A77B9"/>
    <w:rsid w:val="003A792E"/>
    <w:rsid w:val="003A793E"/>
    <w:rsid w:val="003A7986"/>
    <w:rsid w:val="003A7E2C"/>
    <w:rsid w:val="003A7EB6"/>
    <w:rsid w:val="003A7F2C"/>
    <w:rsid w:val="003A7F7D"/>
    <w:rsid w:val="003A7FF0"/>
    <w:rsid w:val="003B00D7"/>
    <w:rsid w:val="003B010E"/>
    <w:rsid w:val="003B01DA"/>
    <w:rsid w:val="003B0278"/>
    <w:rsid w:val="003B0812"/>
    <w:rsid w:val="003B0A62"/>
    <w:rsid w:val="003B0ED9"/>
    <w:rsid w:val="003B1077"/>
    <w:rsid w:val="003B10FB"/>
    <w:rsid w:val="003B1397"/>
    <w:rsid w:val="003B13EA"/>
    <w:rsid w:val="003B1457"/>
    <w:rsid w:val="003B153A"/>
    <w:rsid w:val="003B18DD"/>
    <w:rsid w:val="003B192C"/>
    <w:rsid w:val="003B197C"/>
    <w:rsid w:val="003B1B3D"/>
    <w:rsid w:val="003B1B50"/>
    <w:rsid w:val="003B1E6A"/>
    <w:rsid w:val="003B1F04"/>
    <w:rsid w:val="003B20B6"/>
    <w:rsid w:val="003B245D"/>
    <w:rsid w:val="003B2508"/>
    <w:rsid w:val="003B2647"/>
    <w:rsid w:val="003B267F"/>
    <w:rsid w:val="003B2704"/>
    <w:rsid w:val="003B2D1D"/>
    <w:rsid w:val="003B2D4C"/>
    <w:rsid w:val="003B2F14"/>
    <w:rsid w:val="003B2FFB"/>
    <w:rsid w:val="003B30FB"/>
    <w:rsid w:val="003B31D4"/>
    <w:rsid w:val="003B32E8"/>
    <w:rsid w:val="003B3396"/>
    <w:rsid w:val="003B347E"/>
    <w:rsid w:val="003B3482"/>
    <w:rsid w:val="003B349C"/>
    <w:rsid w:val="003B35A0"/>
    <w:rsid w:val="003B3937"/>
    <w:rsid w:val="003B3942"/>
    <w:rsid w:val="003B3B27"/>
    <w:rsid w:val="003B3BF5"/>
    <w:rsid w:val="003B3C89"/>
    <w:rsid w:val="003B3F15"/>
    <w:rsid w:val="003B3F46"/>
    <w:rsid w:val="003B3F62"/>
    <w:rsid w:val="003B402C"/>
    <w:rsid w:val="003B415F"/>
    <w:rsid w:val="003B41B2"/>
    <w:rsid w:val="003B42C7"/>
    <w:rsid w:val="003B43D9"/>
    <w:rsid w:val="003B44BF"/>
    <w:rsid w:val="003B44E4"/>
    <w:rsid w:val="003B4798"/>
    <w:rsid w:val="003B4802"/>
    <w:rsid w:val="003B4859"/>
    <w:rsid w:val="003B486F"/>
    <w:rsid w:val="003B49D7"/>
    <w:rsid w:val="003B4A3B"/>
    <w:rsid w:val="003B4AFB"/>
    <w:rsid w:val="003B4E7B"/>
    <w:rsid w:val="003B527A"/>
    <w:rsid w:val="003B54A3"/>
    <w:rsid w:val="003B54D5"/>
    <w:rsid w:val="003B55E3"/>
    <w:rsid w:val="003B5615"/>
    <w:rsid w:val="003B5654"/>
    <w:rsid w:val="003B56B3"/>
    <w:rsid w:val="003B5808"/>
    <w:rsid w:val="003B59D3"/>
    <w:rsid w:val="003B5A4B"/>
    <w:rsid w:val="003B5B34"/>
    <w:rsid w:val="003B5B79"/>
    <w:rsid w:val="003B5CDB"/>
    <w:rsid w:val="003B5ED6"/>
    <w:rsid w:val="003B5F11"/>
    <w:rsid w:val="003B6024"/>
    <w:rsid w:val="003B6047"/>
    <w:rsid w:val="003B6064"/>
    <w:rsid w:val="003B60D5"/>
    <w:rsid w:val="003B61E7"/>
    <w:rsid w:val="003B61FA"/>
    <w:rsid w:val="003B625A"/>
    <w:rsid w:val="003B625C"/>
    <w:rsid w:val="003B6291"/>
    <w:rsid w:val="003B6387"/>
    <w:rsid w:val="003B63A6"/>
    <w:rsid w:val="003B649F"/>
    <w:rsid w:val="003B64D4"/>
    <w:rsid w:val="003B657B"/>
    <w:rsid w:val="003B66B0"/>
    <w:rsid w:val="003B6737"/>
    <w:rsid w:val="003B6820"/>
    <w:rsid w:val="003B6A86"/>
    <w:rsid w:val="003B6BAB"/>
    <w:rsid w:val="003B6BD2"/>
    <w:rsid w:val="003B6C6C"/>
    <w:rsid w:val="003B6EF3"/>
    <w:rsid w:val="003B6F76"/>
    <w:rsid w:val="003B7408"/>
    <w:rsid w:val="003B7410"/>
    <w:rsid w:val="003B742D"/>
    <w:rsid w:val="003B7569"/>
    <w:rsid w:val="003B75FD"/>
    <w:rsid w:val="003B782F"/>
    <w:rsid w:val="003B78B4"/>
    <w:rsid w:val="003B799A"/>
    <w:rsid w:val="003B7B94"/>
    <w:rsid w:val="003B7E9A"/>
    <w:rsid w:val="003B7EF9"/>
    <w:rsid w:val="003B7F47"/>
    <w:rsid w:val="003B7F4E"/>
    <w:rsid w:val="003B7F5E"/>
    <w:rsid w:val="003C026F"/>
    <w:rsid w:val="003C03A5"/>
    <w:rsid w:val="003C03B6"/>
    <w:rsid w:val="003C04FD"/>
    <w:rsid w:val="003C054E"/>
    <w:rsid w:val="003C05A3"/>
    <w:rsid w:val="003C0618"/>
    <w:rsid w:val="003C0790"/>
    <w:rsid w:val="003C07ED"/>
    <w:rsid w:val="003C0B99"/>
    <w:rsid w:val="003C0D15"/>
    <w:rsid w:val="003C0D7D"/>
    <w:rsid w:val="003C0DE1"/>
    <w:rsid w:val="003C0DF9"/>
    <w:rsid w:val="003C0EC4"/>
    <w:rsid w:val="003C0EF3"/>
    <w:rsid w:val="003C1034"/>
    <w:rsid w:val="003C1300"/>
    <w:rsid w:val="003C15E2"/>
    <w:rsid w:val="003C16F9"/>
    <w:rsid w:val="003C174B"/>
    <w:rsid w:val="003C177F"/>
    <w:rsid w:val="003C19E9"/>
    <w:rsid w:val="003C1A3C"/>
    <w:rsid w:val="003C1A97"/>
    <w:rsid w:val="003C1B60"/>
    <w:rsid w:val="003C1C42"/>
    <w:rsid w:val="003C1C64"/>
    <w:rsid w:val="003C1D1B"/>
    <w:rsid w:val="003C20BA"/>
    <w:rsid w:val="003C216B"/>
    <w:rsid w:val="003C2368"/>
    <w:rsid w:val="003C24C6"/>
    <w:rsid w:val="003C2549"/>
    <w:rsid w:val="003C2626"/>
    <w:rsid w:val="003C2BA8"/>
    <w:rsid w:val="003C2CDA"/>
    <w:rsid w:val="003C2F21"/>
    <w:rsid w:val="003C320B"/>
    <w:rsid w:val="003C3254"/>
    <w:rsid w:val="003C32B3"/>
    <w:rsid w:val="003C3545"/>
    <w:rsid w:val="003C366F"/>
    <w:rsid w:val="003C383D"/>
    <w:rsid w:val="003C38C2"/>
    <w:rsid w:val="003C38C6"/>
    <w:rsid w:val="003C3F6C"/>
    <w:rsid w:val="003C3FC9"/>
    <w:rsid w:val="003C406F"/>
    <w:rsid w:val="003C41F9"/>
    <w:rsid w:val="003C4211"/>
    <w:rsid w:val="003C469C"/>
    <w:rsid w:val="003C47E8"/>
    <w:rsid w:val="003C4960"/>
    <w:rsid w:val="003C5484"/>
    <w:rsid w:val="003C56B1"/>
    <w:rsid w:val="003C56D6"/>
    <w:rsid w:val="003C56F7"/>
    <w:rsid w:val="003C5749"/>
    <w:rsid w:val="003C5762"/>
    <w:rsid w:val="003C5778"/>
    <w:rsid w:val="003C594A"/>
    <w:rsid w:val="003C5A69"/>
    <w:rsid w:val="003C5A9B"/>
    <w:rsid w:val="003C5B36"/>
    <w:rsid w:val="003C5FB3"/>
    <w:rsid w:val="003C632B"/>
    <w:rsid w:val="003C6550"/>
    <w:rsid w:val="003C66AA"/>
    <w:rsid w:val="003C66FA"/>
    <w:rsid w:val="003C6844"/>
    <w:rsid w:val="003C6A09"/>
    <w:rsid w:val="003C6B55"/>
    <w:rsid w:val="003C6B89"/>
    <w:rsid w:val="003C6DCA"/>
    <w:rsid w:val="003C6E5C"/>
    <w:rsid w:val="003C743F"/>
    <w:rsid w:val="003C75F3"/>
    <w:rsid w:val="003C7693"/>
    <w:rsid w:val="003C7762"/>
    <w:rsid w:val="003C778D"/>
    <w:rsid w:val="003C781E"/>
    <w:rsid w:val="003C790A"/>
    <w:rsid w:val="003C7B51"/>
    <w:rsid w:val="003C7CE3"/>
    <w:rsid w:val="003C7F1C"/>
    <w:rsid w:val="003C7F7D"/>
    <w:rsid w:val="003D01CA"/>
    <w:rsid w:val="003D0266"/>
    <w:rsid w:val="003D0330"/>
    <w:rsid w:val="003D03F7"/>
    <w:rsid w:val="003D0514"/>
    <w:rsid w:val="003D054A"/>
    <w:rsid w:val="003D055E"/>
    <w:rsid w:val="003D0605"/>
    <w:rsid w:val="003D063E"/>
    <w:rsid w:val="003D06A2"/>
    <w:rsid w:val="003D077D"/>
    <w:rsid w:val="003D0895"/>
    <w:rsid w:val="003D0897"/>
    <w:rsid w:val="003D0C8E"/>
    <w:rsid w:val="003D0CAE"/>
    <w:rsid w:val="003D0D85"/>
    <w:rsid w:val="003D0EE6"/>
    <w:rsid w:val="003D0EFD"/>
    <w:rsid w:val="003D100E"/>
    <w:rsid w:val="003D10DA"/>
    <w:rsid w:val="003D11AF"/>
    <w:rsid w:val="003D11C2"/>
    <w:rsid w:val="003D14D5"/>
    <w:rsid w:val="003D1565"/>
    <w:rsid w:val="003D1694"/>
    <w:rsid w:val="003D16D3"/>
    <w:rsid w:val="003D1918"/>
    <w:rsid w:val="003D1A53"/>
    <w:rsid w:val="003D1BE4"/>
    <w:rsid w:val="003D1F21"/>
    <w:rsid w:val="003D1F91"/>
    <w:rsid w:val="003D20FB"/>
    <w:rsid w:val="003D21F7"/>
    <w:rsid w:val="003D287C"/>
    <w:rsid w:val="003D2A55"/>
    <w:rsid w:val="003D2B05"/>
    <w:rsid w:val="003D2B15"/>
    <w:rsid w:val="003D2BA3"/>
    <w:rsid w:val="003D2BB8"/>
    <w:rsid w:val="003D2C6C"/>
    <w:rsid w:val="003D2DEB"/>
    <w:rsid w:val="003D2E9B"/>
    <w:rsid w:val="003D2F2D"/>
    <w:rsid w:val="003D3142"/>
    <w:rsid w:val="003D3512"/>
    <w:rsid w:val="003D3588"/>
    <w:rsid w:val="003D3640"/>
    <w:rsid w:val="003D3783"/>
    <w:rsid w:val="003D37BA"/>
    <w:rsid w:val="003D3B15"/>
    <w:rsid w:val="003D3BFC"/>
    <w:rsid w:val="003D3F30"/>
    <w:rsid w:val="003D3F57"/>
    <w:rsid w:val="003D3F6D"/>
    <w:rsid w:val="003D4256"/>
    <w:rsid w:val="003D42A6"/>
    <w:rsid w:val="003D4532"/>
    <w:rsid w:val="003D4536"/>
    <w:rsid w:val="003D4985"/>
    <w:rsid w:val="003D49EC"/>
    <w:rsid w:val="003D4D89"/>
    <w:rsid w:val="003D4E40"/>
    <w:rsid w:val="003D4EF3"/>
    <w:rsid w:val="003D4EF6"/>
    <w:rsid w:val="003D509F"/>
    <w:rsid w:val="003D50BC"/>
    <w:rsid w:val="003D50BF"/>
    <w:rsid w:val="003D50C7"/>
    <w:rsid w:val="003D5236"/>
    <w:rsid w:val="003D5392"/>
    <w:rsid w:val="003D539D"/>
    <w:rsid w:val="003D559C"/>
    <w:rsid w:val="003D55B6"/>
    <w:rsid w:val="003D561B"/>
    <w:rsid w:val="003D56A9"/>
    <w:rsid w:val="003D5912"/>
    <w:rsid w:val="003D5AD2"/>
    <w:rsid w:val="003D5B06"/>
    <w:rsid w:val="003D5C1E"/>
    <w:rsid w:val="003D5DAA"/>
    <w:rsid w:val="003D5DE4"/>
    <w:rsid w:val="003D5F3C"/>
    <w:rsid w:val="003D5F88"/>
    <w:rsid w:val="003D5F95"/>
    <w:rsid w:val="003D6239"/>
    <w:rsid w:val="003D62EB"/>
    <w:rsid w:val="003D639F"/>
    <w:rsid w:val="003D657A"/>
    <w:rsid w:val="003D669D"/>
    <w:rsid w:val="003D67DC"/>
    <w:rsid w:val="003D689B"/>
    <w:rsid w:val="003D6B44"/>
    <w:rsid w:val="003D6C89"/>
    <w:rsid w:val="003D6CC3"/>
    <w:rsid w:val="003D6DD5"/>
    <w:rsid w:val="003D6DE3"/>
    <w:rsid w:val="003D6E37"/>
    <w:rsid w:val="003D71A3"/>
    <w:rsid w:val="003D71D4"/>
    <w:rsid w:val="003D723A"/>
    <w:rsid w:val="003D725C"/>
    <w:rsid w:val="003D74B2"/>
    <w:rsid w:val="003D7536"/>
    <w:rsid w:val="003D755E"/>
    <w:rsid w:val="003D75D1"/>
    <w:rsid w:val="003D7798"/>
    <w:rsid w:val="003D786D"/>
    <w:rsid w:val="003D7ACF"/>
    <w:rsid w:val="003D7ADA"/>
    <w:rsid w:val="003D7B10"/>
    <w:rsid w:val="003D7CCC"/>
    <w:rsid w:val="003D7D4E"/>
    <w:rsid w:val="003E01EB"/>
    <w:rsid w:val="003E01F1"/>
    <w:rsid w:val="003E02CF"/>
    <w:rsid w:val="003E041D"/>
    <w:rsid w:val="003E0537"/>
    <w:rsid w:val="003E0690"/>
    <w:rsid w:val="003E081D"/>
    <w:rsid w:val="003E0866"/>
    <w:rsid w:val="003E08B7"/>
    <w:rsid w:val="003E08F5"/>
    <w:rsid w:val="003E0A23"/>
    <w:rsid w:val="003E0B81"/>
    <w:rsid w:val="003E0D66"/>
    <w:rsid w:val="003E0DBC"/>
    <w:rsid w:val="003E0EAB"/>
    <w:rsid w:val="003E1016"/>
    <w:rsid w:val="003E102D"/>
    <w:rsid w:val="003E12EA"/>
    <w:rsid w:val="003E14A5"/>
    <w:rsid w:val="003E167E"/>
    <w:rsid w:val="003E17F8"/>
    <w:rsid w:val="003E194A"/>
    <w:rsid w:val="003E1A28"/>
    <w:rsid w:val="003E1A98"/>
    <w:rsid w:val="003E1D21"/>
    <w:rsid w:val="003E1EDC"/>
    <w:rsid w:val="003E1F00"/>
    <w:rsid w:val="003E1F50"/>
    <w:rsid w:val="003E2055"/>
    <w:rsid w:val="003E2136"/>
    <w:rsid w:val="003E219F"/>
    <w:rsid w:val="003E2269"/>
    <w:rsid w:val="003E2305"/>
    <w:rsid w:val="003E23B5"/>
    <w:rsid w:val="003E23EB"/>
    <w:rsid w:val="003E26BD"/>
    <w:rsid w:val="003E2844"/>
    <w:rsid w:val="003E284C"/>
    <w:rsid w:val="003E29CB"/>
    <w:rsid w:val="003E2BD8"/>
    <w:rsid w:val="003E2D06"/>
    <w:rsid w:val="003E2E5B"/>
    <w:rsid w:val="003E2F66"/>
    <w:rsid w:val="003E2F75"/>
    <w:rsid w:val="003E2F81"/>
    <w:rsid w:val="003E31E9"/>
    <w:rsid w:val="003E31EF"/>
    <w:rsid w:val="003E3328"/>
    <w:rsid w:val="003E33A7"/>
    <w:rsid w:val="003E33D1"/>
    <w:rsid w:val="003E341E"/>
    <w:rsid w:val="003E34C6"/>
    <w:rsid w:val="003E34DC"/>
    <w:rsid w:val="003E34DD"/>
    <w:rsid w:val="003E36E6"/>
    <w:rsid w:val="003E371E"/>
    <w:rsid w:val="003E3875"/>
    <w:rsid w:val="003E3A10"/>
    <w:rsid w:val="003E3A47"/>
    <w:rsid w:val="003E3A89"/>
    <w:rsid w:val="003E3B40"/>
    <w:rsid w:val="003E3C17"/>
    <w:rsid w:val="003E3C4F"/>
    <w:rsid w:val="003E3E42"/>
    <w:rsid w:val="003E3FA1"/>
    <w:rsid w:val="003E3FAC"/>
    <w:rsid w:val="003E40AE"/>
    <w:rsid w:val="003E40C7"/>
    <w:rsid w:val="003E40E0"/>
    <w:rsid w:val="003E411B"/>
    <w:rsid w:val="003E4296"/>
    <w:rsid w:val="003E472C"/>
    <w:rsid w:val="003E4745"/>
    <w:rsid w:val="003E4860"/>
    <w:rsid w:val="003E495C"/>
    <w:rsid w:val="003E4B05"/>
    <w:rsid w:val="003E4B47"/>
    <w:rsid w:val="003E4BBA"/>
    <w:rsid w:val="003E4CCD"/>
    <w:rsid w:val="003E4D3C"/>
    <w:rsid w:val="003E4DFB"/>
    <w:rsid w:val="003E4E65"/>
    <w:rsid w:val="003E4EB7"/>
    <w:rsid w:val="003E4F7C"/>
    <w:rsid w:val="003E541D"/>
    <w:rsid w:val="003E5430"/>
    <w:rsid w:val="003E55DA"/>
    <w:rsid w:val="003E55FA"/>
    <w:rsid w:val="003E5677"/>
    <w:rsid w:val="003E597B"/>
    <w:rsid w:val="003E5AE0"/>
    <w:rsid w:val="003E5BF1"/>
    <w:rsid w:val="003E5C19"/>
    <w:rsid w:val="003E5E15"/>
    <w:rsid w:val="003E5E19"/>
    <w:rsid w:val="003E6003"/>
    <w:rsid w:val="003E61BB"/>
    <w:rsid w:val="003E620E"/>
    <w:rsid w:val="003E6334"/>
    <w:rsid w:val="003E634A"/>
    <w:rsid w:val="003E637F"/>
    <w:rsid w:val="003E6443"/>
    <w:rsid w:val="003E6586"/>
    <w:rsid w:val="003E66C9"/>
    <w:rsid w:val="003E67A6"/>
    <w:rsid w:val="003E6A29"/>
    <w:rsid w:val="003E6A90"/>
    <w:rsid w:val="003E6A98"/>
    <w:rsid w:val="003E6C35"/>
    <w:rsid w:val="003E6DF4"/>
    <w:rsid w:val="003E6E5B"/>
    <w:rsid w:val="003E7059"/>
    <w:rsid w:val="003E70AB"/>
    <w:rsid w:val="003E727D"/>
    <w:rsid w:val="003E74F8"/>
    <w:rsid w:val="003E771F"/>
    <w:rsid w:val="003E778C"/>
    <w:rsid w:val="003E78E5"/>
    <w:rsid w:val="003E792C"/>
    <w:rsid w:val="003E7974"/>
    <w:rsid w:val="003E7C33"/>
    <w:rsid w:val="003E7C39"/>
    <w:rsid w:val="003E7C6B"/>
    <w:rsid w:val="003E7D21"/>
    <w:rsid w:val="003E7D5B"/>
    <w:rsid w:val="003E7DE0"/>
    <w:rsid w:val="003F00D3"/>
    <w:rsid w:val="003F0272"/>
    <w:rsid w:val="003F03E6"/>
    <w:rsid w:val="003F0404"/>
    <w:rsid w:val="003F0604"/>
    <w:rsid w:val="003F074C"/>
    <w:rsid w:val="003F0941"/>
    <w:rsid w:val="003F0B1E"/>
    <w:rsid w:val="003F0D02"/>
    <w:rsid w:val="003F0E25"/>
    <w:rsid w:val="003F0F5E"/>
    <w:rsid w:val="003F1421"/>
    <w:rsid w:val="003F1998"/>
    <w:rsid w:val="003F1DD0"/>
    <w:rsid w:val="003F1E2D"/>
    <w:rsid w:val="003F1F4D"/>
    <w:rsid w:val="003F1F83"/>
    <w:rsid w:val="003F1F92"/>
    <w:rsid w:val="003F232A"/>
    <w:rsid w:val="003F239F"/>
    <w:rsid w:val="003F24A6"/>
    <w:rsid w:val="003F2563"/>
    <w:rsid w:val="003F2590"/>
    <w:rsid w:val="003F2706"/>
    <w:rsid w:val="003F277B"/>
    <w:rsid w:val="003F2892"/>
    <w:rsid w:val="003F2980"/>
    <w:rsid w:val="003F29F1"/>
    <w:rsid w:val="003F29F4"/>
    <w:rsid w:val="003F2C9B"/>
    <w:rsid w:val="003F2D8C"/>
    <w:rsid w:val="003F2F06"/>
    <w:rsid w:val="003F2F51"/>
    <w:rsid w:val="003F3050"/>
    <w:rsid w:val="003F3143"/>
    <w:rsid w:val="003F31BE"/>
    <w:rsid w:val="003F33F1"/>
    <w:rsid w:val="003F35D5"/>
    <w:rsid w:val="003F362E"/>
    <w:rsid w:val="003F36C4"/>
    <w:rsid w:val="003F37E0"/>
    <w:rsid w:val="003F3809"/>
    <w:rsid w:val="003F380D"/>
    <w:rsid w:val="003F3853"/>
    <w:rsid w:val="003F3A18"/>
    <w:rsid w:val="003F3D08"/>
    <w:rsid w:val="003F3EDA"/>
    <w:rsid w:val="003F3F4C"/>
    <w:rsid w:val="003F41D0"/>
    <w:rsid w:val="003F42E8"/>
    <w:rsid w:val="003F457B"/>
    <w:rsid w:val="003F4624"/>
    <w:rsid w:val="003F46D0"/>
    <w:rsid w:val="003F4A23"/>
    <w:rsid w:val="003F4A6D"/>
    <w:rsid w:val="003F4AD9"/>
    <w:rsid w:val="003F4C6A"/>
    <w:rsid w:val="003F4E01"/>
    <w:rsid w:val="003F51E8"/>
    <w:rsid w:val="003F5382"/>
    <w:rsid w:val="003F539E"/>
    <w:rsid w:val="003F5405"/>
    <w:rsid w:val="003F543B"/>
    <w:rsid w:val="003F5473"/>
    <w:rsid w:val="003F5753"/>
    <w:rsid w:val="003F579F"/>
    <w:rsid w:val="003F5A53"/>
    <w:rsid w:val="003F5BF5"/>
    <w:rsid w:val="003F5C20"/>
    <w:rsid w:val="003F5E6D"/>
    <w:rsid w:val="003F5E74"/>
    <w:rsid w:val="003F60CE"/>
    <w:rsid w:val="003F60E8"/>
    <w:rsid w:val="003F6247"/>
    <w:rsid w:val="003F628F"/>
    <w:rsid w:val="003F6324"/>
    <w:rsid w:val="003F633E"/>
    <w:rsid w:val="003F6525"/>
    <w:rsid w:val="003F66A1"/>
    <w:rsid w:val="003F6751"/>
    <w:rsid w:val="003F6878"/>
    <w:rsid w:val="003F68FD"/>
    <w:rsid w:val="003F6967"/>
    <w:rsid w:val="003F69A3"/>
    <w:rsid w:val="003F6AF9"/>
    <w:rsid w:val="003F6B3F"/>
    <w:rsid w:val="003F6B41"/>
    <w:rsid w:val="003F6DB7"/>
    <w:rsid w:val="003F6E46"/>
    <w:rsid w:val="003F6E72"/>
    <w:rsid w:val="003F6F8D"/>
    <w:rsid w:val="003F7077"/>
    <w:rsid w:val="003F70CC"/>
    <w:rsid w:val="003F715D"/>
    <w:rsid w:val="003F71CC"/>
    <w:rsid w:val="003F7480"/>
    <w:rsid w:val="003F758F"/>
    <w:rsid w:val="003F75D4"/>
    <w:rsid w:val="003F75FB"/>
    <w:rsid w:val="003F762E"/>
    <w:rsid w:val="003F797F"/>
    <w:rsid w:val="003F79F7"/>
    <w:rsid w:val="003F7A66"/>
    <w:rsid w:val="003F7B26"/>
    <w:rsid w:val="003F7B59"/>
    <w:rsid w:val="003F7BFE"/>
    <w:rsid w:val="003F7CDB"/>
    <w:rsid w:val="003F7EF2"/>
    <w:rsid w:val="004000CD"/>
    <w:rsid w:val="004001A2"/>
    <w:rsid w:val="00400349"/>
    <w:rsid w:val="00400368"/>
    <w:rsid w:val="00400703"/>
    <w:rsid w:val="00400704"/>
    <w:rsid w:val="004007A8"/>
    <w:rsid w:val="0040089B"/>
    <w:rsid w:val="004008BB"/>
    <w:rsid w:val="00400A36"/>
    <w:rsid w:val="00400A65"/>
    <w:rsid w:val="00400AB8"/>
    <w:rsid w:val="00400D0F"/>
    <w:rsid w:val="00400E58"/>
    <w:rsid w:val="00400FCC"/>
    <w:rsid w:val="0040117C"/>
    <w:rsid w:val="0040123A"/>
    <w:rsid w:val="004017B4"/>
    <w:rsid w:val="004017C7"/>
    <w:rsid w:val="00401852"/>
    <w:rsid w:val="00401B77"/>
    <w:rsid w:val="00401EA9"/>
    <w:rsid w:val="00402073"/>
    <w:rsid w:val="00402099"/>
    <w:rsid w:val="00402835"/>
    <w:rsid w:val="004029A8"/>
    <w:rsid w:val="004029F6"/>
    <w:rsid w:val="00402BB3"/>
    <w:rsid w:val="00402C2F"/>
    <w:rsid w:val="00402D59"/>
    <w:rsid w:val="00402E6E"/>
    <w:rsid w:val="00402ED6"/>
    <w:rsid w:val="0040300E"/>
    <w:rsid w:val="00403092"/>
    <w:rsid w:val="0040315E"/>
    <w:rsid w:val="004034F8"/>
    <w:rsid w:val="00403567"/>
    <w:rsid w:val="00403608"/>
    <w:rsid w:val="00403733"/>
    <w:rsid w:val="004037D4"/>
    <w:rsid w:val="00403879"/>
    <w:rsid w:val="004038C3"/>
    <w:rsid w:val="0040399B"/>
    <w:rsid w:val="00403A27"/>
    <w:rsid w:val="00403A61"/>
    <w:rsid w:val="00403B12"/>
    <w:rsid w:val="00403B41"/>
    <w:rsid w:val="00403C03"/>
    <w:rsid w:val="00403CE5"/>
    <w:rsid w:val="00403D79"/>
    <w:rsid w:val="00404024"/>
    <w:rsid w:val="004041C3"/>
    <w:rsid w:val="004042B7"/>
    <w:rsid w:val="00404364"/>
    <w:rsid w:val="0040436F"/>
    <w:rsid w:val="00404437"/>
    <w:rsid w:val="004044F3"/>
    <w:rsid w:val="00404623"/>
    <w:rsid w:val="0040468E"/>
    <w:rsid w:val="00404A1E"/>
    <w:rsid w:val="00404A6E"/>
    <w:rsid w:val="00404AA7"/>
    <w:rsid w:val="00404ADF"/>
    <w:rsid w:val="00404AF8"/>
    <w:rsid w:val="00404B8D"/>
    <w:rsid w:val="00404B9D"/>
    <w:rsid w:val="00404BB4"/>
    <w:rsid w:val="00404C13"/>
    <w:rsid w:val="00404C66"/>
    <w:rsid w:val="00404D04"/>
    <w:rsid w:val="00404DE7"/>
    <w:rsid w:val="00404F98"/>
    <w:rsid w:val="00404FD2"/>
    <w:rsid w:val="004050A8"/>
    <w:rsid w:val="00405294"/>
    <w:rsid w:val="004052BB"/>
    <w:rsid w:val="004052D8"/>
    <w:rsid w:val="0040539A"/>
    <w:rsid w:val="00405545"/>
    <w:rsid w:val="00405652"/>
    <w:rsid w:val="0040565B"/>
    <w:rsid w:val="0040570D"/>
    <w:rsid w:val="004058FD"/>
    <w:rsid w:val="0040597D"/>
    <w:rsid w:val="00405A89"/>
    <w:rsid w:val="00405D19"/>
    <w:rsid w:val="00405DA9"/>
    <w:rsid w:val="00405F1B"/>
    <w:rsid w:val="004060CE"/>
    <w:rsid w:val="00406549"/>
    <w:rsid w:val="00406AC0"/>
    <w:rsid w:val="00406BD8"/>
    <w:rsid w:val="0040726E"/>
    <w:rsid w:val="004072BD"/>
    <w:rsid w:val="0040739B"/>
    <w:rsid w:val="004077E0"/>
    <w:rsid w:val="00407889"/>
    <w:rsid w:val="00407946"/>
    <w:rsid w:val="00407AE0"/>
    <w:rsid w:val="00407E1F"/>
    <w:rsid w:val="00407E4D"/>
    <w:rsid w:val="00407E74"/>
    <w:rsid w:val="00407FDD"/>
    <w:rsid w:val="004100F6"/>
    <w:rsid w:val="00410116"/>
    <w:rsid w:val="004101CC"/>
    <w:rsid w:val="004101F9"/>
    <w:rsid w:val="00410351"/>
    <w:rsid w:val="0041051A"/>
    <w:rsid w:val="00410603"/>
    <w:rsid w:val="0041063A"/>
    <w:rsid w:val="0041069B"/>
    <w:rsid w:val="00410710"/>
    <w:rsid w:val="004109D7"/>
    <w:rsid w:val="004109D8"/>
    <w:rsid w:val="00410B62"/>
    <w:rsid w:val="00410C36"/>
    <w:rsid w:val="00410DBC"/>
    <w:rsid w:val="00410E37"/>
    <w:rsid w:val="00410E4F"/>
    <w:rsid w:val="00410ECD"/>
    <w:rsid w:val="00411104"/>
    <w:rsid w:val="00411196"/>
    <w:rsid w:val="00411821"/>
    <w:rsid w:val="0041192D"/>
    <w:rsid w:val="00411B00"/>
    <w:rsid w:val="00411D2E"/>
    <w:rsid w:val="00411D30"/>
    <w:rsid w:val="00411D45"/>
    <w:rsid w:val="00411EB6"/>
    <w:rsid w:val="00411F92"/>
    <w:rsid w:val="0041220C"/>
    <w:rsid w:val="004125B7"/>
    <w:rsid w:val="0041273E"/>
    <w:rsid w:val="0041288C"/>
    <w:rsid w:val="004128ED"/>
    <w:rsid w:val="00412990"/>
    <w:rsid w:val="004129DA"/>
    <w:rsid w:val="00412A61"/>
    <w:rsid w:val="00412E21"/>
    <w:rsid w:val="00412E6C"/>
    <w:rsid w:val="0041321C"/>
    <w:rsid w:val="00413771"/>
    <w:rsid w:val="004139B4"/>
    <w:rsid w:val="004139D0"/>
    <w:rsid w:val="00413B2C"/>
    <w:rsid w:val="00413C0C"/>
    <w:rsid w:val="00413C52"/>
    <w:rsid w:val="00414236"/>
    <w:rsid w:val="0041429C"/>
    <w:rsid w:val="004142A5"/>
    <w:rsid w:val="00414320"/>
    <w:rsid w:val="004144BD"/>
    <w:rsid w:val="00414517"/>
    <w:rsid w:val="0041458F"/>
    <w:rsid w:val="004145A4"/>
    <w:rsid w:val="00414665"/>
    <w:rsid w:val="00414669"/>
    <w:rsid w:val="004147C8"/>
    <w:rsid w:val="004148D3"/>
    <w:rsid w:val="00414C36"/>
    <w:rsid w:val="00414F5A"/>
    <w:rsid w:val="00414F6C"/>
    <w:rsid w:val="00414F80"/>
    <w:rsid w:val="00414F8E"/>
    <w:rsid w:val="004150C1"/>
    <w:rsid w:val="004154D4"/>
    <w:rsid w:val="004155D5"/>
    <w:rsid w:val="004156A5"/>
    <w:rsid w:val="00415806"/>
    <w:rsid w:val="004158B7"/>
    <w:rsid w:val="004158BD"/>
    <w:rsid w:val="004158D1"/>
    <w:rsid w:val="00415A1B"/>
    <w:rsid w:val="00415C50"/>
    <w:rsid w:val="00415D50"/>
    <w:rsid w:val="00415E18"/>
    <w:rsid w:val="00415E9C"/>
    <w:rsid w:val="00415EF3"/>
    <w:rsid w:val="00415F25"/>
    <w:rsid w:val="00415F2E"/>
    <w:rsid w:val="00416152"/>
    <w:rsid w:val="004161A5"/>
    <w:rsid w:val="004162AF"/>
    <w:rsid w:val="00416333"/>
    <w:rsid w:val="00416468"/>
    <w:rsid w:val="004166E6"/>
    <w:rsid w:val="0041673E"/>
    <w:rsid w:val="004167AB"/>
    <w:rsid w:val="00416850"/>
    <w:rsid w:val="00416C26"/>
    <w:rsid w:val="00416CFC"/>
    <w:rsid w:val="00416D9F"/>
    <w:rsid w:val="00416FF0"/>
    <w:rsid w:val="004170A9"/>
    <w:rsid w:val="00417203"/>
    <w:rsid w:val="004172F7"/>
    <w:rsid w:val="0041748E"/>
    <w:rsid w:val="004177AF"/>
    <w:rsid w:val="004177D4"/>
    <w:rsid w:val="00417837"/>
    <w:rsid w:val="00417A19"/>
    <w:rsid w:val="00417A87"/>
    <w:rsid w:val="00417C3E"/>
    <w:rsid w:val="00417C69"/>
    <w:rsid w:val="00417F81"/>
    <w:rsid w:val="00417FF7"/>
    <w:rsid w:val="00420142"/>
    <w:rsid w:val="00420283"/>
    <w:rsid w:val="004202F7"/>
    <w:rsid w:val="00420324"/>
    <w:rsid w:val="004203D3"/>
    <w:rsid w:val="00420599"/>
    <w:rsid w:val="004205D1"/>
    <w:rsid w:val="004205F0"/>
    <w:rsid w:val="00420623"/>
    <w:rsid w:val="0042065E"/>
    <w:rsid w:val="004206DD"/>
    <w:rsid w:val="004206EE"/>
    <w:rsid w:val="004206F2"/>
    <w:rsid w:val="00420710"/>
    <w:rsid w:val="00420787"/>
    <w:rsid w:val="00420831"/>
    <w:rsid w:val="004208F6"/>
    <w:rsid w:val="0042094B"/>
    <w:rsid w:val="00420BB7"/>
    <w:rsid w:val="00420C6F"/>
    <w:rsid w:val="00420D47"/>
    <w:rsid w:val="00420E17"/>
    <w:rsid w:val="00420EB2"/>
    <w:rsid w:val="00420F8C"/>
    <w:rsid w:val="004213CE"/>
    <w:rsid w:val="00421475"/>
    <w:rsid w:val="00421796"/>
    <w:rsid w:val="004217A5"/>
    <w:rsid w:val="004218C6"/>
    <w:rsid w:val="00421C02"/>
    <w:rsid w:val="00421C2E"/>
    <w:rsid w:val="00421CE0"/>
    <w:rsid w:val="00421FB9"/>
    <w:rsid w:val="00422083"/>
    <w:rsid w:val="0042220E"/>
    <w:rsid w:val="00422239"/>
    <w:rsid w:val="004223B7"/>
    <w:rsid w:val="0042251E"/>
    <w:rsid w:val="004225F9"/>
    <w:rsid w:val="004227F0"/>
    <w:rsid w:val="004228D4"/>
    <w:rsid w:val="00422E3E"/>
    <w:rsid w:val="00422FC9"/>
    <w:rsid w:val="004230D3"/>
    <w:rsid w:val="004233B2"/>
    <w:rsid w:val="0042340F"/>
    <w:rsid w:val="00423601"/>
    <w:rsid w:val="00423621"/>
    <w:rsid w:val="00423803"/>
    <w:rsid w:val="004239FC"/>
    <w:rsid w:val="00423AA5"/>
    <w:rsid w:val="00423C8C"/>
    <w:rsid w:val="00423CEA"/>
    <w:rsid w:val="00423DA7"/>
    <w:rsid w:val="00423E85"/>
    <w:rsid w:val="00423F02"/>
    <w:rsid w:val="00424154"/>
    <w:rsid w:val="004241CB"/>
    <w:rsid w:val="0042426D"/>
    <w:rsid w:val="0042432A"/>
    <w:rsid w:val="00424333"/>
    <w:rsid w:val="00424543"/>
    <w:rsid w:val="004245D6"/>
    <w:rsid w:val="00424618"/>
    <w:rsid w:val="004246E1"/>
    <w:rsid w:val="00424822"/>
    <w:rsid w:val="004248DA"/>
    <w:rsid w:val="00424E11"/>
    <w:rsid w:val="00424E96"/>
    <w:rsid w:val="004253A9"/>
    <w:rsid w:val="004253DE"/>
    <w:rsid w:val="004253EF"/>
    <w:rsid w:val="0042560E"/>
    <w:rsid w:val="004258FD"/>
    <w:rsid w:val="00425AC6"/>
    <w:rsid w:val="00425B0D"/>
    <w:rsid w:val="00425D87"/>
    <w:rsid w:val="00425F0B"/>
    <w:rsid w:val="004262C6"/>
    <w:rsid w:val="00426305"/>
    <w:rsid w:val="0042662B"/>
    <w:rsid w:val="00426AB6"/>
    <w:rsid w:val="00426AC9"/>
    <w:rsid w:val="00426EEC"/>
    <w:rsid w:val="004272B0"/>
    <w:rsid w:val="004272F6"/>
    <w:rsid w:val="00427466"/>
    <w:rsid w:val="004275DC"/>
    <w:rsid w:val="0042762C"/>
    <w:rsid w:val="00427674"/>
    <w:rsid w:val="00427685"/>
    <w:rsid w:val="004276A2"/>
    <w:rsid w:val="004276C1"/>
    <w:rsid w:val="0042797B"/>
    <w:rsid w:val="00427A33"/>
    <w:rsid w:val="00427ABB"/>
    <w:rsid w:val="00427D1F"/>
    <w:rsid w:val="00427DFA"/>
    <w:rsid w:val="00427E6E"/>
    <w:rsid w:val="00427EB3"/>
    <w:rsid w:val="00430091"/>
    <w:rsid w:val="004300BE"/>
    <w:rsid w:val="004301CF"/>
    <w:rsid w:val="0043020F"/>
    <w:rsid w:val="004302E2"/>
    <w:rsid w:val="0043032D"/>
    <w:rsid w:val="00430498"/>
    <w:rsid w:val="00430719"/>
    <w:rsid w:val="004307A8"/>
    <w:rsid w:val="004307F0"/>
    <w:rsid w:val="00430939"/>
    <w:rsid w:val="0043098C"/>
    <w:rsid w:val="00430B80"/>
    <w:rsid w:val="00430BB9"/>
    <w:rsid w:val="00430C0E"/>
    <w:rsid w:val="00430C47"/>
    <w:rsid w:val="00430C73"/>
    <w:rsid w:val="00430CB9"/>
    <w:rsid w:val="00430F1C"/>
    <w:rsid w:val="00430F3B"/>
    <w:rsid w:val="00431006"/>
    <w:rsid w:val="00431124"/>
    <w:rsid w:val="004311A8"/>
    <w:rsid w:val="00431258"/>
    <w:rsid w:val="004312D3"/>
    <w:rsid w:val="004312E3"/>
    <w:rsid w:val="00431661"/>
    <w:rsid w:val="004317A3"/>
    <w:rsid w:val="004318CB"/>
    <w:rsid w:val="004319C6"/>
    <w:rsid w:val="00431ABF"/>
    <w:rsid w:val="00431BF2"/>
    <w:rsid w:val="00431C57"/>
    <w:rsid w:val="00431CD3"/>
    <w:rsid w:val="00431E6D"/>
    <w:rsid w:val="00431F05"/>
    <w:rsid w:val="00431FD4"/>
    <w:rsid w:val="00431FDC"/>
    <w:rsid w:val="00431FFE"/>
    <w:rsid w:val="00432148"/>
    <w:rsid w:val="00432218"/>
    <w:rsid w:val="00432698"/>
    <w:rsid w:val="0043272A"/>
    <w:rsid w:val="00432766"/>
    <w:rsid w:val="0043279B"/>
    <w:rsid w:val="004327B7"/>
    <w:rsid w:val="004327D3"/>
    <w:rsid w:val="00432968"/>
    <w:rsid w:val="00432E19"/>
    <w:rsid w:val="00432F98"/>
    <w:rsid w:val="00432FE5"/>
    <w:rsid w:val="00433314"/>
    <w:rsid w:val="0043331C"/>
    <w:rsid w:val="00433438"/>
    <w:rsid w:val="0043359A"/>
    <w:rsid w:val="0043360D"/>
    <w:rsid w:val="004336E3"/>
    <w:rsid w:val="00433994"/>
    <w:rsid w:val="004339E3"/>
    <w:rsid w:val="00433A54"/>
    <w:rsid w:val="00433B88"/>
    <w:rsid w:val="00433BB6"/>
    <w:rsid w:val="00433EEE"/>
    <w:rsid w:val="00433F05"/>
    <w:rsid w:val="004340D8"/>
    <w:rsid w:val="00434125"/>
    <w:rsid w:val="00434206"/>
    <w:rsid w:val="0043452E"/>
    <w:rsid w:val="00434618"/>
    <w:rsid w:val="00434799"/>
    <w:rsid w:val="004347F9"/>
    <w:rsid w:val="004348FF"/>
    <w:rsid w:val="0043498F"/>
    <w:rsid w:val="00434A58"/>
    <w:rsid w:val="00434AEB"/>
    <w:rsid w:val="00434B34"/>
    <w:rsid w:val="00434B6C"/>
    <w:rsid w:val="00434B88"/>
    <w:rsid w:val="00434CDB"/>
    <w:rsid w:val="00434D33"/>
    <w:rsid w:val="00434E76"/>
    <w:rsid w:val="00435125"/>
    <w:rsid w:val="004352D3"/>
    <w:rsid w:val="0043530F"/>
    <w:rsid w:val="00435465"/>
    <w:rsid w:val="004355EB"/>
    <w:rsid w:val="0043569F"/>
    <w:rsid w:val="004358D3"/>
    <w:rsid w:val="0043595D"/>
    <w:rsid w:val="00435BDE"/>
    <w:rsid w:val="00435BE2"/>
    <w:rsid w:val="00435C8A"/>
    <w:rsid w:val="00435DB6"/>
    <w:rsid w:val="00435EF9"/>
    <w:rsid w:val="00435F20"/>
    <w:rsid w:val="00435F5F"/>
    <w:rsid w:val="00435FA3"/>
    <w:rsid w:val="00435FAB"/>
    <w:rsid w:val="004360A2"/>
    <w:rsid w:val="00436175"/>
    <w:rsid w:val="004362B7"/>
    <w:rsid w:val="004366DC"/>
    <w:rsid w:val="0043688F"/>
    <w:rsid w:val="004368BA"/>
    <w:rsid w:val="00436948"/>
    <w:rsid w:val="004369C3"/>
    <w:rsid w:val="00436BB4"/>
    <w:rsid w:val="00436BFD"/>
    <w:rsid w:val="00436E89"/>
    <w:rsid w:val="0043711E"/>
    <w:rsid w:val="004371E1"/>
    <w:rsid w:val="004376CE"/>
    <w:rsid w:val="00437D37"/>
    <w:rsid w:val="00440254"/>
    <w:rsid w:val="0044056C"/>
    <w:rsid w:val="00440868"/>
    <w:rsid w:val="004408E0"/>
    <w:rsid w:val="0044099A"/>
    <w:rsid w:val="00440CE4"/>
    <w:rsid w:val="0044116D"/>
    <w:rsid w:val="004412CA"/>
    <w:rsid w:val="00441417"/>
    <w:rsid w:val="0044148A"/>
    <w:rsid w:val="004415AF"/>
    <w:rsid w:val="0044169A"/>
    <w:rsid w:val="004418B2"/>
    <w:rsid w:val="004419FF"/>
    <w:rsid w:val="00441A9F"/>
    <w:rsid w:val="00441B48"/>
    <w:rsid w:val="00441C0C"/>
    <w:rsid w:val="00441C82"/>
    <w:rsid w:val="00441F4C"/>
    <w:rsid w:val="004421CB"/>
    <w:rsid w:val="004421DB"/>
    <w:rsid w:val="004422BF"/>
    <w:rsid w:val="004422EA"/>
    <w:rsid w:val="004423C0"/>
    <w:rsid w:val="004423EE"/>
    <w:rsid w:val="00442470"/>
    <w:rsid w:val="004425ED"/>
    <w:rsid w:val="00442600"/>
    <w:rsid w:val="0044297D"/>
    <w:rsid w:val="00442A20"/>
    <w:rsid w:val="00442C6C"/>
    <w:rsid w:val="00442C85"/>
    <w:rsid w:val="00442F05"/>
    <w:rsid w:val="00442F3E"/>
    <w:rsid w:val="00442FA4"/>
    <w:rsid w:val="00443265"/>
    <w:rsid w:val="0044355B"/>
    <w:rsid w:val="004435C1"/>
    <w:rsid w:val="00443A65"/>
    <w:rsid w:val="00443C63"/>
    <w:rsid w:val="00443DD1"/>
    <w:rsid w:val="00443F8D"/>
    <w:rsid w:val="004440F4"/>
    <w:rsid w:val="00444151"/>
    <w:rsid w:val="0044433B"/>
    <w:rsid w:val="004445CB"/>
    <w:rsid w:val="00444666"/>
    <w:rsid w:val="004446B2"/>
    <w:rsid w:val="004447FF"/>
    <w:rsid w:val="004448AE"/>
    <w:rsid w:val="00444A8E"/>
    <w:rsid w:val="00444AFC"/>
    <w:rsid w:val="00444BE0"/>
    <w:rsid w:val="00444F63"/>
    <w:rsid w:val="00445259"/>
    <w:rsid w:val="0044537A"/>
    <w:rsid w:val="004454E2"/>
    <w:rsid w:val="00445523"/>
    <w:rsid w:val="004455DF"/>
    <w:rsid w:val="00445877"/>
    <w:rsid w:val="004458DE"/>
    <w:rsid w:val="00445ACE"/>
    <w:rsid w:val="00445BCB"/>
    <w:rsid w:val="00445C7D"/>
    <w:rsid w:val="00445EDD"/>
    <w:rsid w:val="00445EFC"/>
    <w:rsid w:val="00445F7E"/>
    <w:rsid w:val="00445FD4"/>
    <w:rsid w:val="0044652A"/>
    <w:rsid w:val="004465AE"/>
    <w:rsid w:val="0044674B"/>
    <w:rsid w:val="00446782"/>
    <w:rsid w:val="0044679A"/>
    <w:rsid w:val="00446864"/>
    <w:rsid w:val="00446E74"/>
    <w:rsid w:val="00447186"/>
    <w:rsid w:val="004472B4"/>
    <w:rsid w:val="00447500"/>
    <w:rsid w:val="0044757F"/>
    <w:rsid w:val="0044791A"/>
    <w:rsid w:val="00447B24"/>
    <w:rsid w:val="00447C93"/>
    <w:rsid w:val="00447DAB"/>
    <w:rsid w:val="00447DBD"/>
    <w:rsid w:val="00447EDA"/>
    <w:rsid w:val="00447EDD"/>
    <w:rsid w:val="00447F89"/>
    <w:rsid w:val="00450234"/>
    <w:rsid w:val="00450274"/>
    <w:rsid w:val="0045045D"/>
    <w:rsid w:val="00450659"/>
    <w:rsid w:val="00450A42"/>
    <w:rsid w:val="00450BFE"/>
    <w:rsid w:val="00450D08"/>
    <w:rsid w:val="00450D3D"/>
    <w:rsid w:val="00450EC1"/>
    <w:rsid w:val="00450F69"/>
    <w:rsid w:val="00451004"/>
    <w:rsid w:val="0045116D"/>
    <w:rsid w:val="004512E8"/>
    <w:rsid w:val="00451484"/>
    <w:rsid w:val="00451695"/>
    <w:rsid w:val="004516CC"/>
    <w:rsid w:val="0045171C"/>
    <w:rsid w:val="004518EF"/>
    <w:rsid w:val="00451C75"/>
    <w:rsid w:val="00451C7F"/>
    <w:rsid w:val="00451D47"/>
    <w:rsid w:val="00451D81"/>
    <w:rsid w:val="004521EA"/>
    <w:rsid w:val="004523DA"/>
    <w:rsid w:val="00452A33"/>
    <w:rsid w:val="00452A6F"/>
    <w:rsid w:val="00452B24"/>
    <w:rsid w:val="00452B94"/>
    <w:rsid w:val="00452BE6"/>
    <w:rsid w:val="00452C91"/>
    <w:rsid w:val="00452E15"/>
    <w:rsid w:val="004530DE"/>
    <w:rsid w:val="004530EB"/>
    <w:rsid w:val="00453119"/>
    <w:rsid w:val="00453128"/>
    <w:rsid w:val="00453288"/>
    <w:rsid w:val="0045334E"/>
    <w:rsid w:val="00453413"/>
    <w:rsid w:val="00453506"/>
    <w:rsid w:val="0045351E"/>
    <w:rsid w:val="004535D5"/>
    <w:rsid w:val="0045372C"/>
    <w:rsid w:val="00453A63"/>
    <w:rsid w:val="00453B8C"/>
    <w:rsid w:val="00453F76"/>
    <w:rsid w:val="00454040"/>
    <w:rsid w:val="00454354"/>
    <w:rsid w:val="004543F9"/>
    <w:rsid w:val="00454596"/>
    <w:rsid w:val="0045463C"/>
    <w:rsid w:val="0045474B"/>
    <w:rsid w:val="00454A47"/>
    <w:rsid w:val="00454AFD"/>
    <w:rsid w:val="00454C18"/>
    <w:rsid w:val="00455102"/>
    <w:rsid w:val="004552F0"/>
    <w:rsid w:val="0045561B"/>
    <w:rsid w:val="00455655"/>
    <w:rsid w:val="0045574F"/>
    <w:rsid w:val="004558B8"/>
    <w:rsid w:val="00455943"/>
    <w:rsid w:val="00455A60"/>
    <w:rsid w:val="00455C24"/>
    <w:rsid w:val="00455C7C"/>
    <w:rsid w:val="00455DCF"/>
    <w:rsid w:val="00455ED8"/>
    <w:rsid w:val="00455FE3"/>
    <w:rsid w:val="00456312"/>
    <w:rsid w:val="004564BD"/>
    <w:rsid w:val="004566CA"/>
    <w:rsid w:val="0045674E"/>
    <w:rsid w:val="0045676E"/>
    <w:rsid w:val="004567A1"/>
    <w:rsid w:val="00456851"/>
    <w:rsid w:val="00456874"/>
    <w:rsid w:val="004569B0"/>
    <w:rsid w:val="00456B06"/>
    <w:rsid w:val="00456E55"/>
    <w:rsid w:val="004570E4"/>
    <w:rsid w:val="0045740A"/>
    <w:rsid w:val="00457963"/>
    <w:rsid w:val="00457A86"/>
    <w:rsid w:val="00457FCA"/>
    <w:rsid w:val="00457FCB"/>
    <w:rsid w:val="00460130"/>
    <w:rsid w:val="004601EA"/>
    <w:rsid w:val="00460205"/>
    <w:rsid w:val="004603AB"/>
    <w:rsid w:val="004605AC"/>
    <w:rsid w:val="004606AE"/>
    <w:rsid w:val="004607D5"/>
    <w:rsid w:val="004608AF"/>
    <w:rsid w:val="004609AB"/>
    <w:rsid w:val="00460A3E"/>
    <w:rsid w:val="00460A7A"/>
    <w:rsid w:val="00460B5E"/>
    <w:rsid w:val="00460D55"/>
    <w:rsid w:val="00460DC9"/>
    <w:rsid w:val="00460F15"/>
    <w:rsid w:val="00460FAB"/>
    <w:rsid w:val="004610C9"/>
    <w:rsid w:val="0046117B"/>
    <w:rsid w:val="004611C1"/>
    <w:rsid w:val="0046129F"/>
    <w:rsid w:val="00461425"/>
    <w:rsid w:val="004614EA"/>
    <w:rsid w:val="00461525"/>
    <w:rsid w:val="004615F5"/>
    <w:rsid w:val="0046161C"/>
    <w:rsid w:val="0046161F"/>
    <w:rsid w:val="00461776"/>
    <w:rsid w:val="004617F1"/>
    <w:rsid w:val="00461808"/>
    <w:rsid w:val="00461878"/>
    <w:rsid w:val="00461951"/>
    <w:rsid w:val="00461BEF"/>
    <w:rsid w:val="00462025"/>
    <w:rsid w:val="00462038"/>
    <w:rsid w:val="004620C1"/>
    <w:rsid w:val="004622A0"/>
    <w:rsid w:val="0046233E"/>
    <w:rsid w:val="0046239B"/>
    <w:rsid w:val="0046256C"/>
    <w:rsid w:val="004627CE"/>
    <w:rsid w:val="0046294B"/>
    <w:rsid w:val="00462A09"/>
    <w:rsid w:val="00462E14"/>
    <w:rsid w:val="00462E41"/>
    <w:rsid w:val="00462E89"/>
    <w:rsid w:val="00463122"/>
    <w:rsid w:val="00463152"/>
    <w:rsid w:val="0046328C"/>
    <w:rsid w:val="00463475"/>
    <w:rsid w:val="004634ED"/>
    <w:rsid w:val="00463564"/>
    <w:rsid w:val="004635E8"/>
    <w:rsid w:val="004636D1"/>
    <w:rsid w:val="00463774"/>
    <w:rsid w:val="0046381D"/>
    <w:rsid w:val="0046387B"/>
    <w:rsid w:val="00463967"/>
    <w:rsid w:val="00463CAA"/>
    <w:rsid w:val="00463DEB"/>
    <w:rsid w:val="00463E5C"/>
    <w:rsid w:val="00464034"/>
    <w:rsid w:val="0046406B"/>
    <w:rsid w:val="00464158"/>
    <w:rsid w:val="00464178"/>
    <w:rsid w:val="004642A5"/>
    <w:rsid w:val="0046430C"/>
    <w:rsid w:val="0046438E"/>
    <w:rsid w:val="00464392"/>
    <w:rsid w:val="004647B7"/>
    <w:rsid w:val="004648B4"/>
    <w:rsid w:val="004648CA"/>
    <w:rsid w:val="004648EA"/>
    <w:rsid w:val="00464C1E"/>
    <w:rsid w:val="00464D9A"/>
    <w:rsid w:val="00464DFB"/>
    <w:rsid w:val="00464FF5"/>
    <w:rsid w:val="004651B4"/>
    <w:rsid w:val="004651B7"/>
    <w:rsid w:val="0046526A"/>
    <w:rsid w:val="0046527A"/>
    <w:rsid w:val="004653D0"/>
    <w:rsid w:val="004654B6"/>
    <w:rsid w:val="004654B8"/>
    <w:rsid w:val="00465564"/>
    <w:rsid w:val="0046556E"/>
    <w:rsid w:val="00465728"/>
    <w:rsid w:val="004658C2"/>
    <w:rsid w:val="004658ED"/>
    <w:rsid w:val="00465A96"/>
    <w:rsid w:val="00465ADB"/>
    <w:rsid w:val="00465D5A"/>
    <w:rsid w:val="00465DCE"/>
    <w:rsid w:val="00465E97"/>
    <w:rsid w:val="0046649E"/>
    <w:rsid w:val="004667CC"/>
    <w:rsid w:val="00466AA1"/>
    <w:rsid w:val="00466DC4"/>
    <w:rsid w:val="00466EA1"/>
    <w:rsid w:val="004670DC"/>
    <w:rsid w:val="004670EE"/>
    <w:rsid w:val="00467A51"/>
    <w:rsid w:val="00467B92"/>
    <w:rsid w:val="00467CCE"/>
    <w:rsid w:val="00467D37"/>
    <w:rsid w:val="00467E5D"/>
    <w:rsid w:val="00467FBE"/>
    <w:rsid w:val="004700C1"/>
    <w:rsid w:val="00470145"/>
    <w:rsid w:val="004701DD"/>
    <w:rsid w:val="004701E3"/>
    <w:rsid w:val="00470363"/>
    <w:rsid w:val="004703B7"/>
    <w:rsid w:val="00470425"/>
    <w:rsid w:val="0047056F"/>
    <w:rsid w:val="00470855"/>
    <w:rsid w:val="0047086D"/>
    <w:rsid w:val="00470951"/>
    <w:rsid w:val="0047097B"/>
    <w:rsid w:val="004709C6"/>
    <w:rsid w:val="004709D3"/>
    <w:rsid w:val="00470A03"/>
    <w:rsid w:val="00470C39"/>
    <w:rsid w:val="00470D58"/>
    <w:rsid w:val="00470E24"/>
    <w:rsid w:val="00470E30"/>
    <w:rsid w:val="004710DC"/>
    <w:rsid w:val="00471248"/>
    <w:rsid w:val="00471290"/>
    <w:rsid w:val="00471470"/>
    <w:rsid w:val="004714A9"/>
    <w:rsid w:val="004716A3"/>
    <w:rsid w:val="004719ED"/>
    <w:rsid w:val="00472076"/>
    <w:rsid w:val="00472150"/>
    <w:rsid w:val="0047221E"/>
    <w:rsid w:val="0047222C"/>
    <w:rsid w:val="00472277"/>
    <w:rsid w:val="0047231D"/>
    <w:rsid w:val="00472369"/>
    <w:rsid w:val="004723FA"/>
    <w:rsid w:val="00472508"/>
    <w:rsid w:val="004725BC"/>
    <w:rsid w:val="00472677"/>
    <w:rsid w:val="00472740"/>
    <w:rsid w:val="00472830"/>
    <w:rsid w:val="00472963"/>
    <w:rsid w:val="004729E3"/>
    <w:rsid w:val="00472B2A"/>
    <w:rsid w:val="00472CB9"/>
    <w:rsid w:val="00472E85"/>
    <w:rsid w:val="00472E94"/>
    <w:rsid w:val="00472EB5"/>
    <w:rsid w:val="00472ED5"/>
    <w:rsid w:val="00472F35"/>
    <w:rsid w:val="00473122"/>
    <w:rsid w:val="00473321"/>
    <w:rsid w:val="004734CC"/>
    <w:rsid w:val="00473635"/>
    <w:rsid w:val="004736B9"/>
    <w:rsid w:val="0047386F"/>
    <w:rsid w:val="004739BC"/>
    <w:rsid w:val="00473AA1"/>
    <w:rsid w:val="00473BBF"/>
    <w:rsid w:val="00473CC8"/>
    <w:rsid w:val="00473D7D"/>
    <w:rsid w:val="00473E43"/>
    <w:rsid w:val="0047403E"/>
    <w:rsid w:val="00474384"/>
    <w:rsid w:val="004743B7"/>
    <w:rsid w:val="00474474"/>
    <w:rsid w:val="004744B6"/>
    <w:rsid w:val="004746D6"/>
    <w:rsid w:val="0047488D"/>
    <w:rsid w:val="0047494A"/>
    <w:rsid w:val="00474AAD"/>
    <w:rsid w:val="00474AF9"/>
    <w:rsid w:val="00474B4F"/>
    <w:rsid w:val="00474D0F"/>
    <w:rsid w:val="00474D19"/>
    <w:rsid w:val="00474D50"/>
    <w:rsid w:val="00474D6A"/>
    <w:rsid w:val="00474FD7"/>
    <w:rsid w:val="0047550B"/>
    <w:rsid w:val="004755DB"/>
    <w:rsid w:val="004756FC"/>
    <w:rsid w:val="004759F7"/>
    <w:rsid w:val="00475AA6"/>
    <w:rsid w:val="00475AE2"/>
    <w:rsid w:val="00475BD3"/>
    <w:rsid w:val="00475D52"/>
    <w:rsid w:val="0047615A"/>
    <w:rsid w:val="0047620D"/>
    <w:rsid w:val="00476261"/>
    <w:rsid w:val="004763CD"/>
    <w:rsid w:val="0047654E"/>
    <w:rsid w:val="004767F0"/>
    <w:rsid w:val="00476930"/>
    <w:rsid w:val="00476AAA"/>
    <w:rsid w:val="00476B13"/>
    <w:rsid w:val="00476BF2"/>
    <w:rsid w:val="00476D1D"/>
    <w:rsid w:val="00476E74"/>
    <w:rsid w:val="00477083"/>
    <w:rsid w:val="00477084"/>
    <w:rsid w:val="00477111"/>
    <w:rsid w:val="00477188"/>
    <w:rsid w:val="004772FF"/>
    <w:rsid w:val="004773C7"/>
    <w:rsid w:val="004773D4"/>
    <w:rsid w:val="0047746E"/>
    <w:rsid w:val="004776DA"/>
    <w:rsid w:val="004776F9"/>
    <w:rsid w:val="00477725"/>
    <w:rsid w:val="004777A6"/>
    <w:rsid w:val="00477A24"/>
    <w:rsid w:val="00477A57"/>
    <w:rsid w:val="00477AA4"/>
    <w:rsid w:val="00477C94"/>
    <w:rsid w:val="00477D1F"/>
    <w:rsid w:val="00477EDD"/>
    <w:rsid w:val="00477F05"/>
    <w:rsid w:val="00477FD9"/>
    <w:rsid w:val="004800CA"/>
    <w:rsid w:val="004800D4"/>
    <w:rsid w:val="00480173"/>
    <w:rsid w:val="0048019E"/>
    <w:rsid w:val="004801B3"/>
    <w:rsid w:val="004803F7"/>
    <w:rsid w:val="00480436"/>
    <w:rsid w:val="00480845"/>
    <w:rsid w:val="004809E9"/>
    <w:rsid w:val="00480B24"/>
    <w:rsid w:val="00480C40"/>
    <w:rsid w:val="00480C77"/>
    <w:rsid w:val="00480CC2"/>
    <w:rsid w:val="00480D22"/>
    <w:rsid w:val="00480F72"/>
    <w:rsid w:val="00480FB1"/>
    <w:rsid w:val="00480FF9"/>
    <w:rsid w:val="00481025"/>
    <w:rsid w:val="00481316"/>
    <w:rsid w:val="00481335"/>
    <w:rsid w:val="004814B5"/>
    <w:rsid w:val="004814F9"/>
    <w:rsid w:val="004819CC"/>
    <w:rsid w:val="00481A57"/>
    <w:rsid w:val="00481BC3"/>
    <w:rsid w:val="00481C85"/>
    <w:rsid w:val="00481CE0"/>
    <w:rsid w:val="00481D01"/>
    <w:rsid w:val="00481E7D"/>
    <w:rsid w:val="00481EFC"/>
    <w:rsid w:val="00481F2E"/>
    <w:rsid w:val="0048200E"/>
    <w:rsid w:val="004821A5"/>
    <w:rsid w:val="00482234"/>
    <w:rsid w:val="004823EA"/>
    <w:rsid w:val="004829E3"/>
    <w:rsid w:val="00482A5C"/>
    <w:rsid w:val="00482C20"/>
    <w:rsid w:val="00482C21"/>
    <w:rsid w:val="00482DAA"/>
    <w:rsid w:val="00482E04"/>
    <w:rsid w:val="00482EFC"/>
    <w:rsid w:val="00483071"/>
    <w:rsid w:val="00483078"/>
    <w:rsid w:val="00483102"/>
    <w:rsid w:val="004831D0"/>
    <w:rsid w:val="004831F3"/>
    <w:rsid w:val="00483381"/>
    <w:rsid w:val="004836A9"/>
    <w:rsid w:val="00483AD8"/>
    <w:rsid w:val="00483AE2"/>
    <w:rsid w:val="00483BFD"/>
    <w:rsid w:val="00483D02"/>
    <w:rsid w:val="00483D21"/>
    <w:rsid w:val="00483D2F"/>
    <w:rsid w:val="00483DA8"/>
    <w:rsid w:val="00483E5A"/>
    <w:rsid w:val="00483FCE"/>
    <w:rsid w:val="004840AE"/>
    <w:rsid w:val="004840D0"/>
    <w:rsid w:val="0048411C"/>
    <w:rsid w:val="004842FE"/>
    <w:rsid w:val="00484344"/>
    <w:rsid w:val="00484524"/>
    <w:rsid w:val="0048463D"/>
    <w:rsid w:val="0048488C"/>
    <w:rsid w:val="00484990"/>
    <w:rsid w:val="00484AB0"/>
    <w:rsid w:val="00484AF9"/>
    <w:rsid w:val="00484B58"/>
    <w:rsid w:val="00484DF3"/>
    <w:rsid w:val="00484DF7"/>
    <w:rsid w:val="00484E21"/>
    <w:rsid w:val="00484F05"/>
    <w:rsid w:val="00484FDB"/>
    <w:rsid w:val="004852D4"/>
    <w:rsid w:val="0048531D"/>
    <w:rsid w:val="00485492"/>
    <w:rsid w:val="00485563"/>
    <w:rsid w:val="00485643"/>
    <w:rsid w:val="004856F3"/>
    <w:rsid w:val="00485ACE"/>
    <w:rsid w:val="00485C07"/>
    <w:rsid w:val="00485C34"/>
    <w:rsid w:val="00485CC3"/>
    <w:rsid w:val="004860E2"/>
    <w:rsid w:val="004863CF"/>
    <w:rsid w:val="004863DE"/>
    <w:rsid w:val="004866C8"/>
    <w:rsid w:val="00486741"/>
    <w:rsid w:val="004867C8"/>
    <w:rsid w:val="0048686C"/>
    <w:rsid w:val="004868E4"/>
    <w:rsid w:val="00486A0C"/>
    <w:rsid w:val="00486A35"/>
    <w:rsid w:val="00486E34"/>
    <w:rsid w:val="0048718C"/>
    <w:rsid w:val="004871D0"/>
    <w:rsid w:val="004871FE"/>
    <w:rsid w:val="004872E3"/>
    <w:rsid w:val="00487451"/>
    <w:rsid w:val="00487465"/>
    <w:rsid w:val="0048755B"/>
    <w:rsid w:val="004875D5"/>
    <w:rsid w:val="00487725"/>
    <w:rsid w:val="004879A7"/>
    <w:rsid w:val="00487BAD"/>
    <w:rsid w:val="00487D89"/>
    <w:rsid w:val="00487EC2"/>
    <w:rsid w:val="00487FB2"/>
    <w:rsid w:val="0049030F"/>
    <w:rsid w:val="00490522"/>
    <w:rsid w:val="0049052B"/>
    <w:rsid w:val="0049059E"/>
    <w:rsid w:val="004905BC"/>
    <w:rsid w:val="004905C4"/>
    <w:rsid w:val="00490675"/>
    <w:rsid w:val="00490798"/>
    <w:rsid w:val="00490940"/>
    <w:rsid w:val="004909EC"/>
    <w:rsid w:val="00490A1B"/>
    <w:rsid w:val="00490A3A"/>
    <w:rsid w:val="00490A3B"/>
    <w:rsid w:val="00490AFB"/>
    <w:rsid w:val="00490C37"/>
    <w:rsid w:val="00490D39"/>
    <w:rsid w:val="00490E6D"/>
    <w:rsid w:val="00490EEC"/>
    <w:rsid w:val="0049107F"/>
    <w:rsid w:val="004910D5"/>
    <w:rsid w:val="00491101"/>
    <w:rsid w:val="0049118B"/>
    <w:rsid w:val="00491460"/>
    <w:rsid w:val="004915F5"/>
    <w:rsid w:val="00491631"/>
    <w:rsid w:val="0049163B"/>
    <w:rsid w:val="004917EF"/>
    <w:rsid w:val="00491A97"/>
    <w:rsid w:val="00491D42"/>
    <w:rsid w:val="00491D6C"/>
    <w:rsid w:val="00491DE3"/>
    <w:rsid w:val="00491EF8"/>
    <w:rsid w:val="004921CE"/>
    <w:rsid w:val="00492241"/>
    <w:rsid w:val="00492367"/>
    <w:rsid w:val="0049242B"/>
    <w:rsid w:val="0049254F"/>
    <w:rsid w:val="00492563"/>
    <w:rsid w:val="004925CC"/>
    <w:rsid w:val="0049260F"/>
    <w:rsid w:val="004926BC"/>
    <w:rsid w:val="004926D2"/>
    <w:rsid w:val="0049281C"/>
    <w:rsid w:val="00492994"/>
    <w:rsid w:val="00492AAF"/>
    <w:rsid w:val="00492AF5"/>
    <w:rsid w:val="00492B3C"/>
    <w:rsid w:val="00492C49"/>
    <w:rsid w:val="00492D43"/>
    <w:rsid w:val="00492D7C"/>
    <w:rsid w:val="00493047"/>
    <w:rsid w:val="0049327D"/>
    <w:rsid w:val="00493290"/>
    <w:rsid w:val="004932BF"/>
    <w:rsid w:val="004932C5"/>
    <w:rsid w:val="004933C2"/>
    <w:rsid w:val="00493432"/>
    <w:rsid w:val="004937A2"/>
    <w:rsid w:val="00493AE4"/>
    <w:rsid w:val="00493CEB"/>
    <w:rsid w:val="00493E75"/>
    <w:rsid w:val="00493EBD"/>
    <w:rsid w:val="004940D2"/>
    <w:rsid w:val="004941AB"/>
    <w:rsid w:val="004941B5"/>
    <w:rsid w:val="004941C7"/>
    <w:rsid w:val="0049420B"/>
    <w:rsid w:val="004942A7"/>
    <w:rsid w:val="004942FD"/>
    <w:rsid w:val="004943BD"/>
    <w:rsid w:val="0049461C"/>
    <w:rsid w:val="00494805"/>
    <w:rsid w:val="00494937"/>
    <w:rsid w:val="00494A53"/>
    <w:rsid w:val="00494A5B"/>
    <w:rsid w:val="00494AB0"/>
    <w:rsid w:val="00494ABF"/>
    <w:rsid w:val="00494AE1"/>
    <w:rsid w:val="00494B85"/>
    <w:rsid w:val="00494E6A"/>
    <w:rsid w:val="00494EED"/>
    <w:rsid w:val="00495015"/>
    <w:rsid w:val="0049513F"/>
    <w:rsid w:val="00495226"/>
    <w:rsid w:val="004952D2"/>
    <w:rsid w:val="00495596"/>
    <w:rsid w:val="004956A4"/>
    <w:rsid w:val="004956EF"/>
    <w:rsid w:val="004957B5"/>
    <w:rsid w:val="004957CE"/>
    <w:rsid w:val="00495803"/>
    <w:rsid w:val="00495942"/>
    <w:rsid w:val="00495969"/>
    <w:rsid w:val="00495C36"/>
    <w:rsid w:val="00495CE1"/>
    <w:rsid w:val="00495CE7"/>
    <w:rsid w:val="00495D06"/>
    <w:rsid w:val="00495DF3"/>
    <w:rsid w:val="00495F7A"/>
    <w:rsid w:val="00495F91"/>
    <w:rsid w:val="0049609C"/>
    <w:rsid w:val="0049617B"/>
    <w:rsid w:val="00496301"/>
    <w:rsid w:val="0049648A"/>
    <w:rsid w:val="004965E2"/>
    <w:rsid w:val="0049672A"/>
    <w:rsid w:val="00496898"/>
    <w:rsid w:val="0049692E"/>
    <w:rsid w:val="00496A1E"/>
    <w:rsid w:val="00496BF0"/>
    <w:rsid w:val="00496C5C"/>
    <w:rsid w:val="004970FE"/>
    <w:rsid w:val="00497170"/>
    <w:rsid w:val="0049719F"/>
    <w:rsid w:val="004971DD"/>
    <w:rsid w:val="004974C1"/>
    <w:rsid w:val="004974F5"/>
    <w:rsid w:val="004975BC"/>
    <w:rsid w:val="00497633"/>
    <w:rsid w:val="0049774B"/>
    <w:rsid w:val="004977E8"/>
    <w:rsid w:val="0049793D"/>
    <w:rsid w:val="0049799B"/>
    <w:rsid w:val="00497A8F"/>
    <w:rsid w:val="00497F6C"/>
    <w:rsid w:val="004A01EF"/>
    <w:rsid w:val="004A0367"/>
    <w:rsid w:val="004A0432"/>
    <w:rsid w:val="004A0442"/>
    <w:rsid w:val="004A044C"/>
    <w:rsid w:val="004A0777"/>
    <w:rsid w:val="004A08C3"/>
    <w:rsid w:val="004A08F0"/>
    <w:rsid w:val="004A0D67"/>
    <w:rsid w:val="004A0DA1"/>
    <w:rsid w:val="004A0E9B"/>
    <w:rsid w:val="004A0FA2"/>
    <w:rsid w:val="004A1063"/>
    <w:rsid w:val="004A1429"/>
    <w:rsid w:val="004A15BD"/>
    <w:rsid w:val="004A1964"/>
    <w:rsid w:val="004A197A"/>
    <w:rsid w:val="004A1F09"/>
    <w:rsid w:val="004A225D"/>
    <w:rsid w:val="004A22A7"/>
    <w:rsid w:val="004A22C4"/>
    <w:rsid w:val="004A23CC"/>
    <w:rsid w:val="004A245B"/>
    <w:rsid w:val="004A24D7"/>
    <w:rsid w:val="004A256C"/>
    <w:rsid w:val="004A2640"/>
    <w:rsid w:val="004A2803"/>
    <w:rsid w:val="004A2928"/>
    <w:rsid w:val="004A2A56"/>
    <w:rsid w:val="004A2B92"/>
    <w:rsid w:val="004A2BAD"/>
    <w:rsid w:val="004A2C17"/>
    <w:rsid w:val="004A2C33"/>
    <w:rsid w:val="004A2D29"/>
    <w:rsid w:val="004A2ECF"/>
    <w:rsid w:val="004A2EE5"/>
    <w:rsid w:val="004A2F11"/>
    <w:rsid w:val="004A3023"/>
    <w:rsid w:val="004A302F"/>
    <w:rsid w:val="004A325A"/>
    <w:rsid w:val="004A328E"/>
    <w:rsid w:val="004A3331"/>
    <w:rsid w:val="004A33CC"/>
    <w:rsid w:val="004A36FF"/>
    <w:rsid w:val="004A3744"/>
    <w:rsid w:val="004A3942"/>
    <w:rsid w:val="004A3B33"/>
    <w:rsid w:val="004A3BAC"/>
    <w:rsid w:val="004A3CA8"/>
    <w:rsid w:val="004A3D97"/>
    <w:rsid w:val="004A3E65"/>
    <w:rsid w:val="004A3EBF"/>
    <w:rsid w:val="004A4065"/>
    <w:rsid w:val="004A40CD"/>
    <w:rsid w:val="004A41B0"/>
    <w:rsid w:val="004A4217"/>
    <w:rsid w:val="004A44C4"/>
    <w:rsid w:val="004A468F"/>
    <w:rsid w:val="004A4849"/>
    <w:rsid w:val="004A48BC"/>
    <w:rsid w:val="004A4AC1"/>
    <w:rsid w:val="004A4BD9"/>
    <w:rsid w:val="004A4C29"/>
    <w:rsid w:val="004A4D38"/>
    <w:rsid w:val="004A4DA9"/>
    <w:rsid w:val="004A5152"/>
    <w:rsid w:val="004A5405"/>
    <w:rsid w:val="004A55ED"/>
    <w:rsid w:val="004A5601"/>
    <w:rsid w:val="004A5623"/>
    <w:rsid w:val="004A562A"/>
    <w:rsid w:val="004A56AD"/>
    <w:rsid w:val="004A56D4"/>
    <w:rsid w:val="004A5762"/>
    <w:rsid w:val="004A5826"/>
    <w:rsid w:val="004A58CB"/>
    <w:rsid w:val="004A5916"/>
    <w:rsid w:val="004A59AA"/>
    <w:rsid w:val="004A59EA"/>
    <w:rsid w:val="004A5BBF"/>
    <w:rsid w:val="004A5C7A"/>
    <w:rsid w:val="004A5CB0"/>
    <w:rsid w:val="004A5F0F"/>
    <w:rsid w:val="004A5F85"/>
    <w:rsid w:val="004A61C7"/>
    <w:rsid w:val="004A6203"/>
    <w:rsid w:val="004A62E2"/>
    <w:rsid w:val="004A6344"/>
    <w:rsid w:val="004A6363"/>
    <w:rsid w:val="004A6588"/>
    <w:rsid w:val="004A65A7"/>
    <w:rsid w:val="004A6860"/>
    <w:rsid w:val="004A68C9"/>
    <w:rsid w:val="004A6AA4"/>
    <w:rsid w:val="004A6C4D"/>
    <w:rsid w:val="004A6C5E"/>
    <w:rsid w:val="004A6DC2"/>
    <w:rsid w:val="004A708C"/>
    <w:rsid w:val="004A7091"/>
    <w:rsid w:val="004A7545"/>
    <w:rsid w:val="004A755F"/>
    <w:rsid w:val="004A76F8"/>
    <w:rsid w:val="004A784A"/>
    <w:rsid w:val="004A78D4"/>
    <w:rsid w:val="004A7973"/>
    <w:rsid w:val="004A7B58"/>
    <w:rsid w:val="004A7BA7"/>
    <w:rsid w:val="004A7C68"/>
    <w:rsid w:val="004A7E21"/>
    <w:rsid w:val="004A7E68"/>
    <w:rsid w:val="004B0082"/>
    <w:rsid w:val="004B0267"/>
    <w:rsid w:val="004B027D"/>
    <w:rsid w:val="004B02FB"/>
    <w:rsid w:val="004B033D"/>
    <w:rsid w:val="004B035D"/>
    <w:rsid w:val="004B03A4"/>
    <w:rsid w:val="004B048E"/>
    <w:rsid w:val="004B052B"/>
    <w:rsid w:val="004B0593"/>
    <w:rsid w:val="004B0A24"/>
    <w:rsid w:val="004B0CEF"/>
    <w:rsid w:val="004B0D62"/>
    <w:rsid w:val="004B0E01"/>
    <w:rsid w:val="004B0EF4"/>
    <w:rsid w:val="004B11BC"/>
    <w:rsid w:val="004B1219"/>
    <w:rsid w:val="004B1235"/>
    <w:rsid w:val="004B17AB"/>
    <w:rsid w:val="004B199F"/>
    <w:rsid w:val="004B1BFE"/>
    <w:rsid w:val="004B1D0B"/>
    <w:rsid w:val="004B204C"/>
    <w:rsid w:val="004B2051"/>
    <w:rsid w:val="004B237D"/>
    <w:rsid w:val="004B23E9"/>
    <w:rsid w:val="004B248A"/>
    <w:rsid w:val="004B2736"/>
    <w:rsid w:val="004B2906"/>
    <w:rsid w:val="004B29A9"/>
    <w:rsid w:val="004B2BD0"/>
    <w:rsid w:val="004B2D9E"/>
    <w:rsid w:val="004B2FD1"/>
    <w:rsid w:val="004B3005"/>
    <w:rsid w:val="004B3158"/>
    <w:rsid w:val="004B31AB"/>
    <w:rsid w:val="004B32BB"/>
    <w:rsid w:val="004B3319"/>
    <w:rsid w:val="004B33B1"/>
    <w:rsid w:val="004B347B"/>
    <w:rsid w:val="004B34CB"/>
    <w:rsid w:val="004B365E"/>
    <w:rsid w:val="004B3C69"/>
    <w:rsid w:val="004B3CB8"/>
    <w:rsid w:val="004B3D4E"/>
    <w:rsid w:val="004B3DEC"/>
    <w:rsid w:val="004B3E2A"/>
    <w:rsid w:val="004B41B4"/>
    <w:rsid w:val="004B41FB"/>
    <w:rsid w:val="004B420C"/>
    <w:rsid w:val="004B440E"/>
    <w:rsid w:val="004B45C6"/>
    <w:rsid w:val="004B46D3"/>
    <w:rsid w:val="004B49D8"/>
    <w:rsid w:val="004B4A1D"/>
    <w:rsid w:val="004B4BA8"/>
    <w:rsid w:val="004B4E23"/>
    <w:rsid w:val="004B4E60"/>
    <w:rsid w:val="004B517E"/>
    <w:rsid w:val="004B5384"/>
    <w:rsid w:val="004B5546"/>
    <w:rsid w:val="004B55E5"/>
    <w:rsid w:val="004B5681"/>
    <w:rsid w:val="004B58D8"/>
    <w:rsid w:val="004B5B91"/>
    <w:rsid w:val="004B5BB2"/>
    <w:rsid w:val="004B5BC3"/>
    <w:rsid w:val="004B5D07"/>
    <w:rsid w:val="004B5DCA"/>
    <w:rsid w:val="004B5EDB"/>
    <w:rsid w:val="004B5F81"/>
    <w:rsid w:val="004B5FE0"/>
    <w:rsid w:val="004B61BD"/>
    <w:rsid w:val="004B62F2"/>
    <w:rsid w:val="004B6669"/>
    <w:rsid w:val="004B67BD"/>
    <w:rsid w:val="004B67F5"/>
    <w:rsid w:val="004B6832"/>
    <w:rsid w:val="004B686C"/>
    <w:rsid w:val="004B6A35"/>
    <w:rsid w:val="004B6B21"/>
    <w:rsid w:val="004B6B87"/>
    <w:rsid w:val="004B6BF9"/>
    <w:rsid w:val="004B6C46"/>
    <w:rsid w:val="004B6D43"/>
    <w:rsid w:val="004B6D4B"/>
    <w:rsid w:val="004B71B5"/>
    <w:rsid w:val="004B7227"/>
    <w:rsid w:val="004B7680"/>
    <w:rsid w:val="004B7826"/>
    <w:rsid w:val="004B78CA"/>
    <w:rsid w:val="004B7944"/>
    <w:rsid w:val="004B7979"/>
    <w:rsid w:val="004B7A92"/>
    <w:rsid w:val="004B7A96"/>
    <w:rsid w:val="004B7C6D"/>
    <w:rsid w:val="004B7CC0"/>
    <w:rsid w:val="004B7E2B"/>
    <w:rsid w:val="004C01C5"/>
    <w:rsid w:val="004C01F6"/>
    <w:rsid w:val="004C02AD"/>
    <w:rsid w:val="004C02CF"/>
    <w:rsid w:val="004C02FF"/>
    <w:rsid w:val="004C03BC"/>
    <w:rsid w:val="004C0423"/>
    <w:rsid w:val="004C044C"/>
    <w:rsid w:val="004C04F6"/>
    <w:rsid w:val="004C0570"/>
    <w:rsid w:val="004C07AE"/>
    <w:rsid w:val="004C0868"/>
    <w:rsid w:val="004C086E"/>
    <w:rsid w:val="004C0A73"/>
    <w:rsid w:val="004C0AF1"/>
    <w:rsid w:val="004C0B50"/>
    <w:rsid w:val="004C0CDA"/>
    <w:rsid w:val="004C0D60"/>
    <w:rsid w:val="004C116B"/>
    <w:rsid w:val="004C1560"/>
    <w:rsid w:val="004C158A"/>
    <w:rsid w:val="004C18E1"/>
    <w:rsid w:val="004C1BB5"/>
    <w:rsid w:val="004C1C7C"/>
    <w:rsid w:val="004C1DCF"/>
    <w:rsid w:val="004C1EB5"/>
    <w:rsid w:val="004C201A"/>
    <w:rsid w:val="004C2049"/>
    <w:rsid w:val="004C2288"/>
    <w:rsid w:val="004C22EC"/>
    <w:rsid w:val="004C2841"/>
    <w:rsid w:val="004C2A20"/>
    <w:rsid w:val="004C2B64"/>
    <w:rsid w:val="004C2D07"/>
    <w:rsid w:val="004C2E40"/>
    <w:rsid w:val="004C3302"/>
    <w:rsid w:val="004C331B"/>
    <w:rsid w:val="004C350E"/>
    <w:rsid w:val="004C35DB"/>
    <w:rsid w:val="004C3763"/>
    <w:rsid w:val="004C3813"/>
    <w:rsid w:val="004C396B"/>
    <w:rsid w:val="004C3B04"/>
    <w:rsid w:val="004C3B6A"/>
    <w:rsid w:val="004C3C8C"/>
    <w:rsid w:val="004C3CE7"/>
    <w:rsid w:val="004C3D60"/>
    <w:rsid w:val="004C3D7D"/>
    <w:rsid w:val="004C3E21"/>
    <w:rsid w:val="004C3F0F"/>
    <w:rsid w:val="004C4137"/>
    <w:rsid w:val="004C42E4"/>
    <w:rsid w:val="004C4313"/>
    <w:rsid w:val="004C43C5"/>
    <w:rsid w:val="004C465F"/>
    <w:rsid w:val="004C48C9"/>
    <w:rsid w:val="004C4AD6"/>
    <w:rsid w:val="004C4B8D"/>
    <w:rsid w:val="004C4DBC"/>
    <w:rsid w:val="004C4F71"/>
    <w:rsid w:val="004C4FCC"/>
    <w:rsid w:val="004C501B"/>
    <w:rsid w:val="004C5029"/>
    <w:rsid w:val="004C502C"/>
    <w:rsid w:val="004C508D"/>
    <w:rsid w:val="004C51E4"/>
    <w:rsid w:val="004C54BF"/>
    <w:rsid w:val="004C54DC"/>
    <w:rsid w:val="004C5546"/>
    <w:rsid w:val="004C5832"/>
    <w:rsid w:val="004C58B9"/>
    <w:rsid w:val="004C58D1"/>
    <w:rsid w:val="004C5A43"/>
    <w:rsid w:val="004C5B66"/>
    <w:rsid w:val="004C5DDF"/>
    <w:rsid w:val="004C60DB"/>
    <w:rsid w:val="004C60DF"/>
    <w:rsid w:val="004C61A3"/>
    <w:rsid w:val="004C62F2"/>
    <w:rsid w:val="004C6384"/>
    <w:rsid w:val="004C64DD"/>
    <w:rsid w:val="004C667B"/>
    <w:rsid w:val="004C668F"/>
    <w:rsid w:val="004C669A"/>
    <w:rsid w:val="004C66EE"/>
    <w:rsid w:val="004C6803"/>
    <w:rsid w:val="004C6806"/>
    <w:rsid w:val="004C6A58"/>
    <w:rsid w:val="004C7025"/>
    <w:rsid w:val="004C70C3"/>
    <w:rsid w:val="004C718A"/>
    <w:rsid w:val="004C719A"/>
    <w:rsid w:val="004C7526"/>
    <w:rsid w:val="004C7753"/>
    <w:rsid w:val="004C78FD"/>
    <w:rsid w:val="004C7988"/>
    <w:rsid w:val="004C7C7E"/>
    <w:rsid w:val="004C7EDE"/>
    <w:rsid w:val="004C7F41"/>
    <w:rsid w:val="004D01B9"/>
    <w:rsid w:val="004D0217"/>
    <w:rsid w:val="004D0294"/>
    <w:rsid w:val="004D0297"/>
    <w:rsid w:val="004D039A"/>
    <w:rsid w:val="004D03C2"/>
    <w:rsid w:val="004D03D1"/>
    <w:rsid w:val="004D0624"/>
    <w:rsid w:val="004D07E5"/>
    <w:rsid w:val="004D0943"/>
    <w:rsid w:val="004D0AA7"/>
    <w:rsid w:val="004D0B77"/>
    <w:rsid w:val="004D0B80"/>
    <w:rsid w:val="004D0EC1"/>
    <w:rsid w:val="004D1078"/>
    <w:rsid w:val="004D124B"/>
    <w:rsid w:val="004D12DE"/>
    <w:rsid w:val="004D13EF"/>
    <w:rsid w:val="004D14E0"/>
    <w:rsid w:val="004D1502"/>
    <w:rsid w:val="004D1546"/>
    <w:rsid w:val="004D1598"/>
    <w:rsid w:val="004D160E"/>
    <w:rsid w:val="004D16C8"/>
    <w:rsid w:val="004D180D"/>
    <w:rsid w:val="004D19D7"/>
    <w:rsid w:val="004D1CF1"/>
    <w:rsid w:val="004D1D43"/>
    <w:rsid w:val="004D1DAE"/>
    <w:rsid w:val="004D1E56"/>
    <w:rsid w:val="004D1EA1"/>
    <w:rsid w:val="004D235B"/>
    <w:rsid w:val="004D242C"/>
    <w:rsid w:val="004D2509"/>
    <w:rsid w:val="004D25B6"/>
    <w:rsid w:val="004D25D7"/>
    <w:rsid w:val="004D2730"/>
    <w:rsid w:val="004D28D4"/>
    <w:rsid w:val="004D29B6"/>
    <w:rsid w:val="004D2A70"/>
    <w:rsid w:val="004D2BC2"/>
    <w:rsid w:val="004D2CD0"/>
    <w:rsid w:val="004D30A8"/>
    <w:rsid w:val="004D33EA"/>
    <w:rsid w:val="004D3458"/>
    <w:rsid w:val="004D34DA"/>
    <w:rsid w:val="004D34DE"/>
    <w:rsid w:val="004D35D6"/>
    <w:rsid w:val="004D36CE"/>
    <w:rsid w:val="004D36DF"/>
    <w:rsid w:val="004D3837"/>
    <w:rsid w:val="004D38F9"/>
    <w:rsid w:val="004D39C8"/>
    <w:rsid w:val="004D3AB6"/>
    <w:rsid w:val="004D3C69"/>
    <w:rsid w:val="004D3FC1"/>
    <w:rsid w:val="004D428A"/>
    <w:rsid w:val="004D42F7"/>
    <w:rsid w:val="004D43C8"/>
    <w:rsid w:val="004D44F8"/>
    <w:rsid w:val="004D4557"/>
    <w:rsid w:val="004D45F3"/>
    <w:rsid w:val="004D482D"/>
    <w:rsid w:val="004D48BE"/>
    <w:rsid w:val="004D48D0"/>
    <w:rsid w:val="004D4B8E"/>
    <w:rsid w:val="004D4BAC"/>
    <w:rsid w:val="004D4C45"/>
    <w:rsid w:val="004D4E97"/>
    <w:rsid w:val="004D4FD1"/>
    <w:rsid w:val="004D5064"/>
    <w:rsid w:val="004D507F"/>
    <w:rsid w:val="004D51BD"/>
    <w:rsid w:val="004D51C6"/>
    <w:rsid w:val="004D550D"/>
    <w:rsid w:val="004D5559"/>
    <w:rsid w:val="004D5679"/>
    <w:rsid w:val="004D59E9"/>
    <w:rsid w:val="004D5A14"/>
    <w:rsid w:val="004D5A24"/>
    <w:rsid w:val="004D5A47"/>
    <w:rsid w:val="004D5A51"/>
    <w:rsid w:val="004D5CDC"/>
    <w:rsid w:val="004D5F2F"/>
    <w:rsid w:val="004D627C"/>
    <w:rsid w:val="004D6345"/>
    <w:rsid w:val="004D635F"/>
    <w:rsid w:val="004D63C0"/>
    <w:rsid w:val="004D64D6"/>
    <w:rsid w:val="004D6541"/>
    <w:rsid w:val="004D659B"/>
    <w:rsid w:val="004D65A9"/>
    <w:rsid w:val="004D6643"/>
    <w:rsid w:val="004D695E"/>
    <w:rsid w:val="004D69BF"/>
    <w:rsid w:val="004D6B1C"/>
    <w:rsid w:val="004D6B2C"/>
    <w:rsid w:val="004D6D0C"/>
    <w:rsid w:val="004D7032"/>
    <w:rsid w:val="004D70F0"/>
    <w:rsid w:val="004D70F8"/>
    <w:rsid w:val="004D71C0"/>
    <w:rsid w:val="004D722D"/>
    <w:rsid w:val="004D724F"/>
    <w:rsid w:val="004D73B0"/>
    <w:rsid w:val="004D7681"/>
    <w:rsid w:val="004D76FA"/>
    <w:rsid w:val="004D791F"/>
    <w:rsid w:val="004D79F5"/>
    <w:rsid w:val="004D7A4A"/>
    <w:rsid w:val="004D7A7F"/>
    <w:rsid w:val="004D7AA0"/>
    <w:rsid w:val="004D7D10"/>
    <w:rsid w:val="004D7E65"/>
    <w:rsid w:val="004E0222"/>
    <w:rsid w:val="004E024D"/>
    <w:rsid w:val="004E02DC"/>
    <w:rsid w:val="004E02E5"/>
    <w:rsid w:val="004E0402"/>
    <w:rsid w:val="004E04C2"/>
    <w:rsid w:val="004E0511"/>
    <w:rsid w:val="004E059C"/>
    <w:rsid w:val="004E05C1"/>
    <w:rsid w:val="004E08C4"/>
    <w:rsid w:val="004E0A68"/>
    <w:rsid w:val="004E0AA2"/>
    <w:rsid w:val="004E0AC4"/>
    <w:rsid w:val="004E0C02"/>
    <w:rsid w:val="004E0C3E"/>
    <w:rsid w:val="004E0D7F"/>
    <w:rsid w:val="004E0E10"/>
    <w:rsid w:val="004E0FB9"/>
    <w:rsid w:val="004E1064"/>
    <w:rsid w:val="004E11D0"/>
    <w:rsid w:val="004E11D4"/>
    <w:rsid w:val="004E11D9"/>
    <w:rsid w:val="004E12E4"/>
    <w:rsid w:val="004E135E"/>
    <w:rsid w:val="004E14FC"/>
    <w:rsid w:val="004E1581"/>
    <w:rsid w:val="004E162B"/>
    <w:rsid w:val="004E170A"/>
    <w:rsid w:val="004E170F"/>
    <w:rsid w:val="004E1786"/>
    <w:rsid w:val="004E17F8"/>
    <w:rsid w:val="004E182F"/>
    <w:rsid w:val="004E18EE"/>
    <w:rsid w:val="004E1A67"/>
    <w:rsid w:val="004E1AAD"/>
    <w:rsid w:val="004E1D8C"/>
    <w:rsid w:val="004E1D94"/>
    <w:rsid w:val="004E1EB8"/>
    <w:rsid w:val="004E1F36"/>
    <w:rsid w:val="004E2018"/>
    <w:rsid w:val="004E21B1"/>
    <w:rsid w:val="004E256C"/>
    <w:rsid w:val="004E26E2"/>
    <w:rsid w:val="004E27CF"/>
    <w:rsid w:val="004E28D4"/>
    <w:rsid w:val="004E299A"/>
    <w:rsid w:val="004E29C5"/>
    <w:rsid w:val="004E2A0D"/>
    <w:rsid w:val="004E2AD6"/>
    <w:rsid w:val="004E2BDC"/>
    <w:rsid w:val="004E2E09"/>
    <w:rsid w:val="004E2E3C"/>
    <w:rsid w:val="004E2ECD"/>
    <w:rsid w:val="004E2FB5"/>
    <w:rsid w:val="004E3010"/>
    <w:rsid w:val="004E310B"/>
    <w:rsid w:val="004E311A"/>
    <w:rsid w:val="004E31C1"/>
    <w:rsid w:val="004E32C1"/>
    <w:rsid w:val="004E3372"/>
    <w:rsid w:val="004E33E8"/>
    <w:rsid w:val="004E355F"/>
    <w:rsid w:val="004E3836"/>
    <w:rsid w:val="004E3941"/>
    <w:rsid w:val="004E39EE"/>
    <w:rsid w:val="004E3F2C"/>
    <w:rsid w:val="004E3FC2"/>
    <w:rsid w:val="004E41C8"/>
    <w:rsid w:val="004E433C"/>
    <w:rsid w:val="004E4357"/>
    <w:rsid w:val="004E4410"/>
    <w:rsid w:val="004E44EE"/>
    <w:rsid w:val="004E453D"/>
    <w:rsid w:val="004E459D"/>
    <w:rsid w:val="004E45A3"/>
    <w:rsid w:val="004E45CF"/>
    <w:rsid w:val="004E45FD"/>
    <w:rsid w:val="004E462E"/>
    <w:rsid w:val="004E47D6"/>
    <w:rsid w:val="004E4859"/>
    <w:rsid w:val="004E4950"/>
    <w:rsid w:val="004E49A9"/>
    <w:rsid w:val="004E4ABD"/>
    <w:rsid w:val="004E4BDD"/>
    <w:rsid w:val="004E4F2C"/>
    <w:rsid w:val="004E4F3C"/>
    <w:rsid w:val="004E4FBC"/>
    <w:rsid w:val="004E500D"/>
    <w:rsid w:val="004E5110"/>
    <w:rsid w:val="004E521D"/>
    <w:rsid w:val="004E52BD"/>
    <w:rsid w:val="004E5304"/>
    <w:rsid w:val="004E552B"/>
    <w:rsid w:val="004E555A"/>
    <w:rsid w:val="004E563F"/>
    <w:rsid w:val="004E56A4"/>
    <w:rsid w:val="004E57D1"/>
    <w:rsid w:val="004E585A"/>
    <w:rsid w:val="004E586A"/>
    <w:rsid w:val="004E5A8B"/>
    <w:rsid w:val="004E5A96"/>
    <w:rsid w:val="004E5B06"/>
    <w:rsid w:val="004E5BED"/>
    <w:rsid w:val="004E5E04"/>
    <w:rsid w:val="004E5EB3"/>
    <w:rsid w:val="004E5EED"/>
    <w:rsid w:val="004E5F1D"/>
    <w:rsid w:val="004E5F2B"/>
    <w:rsid w:val="004E6036"/>
    <w:rsid w:val="004E60DC"/>
    <w:rsid w:val="004E618C"/>
    <w:rsid w:val="004E618F"/>
    <w:rsid w:val="004E62AA"/>
    <w:rsid w:val="004E65B2"/>
    <w:rsid w:val="004E667D"/>
    <w:rsid w:val="004E6702"/>
    <w:rsid w:val="004E69A2"/>
    <w:rsid w:val="004E69C7"/>
    <w:rsid w:val="004E6A1C"/>
    <w:rsid w:val="004E6E10"/>
    <w:rsid w:val="004E708E"/>
    <w:rsid w:val="004E70A5"/>
    <w:rsid w:val="004E711D"/>
    <w:rsid w:val="004E74B1"/>
    <w:rsid w:val="004E74BD"/>
    <w:rsid w:val="004E7507"/>
    <w:rsid w:val="004E767C"/>
    <w:rsid w:val="004E7724"/>
    <w:rsid w:val="004E7764"/>
    <w:rsid w:val="004E797F"/>
    <w:rsid w:val="004E79CE"/>
    <w:rsid w:val="004E79D3"/>
    <w:rsid w:val="004E7CD3"/>
    <w:rsid w:val="004E7D10"/>
    <w:rsid w:val="004F0061"/>
    <w:rsid w:val="004F0302"/>
    <w:rsid w:val="004F0596"/>
    <w:rsid w:val="004F0A9D"/>
    <w:rsid w:val="004F0B56"/>
    <w:rsid w:val="004F0C13"/>
    <w:rsid w:val="004F0C80"/>
    <w:rsid w:val="004F0DE9"/>
    <w:rsid w:val="004F0ED0"/>
    <w:rsid w:val="004F11BE"/>
    <w:rsid w:val="004F12A2"/>
    <w:rsid w:val="004F12B3"/>
    <w:rsid w:val="004F12F9"/>
    <w:rsid w:val="004F139C"/>
    <w:rsid w:val="004F155C"/>
    <w:rsid w:val="004F1634"/>
    <w:rsid w:val="004F1914"/>
    <w:rsid w:val="004F1AAD"/>
    <w:rsid w:val="004F1C17"/>
    <w:rsid w:val="004F1C60"/>
    <w:rsid w:val="004F1CE2"/>
    <w:rsid w:val="004F1CF6"/>
    <w:rsid w:val="004F20EF"/>
    <w:rsid w:val="004F21F7"/>
    <w:rsid w:val="004F2359"/>
    <w:rsid w:val="004F2395"/>
    <w:rsid w:val="004F23FB"/>
    <w:rsid w:val="004F24AF"/>
    <w:rsid w:val="004F2543"/>
    <w:rsid w:val="004F25E7"/>
    <w:rsid w:val="004F27F7"/>
    <w:rsid w:val="004F2A1D"/>
    <w:rsid w:val="004F2A73"/>
    <w:rsid w:val="004F2BA4"/>
    <w:rsid w:val="004F2BBB"/>
    <w:rsid w:val="004F2C1F"/>
    <w:rsid w:val="004F2C5A"/>
    <w:rsid w:val="004F2D81"/>
    <w:rsid w:val="004F2DDA"/>
    <w:rsid w:val="004F2E38"/>
    <w:rsid w:val="004F31D0"/>
    <w:rsid w:val="004F3254"/>
    <w:rsid w:val="004F3340"/>
    <w:rsid w:val="004F33D2"/>
    <w:rsid w:val="004F34B7"/>
    <w:rsid w:val="004F3515"/>
    <w:rsid w:val="004F3624"/>
    <w:rsid w:val="004F3959"/>
    <w:rsid w:val="004F3978"/>
    <w:rsid w:val="004F39DA"/>
    <w:rsid w:val="004F3EA0"/>
    <w:rsid w:val="004F3F2A"/>
    <w:rsid w:val="004F402C"/>
    <w:rsid w:val="004F4058"/>
    <w:rsid w:val="004F426F"/>
    <w:rsid w:val="004F42CC"/>
    <w:rsid w:val="004F46BC"/>
    <w:rsid w:val="004F4A42"/>
    <w:rsid w:val="004F4ADE"/>
    <w:rsid w:val="004F4B08"/>
    <w:rsid w:val="004F4B11"/>
    <w:rsid w:val="004F4B71"/>
    <w:rsid w:val="004F4C86"/>
    <w:rsid w:val="004F4E90"/>
    <w:rsid w:val="004F5220"/>
    <w:rsid w:val="004F5356"/>
    <w:rsid w:val="004F5478"/>
    <w:rsid w:val="004F5494"/>
    <w:rsid w:val="004F5803"/>
    <w:rsid w:val="004F5818"/>
    <w:rsid w:val="004F58E8"/>
    <w:rsid w:val="004F5A59"/>
    <w:rsid w:val="004F5AD2"/>
    <w:rsid w:val="004F5BB5"/>
    <w:rsid w:val="004F5BF6"/>
    <w:rsid w:val="004F5D62"/>
    <w:rsid w:val="004F5ECE"/>
    <w:rsid w:val="004F5F02"/>
    <w:rsid w:val="004F6036"/>
    <w:rsid w:val="004F6052"/>
    <w:rsid w:val="004F60F7"/>
    <w:rsid w:val="004F6327"/>
    <w:rsid w:val="004F647B"/>
    <w:rsid w:val="004F682A"/>
    <w:rsid w:val="004F6A7F"/>
    <w:rsid w:val="004F6AF4"/>
    <w:rsid w:val="004F6BE3"/>
    <w:rsid w:val="004F6BF9"/>
    <w:rsid w:val="004F6D1B"/>
    <w:rsid w:val="004F6ED4"/>
    <w:rsid w:val="004F7058"/>
    <w:rsid w:val="004F712E"/>
    <w:rsid w:val="004F7178"/>
    <w:rsid w:val="004F71B3"/>
    <w:rsid w:val="004F73C0"/>
    <w:rsid w:val="004F73F9"/>
    <w:rsid w:val="004F7683"/>
    <w:rsid w:val="004F7883"/>
    <w:rsid w:val="004F78D6"/>
    <w:rsid w:val="004F78FA"/>
    <w:rsid w:val="004F7BEB"/>
    <w:rsid w:val="004F7D00"/>
    <w:rsid w:val="004F7DA6"/>
    <w:rsid w:val="004F7DD1"/>
    <w:rsid w:val="004F7ECE"/>
    <w:rsid w:val="00500057"/>
    <w:rsid w:val="00500182"/>
    <w:rsid w:val="005003B2"/>
    <w:rsid w:val="00500422"/>
    <w:rsid w:val="005006FD"/>
    <w:rsid w:val="00500782"/>
    <w:rsid w:val="005007E8"/>
    <w:rsid w:val="005007F8"/>
    <w:rsid w:val="00500879"/>
    <w:rsid w:val="00500A83"/>
    <w:rsid w:val="00500A9D"/>
    <w:rsid w:val="00500C7B"/>
    <w:rsid w:val="00500D7F"/>
    <w:rsid w:val="00501028"/>
    <w:rsid w:val="00501041"/>
    <w:rsid w:val="00501066"/>
    <w:rsid w:val="005010BC"/>
    <w:rsid w:val="005010D4"/>
    <w:rsid w:val="00501290"/>
    <w:rsid w:val="0050141C"/>
    <w:rsid w:val="0050194D"/>
    <w:rsid w:val="00501C85"/>
    <w:rsid w:val="00501CB0"/>
    <w:rsid w:val="00501CB8"/>
    <w:rsid w:val="00501DDD"/>
    <w:rsid w:val="00502002"/>
    <w:rsid w:val="0050210A"/>
    <w:rsid w:val="00502132"/>
    <w:rsid w:val="0050229A"/>
    <w:rsid w:val="00502367"/>
    <w:rsid w:val="00502400"/>
    <w:rsid w:val="00502485"/>
    <w:rsid w:val="005025BF"/>
    <w:rsid w:val="005027DD"/>
    <w:rsid w:val="00502862"/>
    <w:rsid w:val="00502BFD"/>
    <w:rsid w:val="00502E42"/>
    <w:rsid w:val="00502E5D"/>
    <w:rsid w:val="00502F1E"/>
    <w:rsid w:val="00502FC7"/>
    <w:rsid w:val="00502FD9"/>
    <w:rsid w:val="00503471"/>
    <w:rsid w:val="005034DD"/>
    <w:rsid w:val="005035CA"/>
    <w:rsid w:val="00503822"/>
    <w:rsid w:val="005038AC"/>
    <w:rsid w:val="00503A03"/>
    <w:rsid w:val="00503A2C"/>
    <w:rsid w:val="00503A55"/>
    <w:rsid w:val="00503AE0"/>
    <w:rsid w:val="00503C42"/>
    <w:rsid w:val="00503D1E"/>
    <w:rsid w:val="00503ECE"/>
    <w:rsid w:val="0050426C"/>
    <w:rsid w:val="005044F7"/>
    <w:rsid w:val="00504787"/>
    <w:rsid w:val="00504818"/>
    <w:rsid w:val="00504A23"/>
    <w:rsid w:val="00504C42"/>
    <w:rsid w:val="00504C45"/>
    <w:rsid w:val="00504DC0"/>
    <w:rsid w:val="00504EA2"/>
    <w:rsid w:val="005050C3"/>
    <w:rsid w:val="0050514C"/>
    <w:rsid w:val="0050519D"/>
    <w:rsid w:val="00505395"/>
    <w:rsid w:val="005053CF"/>
    <w:rsid w:val="00505404"/>
    <w:rsid w:val="0050548F"/>
    <w:rsid w:val="00505508"/>
    <w:rsid w:val="005055F6"/>
    <w:rsid w:val="0050563A"/>
    <w:rsid w:val="0050585F"/>
    <w:rsid w:val="005058E4"/>
    <w:rsid w:val="00505968"/>
    <w:rsid w:val="00505AE7"/>
    <w:rsid w:val="00505B8E"/>
    <w:rsid w:val="00505D41"/>
    <w:rsid w:val="00505E7E"/>
    <w:rsid w:val="0050610A"/>
    <w:rsid w:val="00506501"/>
    <w:rsid w:val="005065C2"/>
    <w:rsid w:val="005067C7"/>
    <w:rsid w:val="005067F1"/>
    <w:rsid w:val="00506804"/>
    <w:rsid w:val="00506829"/>
    <w:rsid w:val="005068B7"/>
    <w:rsid w:val="00506A68"/>
    <w:rsid w:val="00506AFC"/>
    <w:rsid w:val="00506C09"/>
    <w:rsid w:val="00506C56"/>
    <w:rsid w:val="00506D12"/>
    <w:rsid w:val="00506D31"/>
    <w:rsid w:val="00506DAD"/>
    <w:rsid w:val="00506DD2"/>
    <w:rsid w:val="00506EF2"/>
    <w:rsid w:val="00506F4A"/>
    <w:rsid w:val="00507116"/>
    <w:rsid w:val="005072A7"/>
    <w:rsid w:val="00507330"/>
    <w:rsid w:val="005073BA"/>
    <w:rsid w:val="005073E5"/>
    <w:rsid w:val="0050765D"/>
    <w:rsid w:val="0050766A"/>
    <w:rsid w:val="00507689"/>
    <w:rsid w:val="00507A09"/>
    <w:rsid w:val="00507CE0"/>
    <w:rsid w:val="00507EA9"/>
    <w:rsid w:val="00510147"/>
    <w:rsid w:val="0051014B"/>
    <w:rsid w:val="005102E5"/>
    <w:rsid w:val="005102E6"/>
    <w:rsid w:val="00510442"/>
    <w:rsid w:val="005104D3"/>
    <w:rsid w:val="005106FC"/>
    <w:rsid w:val="00510BB7"/>
    <w:rsid w:val="00510C4A"/>
    <w:rsid w:val="00510CA8"/>
    <w:rsid w:val="00510DE6"/>
    <w:rsid w:val="00510FDF"/>
    <w:rsid w:val="00511090"/>
    <w:rsid w:val="005110F5"/>
    <w:rsid w:val="00511230"/>
    <w:rsid w:val="005112D6"/>
    <w:rsid w:val="005112E1"/>
    <w:rsid w:val="005112F0"/>
    <w:rsid w:val="005115A2"/>
    <w:rsid w:val="005119A5"/>
    <w:rsid w:val="00511AAF"/>
    <w:rsid w:val="00511B05"/>
    <w:rsid w:val="00511E35"/>
    <w:rsid w:val="00511F89"/>
    <w:rsid w:val="00511FB4"/>
    <w:rsid w:val="00511FE6"/>
    <w:rsid w:val="00512167"/>
    <w:rsid w:val="00512185"/>
    <w:rsid w:val="00512388"/>
    <w:rsid w:val="0051257F"/>
    <w:rsid w:val="005125EF"/>
    <w:rsid w:val="005126B1"/>
    <w:rsid w:val="0051272E"/>
    <w:rsid w:val="0051283D"/>
    <w:rsid w:val="00512ACF"/>
    <w:rsid w:val="00512AE1"/>
    <w:rsid w:val="00512AEC"/>
    <w:rsid w:val="00512D06"/>
    <w:rsid w:val="00512D0E"/>
    <w:rsid w:val="00512D6A"/>
    <w:rsid w:val="005130A4"/>
    <w:rsid w:val="0051324A"/>
    <w:rsid w:val="00513415"/>
    <w:rsid w:val="00513443"/>
    <w:rsid w:val="005136BE"/>
    <w:rsid w:val="005137E0"/>
    <w:rsid w:val="0051388E"/>
    <w:rsid w:val="0051389E"/>
    <w:rsid w:val="005138C1"/>
    <w:rsid w:val="005138E0"/>
    <w:rsid w:val="00513909"/>
    <w:rsid w:val="0051398C"/>
    <w:rsid w:val="00513AF9"/>
    <w:rsid w:val="00513C70"/>
    <w:rsid w:val="00514031"/>
    <w:rsid w:val="00514297"/>
    <w:rsid w:val="005142DB"/>
    <w:rsid w:val="005142FD"/>
    <w:rsid w:val="0051460D"/>
    <w:rsid w:val="00514665"/>
    <w:rsid w:val="00514796"/>
    <w:rsid w:val="005147AF"/>
    <w:rsid w:val="00514AD0"/>
    <w:rsid w:val="00514AD7"/>
    <w:rsid w:val="00514AE6"/>
    <w:rsid w:val="00514CBF"/>
    <w:rsid w:val="00514F23"/>
    <w:rsid w:val="00514F65"/>
    <w:rsid w:val="00514F66"/>
    <w:rsid w:val="00514F84"/>
    <w:rsid w:val="00515128"/>
    <w:rsid w:val="00515181"/>
    <w:rsid w:val="0051524C"/>
    <w:rsid w:val="0051525E"/>
    <w:rsid w:val="0051531A"/>
    <w:rsid w:val="00515648"/>
    <w:rsid w:val="0051571E"/>
    <w:rsid w:val="00515791"/>
    <w:rsid w:val="00515793"/>
    <w:rsid w:val="00515921"/>
    <w:rsid w:val="00515AC8"/>
    <w:rsid w:val="00515ACC"/>
    <w:rsid w:val="00515C1B"/>
    <w:rsid w:val="00515D61"/>
    <w:rsid w:val="00515DA1"/>
    <w:rsid w:val="00515E66"/>
    <w:rsid w:val="00515E8B"/>
    <w:rsid w:val="00516041"/>
    <w:rsid w:val="00516086"/>
    <w:rsid w:val="00516357"/>
    <w:rsid w:val="0051652F"/>
    <w:rsid w:val="00516545"/>
    <w:rsid w:val="0051666F"/>
    <w:rsid w:val="005166BC"/>
    <w:rsid w:val="005167E8"/>
    <w:rsid w:val="00516862"/>
    <w:rsid w:val="0051696A"/>
    <w:rsid w:val="00516C71"/>
    <w:rsid w:val="00516E94"/>
    <w:rsid w:val="00516EDB"/>
    <w:rsid w:val="0051726E"/>
    <w:rsid w:val="005172F6"/>
    <w:rsid w:val="00517321"/>
    <w:rsid w:val="005173FC"/>
    <w:rsid w:val="005174CD"/>
    <w:rsid w:val="0051763C"/>
    <w:rsid w:val="00517893"/>
    <w:rsid w:val="005178C8"/>
    <w:rsid w:val="00517BBA"/>
    <w:rsid w:val="00517BC0"/>
    <w:rsid w:val="00517E92"/>
    <w:rsid w:val="00517F1D"/>
    <w:rsid w:val="00520013"/>
    <w:rsid w:val="00520114"/>
    <w:rsid w:val="005202F7"/>
    <w:rsid w:val="00520316"/>
    <w:rsid w:val="00520390"/>
    <w:rsid w:val="00520678"/>
    <w:rsid w:val="00520704"/>
    <w:rsid w:val="00520785"/>
    <w:rsid w:val="0052080D"/>
    <w:rsid w:val="00520B73"/>
    <w:rsid w:val="00520B79"/>
    <w:rsid w:val="00520B89"/>
    <w:rsid w:val="00520C10"/>
    <w:rsid w:val="00520C63"/>
    <w:rsid w:val="00520D8B"/>
    <w:rsid w:val="00520E38"/>
    <w:rsid w:val="00520E7A"/>
    <w:rsid w:val="00520F11"/>
    <w:rsid w:val="00520FAD"/>
    <w:rsid w:val="00520FB1"/>
    <w:rsid w:val="00521099"/>
    <w:rsid w:val="0052136B"/>
    <w:rsid w:val="005214E6"/>
    <w:rsid w:val="005216B3"/>
    <w:rsid w:val="005216FB"/>
    <w:rsid w:val="0052174C"/>
    <w:rsid w:val="0052185B"/>
    <w:rsid w:val="005219AB"/>
    <w:rsid w:val="00521D4D"/>
    <w:rsid w:val="00521F5F"/>
    <w:rsid w:val="00521F6E"/>
    <w:rsid w:val="00521FDA"/>
    <w:rsid w:val="005221B7"/>
    <w:rsid w:val="00522252"/>
    <w:rsid w:val="005223D8"/>
    <w:rsid w:val="0052248A"/>
    <w:rsid w:val="00522823"/>
    <w:rsid w:val="00522BB6"/>
    <w:rsid w:val="00522D6A"/>
    <w:rsid w:val="00522E40"/>
    <w:rsid w:val="00522ECA"/>
    <w:rsid w:val="0052317A"/>
    <w:rsid w:val="005231D2"/>
    <w:rsid w:val="005233EE"/>
    <w:rsid w:val="0052355D"/>
    <w:rsid w:val="005235B6"/>
    <w:rsid w:val="00523613"/>
    <w:rsid w:val="00523739"/>
    <w:rsid w:val="00523764"/>
    <w:rsid w:val="00523795"/>
    <w:rsid w:val="005237A5"/>
    <w:rsid w:val="005239B3"/>
    <w:rsid w:val="00523A8D"/>
    <w:rsid w:val="00523C34"/>
    <w:rsid w:val="00523D41"/>
    <w:rsid w:val="00523DFD"/>
    <w:rsid w:val="00523E5E"/>
    <w:rsid w:val="0052405F"/>
    <w:rsid w:val="00524210"/>
    <w:rsid w:val="00524283"/>
    <w:rsid w:val="00524440"/>
    <w:rsid w:val="00524588"/>
    <w:rsid w:val="005245D3"/>
    <w:rsid w:val="005247E8"/>
    <w:rsid w:val="005248CF"/>
    <w:rsid w:val="0052497A"/>
    <w:rsid w:val="00524DA3"/>
    <w:rsid w:val="00524DE1"/>
    <w:rsid w:val="00524EEE"/>
    <w:rsid w:val="00524EFE"/>
    <w:rsid w:val="0052505B"/>
    <w:rsid w:val="0052513B"/>
    <w:rsid w:val="0052535E"/>
    <w:rsid w:val="00525400"/>
    <w:rsid w:val="00525533"/>
    <w:rsid w:val="00525593"/>
    <w:rsid w:val="0052574A"/>
    <w:rsid w:val="00525C73"/>
    <w:rsid w:val="00525FB1"/>
    <w:rsid w:val="00525FB7"/>
    <w:rsid w:val="0052650E"/>
    <w:rsid w:val="00526659"/>
    <w:rsid w:val="00526AEB"/>
    <w:rsid w:val="00526AF0"/>
    <w:rsid w:val="00526AF8"/>
    <w:rsid w:val="00526D7D"/>
    <w:rsid w:val="00526DD1"/>
    <w:rsid w:val="00526EC0"/>
    <w:rsid w:val="005270C8"/>
    <w:rsid w:val="005271C4"/>
    <w:rsid w:val="00527225"/>
    <w:rsid w:val="005274BD"/>
    <w:rsid w:val="005275B5"/>
    <w:rsid w:val="005275DE"/>
    <w:rsid w:val="00527768"/>
    <w:rsid w:val="00527777"/>
    <w:rsid w:val="00527797"/>
    <w:rsid w:val="005278D9"/>
    <w:rsid w:val="0052794B"/>
    <w:rsid w:val="00527AEE"/>
    <w:rsid w:val="00527BEB"/>
    <w:rsid w:val="00527C34"/>
    <w:rsid w:val="00527CF5"/>
    <w:rsid w:val="00527F20"/>
    <w:rsid w:val="00530025"/>
    <w:rsid w:val="00530049"/>
    <w:rsid w:val="0053011E"/>
    <w:rsid w:val="00530231"/>
    <w:rsid w:val="0053044D"/>
    <w:rsid w:val="005307B3"/>
    <w:rsid w:val="00530910"/>
    <w:rsid w:val="00530C1C"/>
    <w:rsid w:val="00530C67"/>
    <w:rsid w:val="00530D25"/>
    <w:rsid w:val="00530E14"/>
    <w:rsid w:val="00530E3F"/>
    <w:rsid w:val="0053102F"/>
    <w:rsid w:val="005310EB"/>
    <w:rsid w:val="0053129E"/>
    <w:rsid w:val="005312C5"/>
    <w:rsid w:val="00531350"/>
    <w:rsid w:val="005315C3"/>
    <w:rsid w:val="00531610"/>
    <w:rsid w:val="0053165F"/>
    <w:rsid w:val="0053182F"/>
    <w:rsid w:val="00531990"/>
    <w:rsid w:val="00531BAE"/>
    <w:rsid w:val="00531C08"/>
    <w:rsid w:val="00531C55"/>
    <w:rsid w:val="00531EAC"/>
    <w:rsid w:val="00531F2B"/>
    <w:rsid w:val="00532105"/>
    <w:rsid w:val="0053219A"/>
    <w:rsid w:val="00532274"/>
    <w:rsid w:val="0053240A"/>
    <w:rsid w:val="005325DB"/>
    <w:rsid w:val="005327C4"/>
    <w:rsid w:val="00532820"/>
    <w:rsid w:val="00532914"/>
    <w:rsid w:val="00532A5F"/>
    <w:rsid w:val="00532CB1"/>
    <w:rsid w:val="00532CD5"/>
    <w:rsid w:val="00532D6F"/>
    <w:rsid w:val="00532D88"/>
    <w:rsid w:val="00532DD1"/>
    <w:rsid w:val="00532E27"/>
    <w:rsid w:val="00532EA8"/>
    <w:rsid w:val="00532F54"/>
    <w:rsid w:val="00532F8D"/>
    <w:rsid w:val="00532F9F"/>
    <w:rsid w:val="005332DB"/>
    <w:rsid w:val="00533388"/>
    <w:rsid w:val="00533477"/>
    <w:rsid w:val="005334D9"/>
    <w:rsid w:val="0053358B"/>
    <w:rsid w:val="00533620"/>
    <w:rsid w:val="005336C4"/>
    <w:rsid w:val="0053381C"/>
    <w:rsid w:val="00533911"/>
    <w:rsid w:val="0053392D"/>
    <w:rsid w:val="005339A5"/>
    <w:rsid w:val="00533A5C"/>
    <w:rsid w:val="00533C67"/>
    <w:rsid w:val="00533E18"/>
    <w:rsid w:val="00533E49"/>
    <w:rsid w:val="00533E50"/>
    <w:rsid w:val="00533EE4"/>
    <w:rsid w:val="00533F8E"/>
    <w:rsid w:val="00534011"/>
    <w:rsid w:val="005340BB"/>
    <w:rsid w:val="0053423C"/>
    <w:rsid w:val="0053445E"/>
    <w:rsid w:val="005344D0"/>
    <w:rsid w:val="005348BB"/>
    <w:rsid w:val="00534927"/>
    <w:rsid w:val="00534A3C"/>
    <w:rsid w:val="00534A84"/>
    <w:rsid w:val="00534B3D"/>
    <w:rsid w:val="00534DAD"/>
    <w:rsid w:val="00534DD1"/>
    <w:rsid w:val="00534E99"/>
    <w:rsid w:val="0053506D"/>
    <w:rsid w:val="00535173"/>
    <w:rsid w:val="00535199"/>
    <w:rsid w:val="00535250"/>
    <w:rsid w:val="005353D8"/>
    <w:rsid w:val="005355E9"/>
    <w:rsid w:val="0053579F"/>
    <w:rsid w:val="005357C2"/>
    <w:rsid w:val="00535830"/>
    <w:rsid w:val="0053583C"/>
    <w:rsid w:val="005359D6"/>
    <w:rsid w:val="00535A61"/>
    <w:rsid w:val="00535C81"/>
    <w:rsid w:val="00535D74"/>
    <w:rsid w:val="00535F2E"/>
    <w:rsid w:val="005362B2"/>
    <w:rsid w:val="005363C6"/>
    <w:rsid w:val="00536418"/>
    <w:rsid w:val="005364F2"/>
    <w:rsid w:val="00536566"/>
    <w:rsid w:val="005365D6"/>
    <w:rsid w:val="005366E5"/>
    <w:rsid w:val="00536753"/>
    <w:rsid w:val="0053679F"/>
    <w:rsid w:val="00536B02"/>
    <w:rsid w:val="00536B2D"/>
    <w:rsid w:val="00536B2E"/>
    <w:rsid w:val="00536E58"/>
    <w:rsid w:val="00536F0A"/>
    <w:rsid w:val="0053736C"/>
    <w:rsid w:val="0053737D"/>
    <w:rsid w:val="005373CA"/>
    <w:rsid w:val="0053777C"/>
    <w:rsid w:val="00537920"/>
    <w:rsid w:val="00537A50"/>
    <w:rsid w:val="00537A60"/>
    <w:rsid w:val="00537B0F"/>
    <w:rsid w:val="00537B90"/>
    <w:rsid w:val="00537C39"/>
    <w:rsid w:val="00537CB4"/>
    <w:rsid w:val="00537E72"/>
    <w:rsid w:val="00537F3B"/>
    <w:rsid w:val="005400A2"/>
    <w:rsid w:val="005402A0"/>
    <w:rsid w:val="005402D2"/>
    <w:rsid w:val="0054053A"/>
    <w:rsid w:val="005405B2"/>
    <w:rsid w:val="00540797"/>
    <w:rsid w:val="0054084A"/>
    <w:rsid w:val="005409A5"/>
    <w:rsid w:val="005409D1"/>
    <w:rsid w:val="00540B28"/>
    <w:rsid w:val="00540C51"/>
    <w:rsid w:val="00540E2D"/>
    <w:rsid w:val="00540F21"/>
    <w:rsid w:val="00540FE6"/>
    <w:rsid w:val="00541064"/>
    <w:rsid w:val="0054120C"/>
    <w:rsid w:val="00541281"/>
    <w:rsid w:val="0054129E"/>
    <w:rsid w:val="005414A4"/>
    <w:rsid w:val="0054156A"/>
    <w:rsid w:val="00541636"/>
    <w:rsid w:val="005416C5"/>
    <w:rsid w:val="005417F9"/>
    <w:rsid w:val="005419B7"/>
    <w:rsid w:val="005419F2"/>
    <w:rsid w:val="00541BCD"/>
    <w:rsid w:val="00541CB5"/>
    <w:rsid w:val="00541D0E"/>
    <w:rsid w:val="00541DB2"/>
    <w:rsid w:val="0054207D"/>
    <w:rsid w:val="00542235"/>
    <w:rsid w:val="00542260"/>
    <w:rsid w:val="005422C0"/>
    <w:rsid w:val="005422EF"/>
    <w:rsid w:val="00542302"/>
    <w:rsid w:val="00542449"/>
    <w:rsid w:val="00542488"/>
    <w:rsid w:val="005424FB"/>
    <w:rsid w:val="00542588"/>
    <w:rsid w:val="00542740"/>
    <w:rsid w:val="005429F8"/>
    <w:rsid w:val="00542BA9"/>
    <w:rsid w:val="00542CBF"/>
    <w:rsid w:val="00542DEC"/>
    <w:rsid w:val="0054302F"/>
    <w:rsid w:val="00543215"/>
    <w:rsid w:val="0054341B"/>
    <w:rsid w:val="0054369D"/>
    <w:rsid w:val="005436FF"/>
    <w:rsid w:val="0054395A"/>
    <w:rsid w:val="00543AE3"/>
    <w:rsid w:val="00543B34"/>
    <w:rsid w:val="00543B8A"/>
    <w:rsid w:val="00543C23"/>
    <w:rsid w:val="00543CEB"/>
    <w:rsid w:val="00543DB0"/>
    <w:rsid w:val="00543F2A"/>
    <w:rsid w:val="00544060"/>
    <w:rsid w:val="0054406B"/>
    <w:rsid w:val="005441CD"/>
    <w:rsid w:val="005442BA"/>
    <w:rsid w:val="00544354"/>
    <w:rsid w:val="0054438F"/>
    <w:rsid w:val="0054443A"/>
    <w:rsid w:val="005445C5"/>
    <w:rsid w:val="0054491A"/>
    <w:rsid w:val="0054499D"/>
    <w:rsid w:val="00544CF3"/>
    <w:rsid w:val="00544EEF"/>
    <w:rsid w:val="00544F20"/>
    <w:rsid w:val="00544F4C"/>
    <w:rsid w:val="00544F64"/>
    <w:rsid w:val="00545091"/>
    <w:rsid w:val="0054534B"/>
    <w:rsid w:val="0054538B"/>
    <w:rsid w:val="0054562D"/>
    <w:rsid w:val="005457F9"/>
    <w:rsid w:val="0054582F"/>
    <w:rsid w:val="00545EDC"/>
    <w:rsid w:val="00545EFB"/>
    <w:rsid w:val="00546081"/>
    <w:rsid w:val="005461E6"/>
    <w:rsid w:val="00546326"/>
    <w:rsid w:val="0054676B"/>
    <w:rsid w:val="005468EE"/>
    <w:rsid w:val="005469BD"/>
    <w:rsid w:val="005469D7"/>
    <w:rsid w:val="00546B97"/>
    <w:rsid w:val="00546CEA"/>
    <w:rsid w:val="005471EA"/>
    <w:rsid w:val="0054747F"/>
    <w:rsid w:val="00547603"/>
    <w:rsid w:val="00547608"/>
    <w:rsid w:val="00547719"/>
    <w:rsid w:val="00547790"/>
    <w:rsid w:val="0054790D"/>
    <w:rsid w:val="00547E17"/>
    <w:rsid w:val="00547F49"/>
    <w:rsid w:val="0055015A"/>
    <w:rsid w:val="00550276"/>
    <w:rsid w:val="005505E7"/>
    <w:rsid w:val="005505EB"/>
    <w:rsid w:val="0055070B"/>
    <w:rsid w:val="00550A6B"/>
    <w:rsid w:val="00550B2B"/>
    <w:rsid w:val="00550CEF"/>
    <w:rsid w:val="00550DDB"/>
    <w:rsid w:val="00550E16"/>
    <w:rsid w:val="00550EAA"/>
    <w:rsid w:val="005510DE"/>
    <w:rsid w:val="0055111A"/>
    <w:rsid w:val="005511CE"/>
    <w:rsid w:val="00551216"/>
    <w:rsid w:val="0055132D"/>
    <w:rsid w:val="00551625"/>
    <w:rsid w:val="00551720"/>
    <w:rsid w:val="00551765"/>
    <w:rsid w:val="005517A6"/>
    <w:rsid w:val="0055192A"/>
    <w:rsid w:val="0055192F"/>
    <w:rsid w:val="00551A3F"/>
    <w:rsid w:val="00551A86"/>
    <w:rsid w:val="00551BB0"/>
    <w:rsid w:val="00551E87"/>
    <w:rsid w:val="00551EED"/>
    <w:rsid w:val="005520EF"/>
    <w:rsid w:val="005521C0"/>
    <w:rsid w:val="0055234B"/>
    <w:rsid w:val="00552415"/>
    <w:rsid w:val="00552489"/>
    <w:rsid w:val="005525C8"/>
    <w:rsid w:val="005526C7"/>
    <w:rsid w:val="0055282C"/>
    <w:rsid w:val="00552838"/>
    <w:rsid w:val="00552A51"/>
    <w:rsid w:val="00552A73"/>
    <w:rsid w:val="00552A83"/>
    <w:rsid w:val="00552AAC"/>
    <w:rsid w:val="00552BD1"/>
    <w:rsid w:val="00552C14"/>
    <w:rsid w:val="00552C58"/>
    <w:rsid w:val="00552D40"/>
    <w:rsid w:val="00552D6D"/>
    <w:rsid w:val="0055307F"/>
    <w:rsid w:val="0055310A"/>
    <w:rsid w:val="005533AD"/>
    <w:rsid w:val="0055356F"/>
    <w:rsid w:val="005536B5"/>
    <w:rsid w:val="005536FE"/>
    <w:rsid w:val="00553790"/>
    <w:rsid w:val="005537B8"/>
    <w:rsid w:val="00553849"/>
    <w:rsid w:val="0055395A"/>
    <w:rsid w:val="00553B54"/>
    <w:rsid w:val="00553B98"/>
    <w:rsid w:val="00553C41"/>
    <w:rsid w:val="00553CAC"/>
    <w:rsid w:val="00554003"/>
    <w:rsid w:val="00554082"/>
    <w:rsid w:val="00554107"/>
    <w:rsid w:val="0055422E"/>
    <w:rsid w:val="00554283"/>
    <w:rsid w:val="0055435A"/>
    <w:rsid w:val="00554745"/>
    <w:rsid w:val="0055480B"/>
    <w:rsid w:val="00554962"/>
    <w:rsid w:val="005549C1"/>
    <w:rsid w:val="00554A78"/>
    <w:rsid w:val="00554B37"/>
    <w:rsid w:val="00554BF0"/>
    <w:rsid w:val="00554BF3"/>
    <w:rsid w:val="00554EFE"/>
    <w:rsid w:val="00554F67"/>
    <w:rsid w:val="00555020"/>
    <w:rsid w:val="005551E4"/>
    <w:rsid w:val="0055520F"/>
    <w:rsid w:val="0055530D"/>
    <w:rsid w:val="005553A7"/>
    <w:rsid w:val="00555449"/>
    <w:rsid w:val="00555686"/>
    <w:rsid w:val="005556B1"/>
    <w:rsid w:val="00555747"/>
    <w:rsid w:val="005559FD"/>
    <w:rsid w:val="00555A44"/>
    <w:rsid w:val="00555AA5"/>
    <w:rsid w:val="00555B57"/>
    <w:rsid w:val="00555FDA"/>
    <w:rsid w:val="0055613B"/>
    <w:rsid w:val="0055613F"/>
    <w:rsid w:val="005561DF"/>
    <w:rsid w:val="005562DF"/>
    <w:rsid w:val="00556319"/>
    <w:rsid w:val="0055658F"/>
    <w:rsid w:val="005565F4"/>
    <w:rsid w:val="0055670D"/>
    <w:rsid w:val="0055672A"/>
    <w:rsid w:val="005569EE"/>
    <w:rsid w:val="00556C2F"/>
    <w:rsid w:val="00556CA8"/>
    <w:rsid w:val="00556CF7"/>
    <w:rsid w:val="00556E50"/>
    <w:rsid w:val="00556EC9"/>
    <w:rsid w:val="00556F12"/>
    <w:rsid w:val="00556FC2"/>
    <w:rsid w:val="00557017"/>
    <w:rsid w:val="005570B5"/>
    <w:rsid w:val="00557237"/>
    <w:rsid w:val="00557241"/>
    <w:rsid w:val="00557653"/>
    <w:rsid w:val="00557783"/>
    <w:rsid w:val="005577A1"/>
    <w:rsid w:val="00557B0B"/>
    <w:rsid w:val="00557B5B"/>
    <w:rsid w:val="00557E33"/>
    <w:rsid w:val="00557F3A"/>
    <w:rsid w:val="00557F84"/>
    <w:rsid w:val="00560280"/>
    <w:rsid w:val="0056029E"/>
    <w:rsid w:val="005603BF"/>
    <w:rsid w:val="00560472"/>
    <w:rsid w:val="00560499"/>
    <w:rsid w:val="0056053E"/>
    <w:rsid w:val="005605D1"/>
    <w:rsid w:val="00560B18"/>
    <w:rsid w:val="00560B8A"/>
    <w:rsid w:val="00560C04"/>
    <w:rsid w:val="00560C95"/>
    <w:rsid w:val="00561163"/>
    <w:rsid w:val="00561203"/>
    <w:rsid w:val="005613F7"/>
    <w:rsid w:val="0056147D"/>
    <w:rsid w:val="005614EC"/>
    <w:rsid w:val="00561610"/>
    <w:rsid w:val="00561959"/>
    <w:rsid w:val="00561ABA"/>
    <w:rsid w:val="00561D1B"/>
    <w:rsid w:val="00561EB7"/>
    <w:rsid w:val="00561EC6"/>
    <w:rsid w:val="00561FB9"/>
    <w:rsid w:val="005621A4"/>
    <w:rsid w:val="00562542"/>
    <w:rsid w:val="0056268B"/>
    <w:rsid w:val="005626C1"/>
    <w:rsid w:val="005626C5"/>
    <w:rsid w:val="00562716"/>
    <w:rsid w:val="00562747"/>
    <w:rsid w:val="00562A2D"/>
    <w:rsid w:val="00562BA1"/>
    <w:rsid w:val="00562E51"/>
    <w:rsid w:val="00562EBA"/>
    <w:rsid w:val="00562ECB"/>
    <w:rsid w:val="00562F86"/>
    <w:rsid w:val="0056300A"/>
    <w:rsid w:val="00563133"/>
    <w:rsid w:val="005632ED"/>
    <w:rsid w:val="005633E5"/>
    <w:rsid w:val="0056349A"/>
    <w:rsid w:val="005636C5"/>
    <w:rsid w:val="0056378F"/>
    <w:rsid w:val="005638A6"/>
    <w:rsid w:val="005639CB"/>
    <w:rsid w:val="005639DA"/>
    <w:rsid w:val="00563A2D"/>
    <w:rsid w:val="00563C1E"/>
    <w:rsid w:val="00563CE6"/>
    <w:rsid w:val="00563CE8"/>
    <w:rsid w:val="00563D37"/>
    <w:rsid w:val="00563E18"/>
    <w:rsid w:val="00563E1A"/>
    <w:rsid w:val="00563FC1"/>
    <w:rsid w:val="005641FA"/>
    <w:rsid w:val="005642DD"/>
    <w:rsid w:val="00564367"/>
    <w:rsid w:val="0056438C"/>
    <w:rsid w:val="00564410"/>
    <w:rsid w:val="005645FB"/>
    <w:rsid w:val="0056467A"/>
    <w:rsid w:val="0056470A"/>
    <w:rsid w:val="005647CC"/>
    <w:rsid w:val="00564854"/>
    <w:rsid w:val="0056496C"/>
    <w:rsid w:val="00564D12"/>
    <w:rsid w:val="00564E0A"/>
    <w:rsid w:val="00564E11"/>
    <w:rsid w:val="00564E33"/>
    <w:rsid w:val="00564F99"/>
    <w:rsid w:val="0056500C"/>
    <w:rsid w:val="00565211"/>
    <w:rsid w:val="00565455"/>
    <w:rsid w:val="0056571B"/>
    <w:rsid w:val="005659C8"/>
    <w:rsid w:val="00565A18"/>
    <w:rsid w:val="00565B4B"/>
    <w:rsid w:val="00565F41"/>
    <w:rsid w:val="00566108"/>
    <w:rsid w:val="005662F1"/>
    <w:rsid w:val="005664FF"/>
    <w:rsid w:val="00566567"/>
    <w:rsid w:val="00566678"/>
    <w:rsid w:val="00566839"/>
    <w:rsid w:val="005668B3"/>
    <w:rsid w:val="00566B77"/>
    <w:rsid w:val="00566C2D"/>
    <w:rsid w:val="00566F52"/>
    <w:rsid w:val="005670EF"/>
    <w:rsid w:val="0056714D"/>
    <w:rsid w:val="0056720F"/>
    <w:rsid w:val="005672E0"/>
    <w:rsid w:val="005673EC"/>
    <w:rsid w:val="005675A7"/>
    <w:rsid w:val="00567803"/>
    <w:rsid w:val="005678BF"/>
    <w:rsid w:val="00567A21"/>
    <w:rsid w:val="00567B93"/>
    <w:rsid w:val="00567BB0"/>
    <w:rsid w:val="00567BE5"/>
    <w:rsid w:val="00567C17"/>
    <w:rsid w:val="00567CB9"/>
    <w:rsid w:val="00567DC7"/>
    <w:rsid w:val="00567FEE"/>
    <w:rsid w:val="00570014"/>
    <w:rsid w:val="005700A6"/>
    <w:rsid w:val="00570111"/>
    <w:rsid w:val="00570332"/>
    <w:rsid w:val="005704C3"/>
    <w:rsid w:val="005704FB"/>
    <w:rsid w:val="00570598"/>
    <w:rsid w:val="00570660"/>
    <w:rsid w:val="00570679"/>
    <w:rsid w:val="005706FF"/>
    <w:rsid w:val="00570902"/>
    <w:rsid w:val="00570AE7"/>
    <w:rsid w:val="00570B04"/>
    <w:rsid w:val="00570B35"/>
    <w:rsid w:val="00570CB9"/>
    <w:rsid w:val="00570CD1"/>
    <w:rsid w:val="00570DBF"/>
    <w:rsid w:val="00570DF7"/>
    <w:rsid w:val="00570E29"/>
    <w:rsid w:val="00570EC1"/>
    <w:rsid w:val="00571102"/>
    <w:rsid w:val="005711E1"/>
    <w:rsid w:val="0057141B"/>
    <w:rsid w:val="00571908"/>
    <w:rsid w:val="005719A1"/>
    <w:rsid w:val="00571A12"/>
    <w:rsid w:val="00571A19"/>
    <w:rsid w:val="00571AB0"/>
    <w:rsid w:val="00571D20"/>
    <w:rsid w:val="00571D77"/>
    <w:rsid w:val="00571E42"/>
    <w:rsid w:val="00571E96"/>
    <w:rsid w:val="00571F73"/>
    <w:rsid w:val="00572049"/>
    <w:rsid w:val="00572179"/>
    <w:rsid w:val="00572216"/>
    <w:rsid w:val="00572247"/>
    <w:rsid w:val="0057227A"/>
    <w:rsid w:val="00572430"/>
    <w:rsid w:val="005724C0"/>
    <w:rsid w:val="00572525"/>
    <w:rsid w:val="0057258C"/>
    <w:rsid w:val="005725A7"/>
    <w:rsid w:val="00572600"/>
    <w:rsid w:val="00572623"/>
    <w:rsid w:val="00572753"/>
    <w:rsid w:val="005728A0"/>
    <w:rsid w:val="00572E0A"/>
    <w:rsid w:val="00572E44"/>
    <w:rsid w:val="00572E6B"/>
    <w:rsid w:val="00572E7C"/>
    <w:rsid w:val="00573060"/>
    <w:rsid w:val="005731E2"/>
    <w:rsid w:val="005731FA"/>
    <w:rsid w:val="00573333"/>
    <w:rsid w:val="00573403"/>
    <w:rsid w:val="005735F8"/>
    <w:rsid w:val="005738CB"/>
    <w:rsid w:val="005739D7"/>
    <w:rsid w:val="00573ABB"/>
    <w:rsid w:val="00573B84"/>
    <w:rsid w:val="00573BD7"/>
    <w:rsid w:val="00573ECF"/>
    <w:rsid w:val="00573F88"/>
    <w:rsid w:val="00573FCE"/>
    <w:rsid w:val="005741D5"/>
    <w:rsid w:val="005741D9"/>
    <w:rsid w:val="00574278"/>
    <w:rsid w:val="005744C3"/>
    <w:rsid w:val="00574617"/>
    <w:rsid w:val="00574619"/>
    <w:rsid w:val="0057469F"/>
    <w:rsid w:val="005746FE"/>
    <w:rsid w:val="005747AF"/>
    <w:rsid w:val="005749A4"/>
    <w:rsid w:val="00574CAF"/>
    <w:rsid w:val="00574ECF"/>
    <w:rsid w:val="00574F29"/>
    <w:rsid w:val="00575200"/>
    <w:rsid w:val="00575210"/>
    <w:rsid w:val="00575493"/>
    <w:rsid w:val="005754CD"/>
    <w:rsid w:val="00575724"/>
    <w:rsid w:val="005757FE"/>
    <w:rsid w:val="00575C3E"/>
    <w:rsid w:val="00575CA8"/>
    <w:rsid w:val="00575D57"/>
    <w:rsid w:val="00575E85"/>
    <w:rsid w:val="00575F8C"/>
    <w:rsid w:val="00575F9F"/>
    <w:rsid w:val="00576051"/>
    <w:rsid w:val="00576125"/>
    <w:rsid w:val="00576170"/>
    <w:rsid w:val="005763BB"/>
    <w:rsid w:val="0057652B"/>
    <w:rsid w:val="00576762"/>
    <w:rsid w:val="00576781"/>
    <w:rsid w:val="005768A5"/>
    <w:rsid w:val="00576976"/>
    <w:rsid w:val="00576A2D"/>
    <w:rsid w:val="00576A87"/>
    <w:rsid w:val="00576AC3"/>
    <w:rsid w:val="00576AE9"/>
    <w:rsid w:val="00576B17"/>
    <w:rsid w:val="00576B4F"/>
    <w:rsid w:val="00576C13"/>
    <w:rsid w:val="00576E6F"/>
    <w:rsid w:val="00576FD9"/>
    <w:rsid w:val="0057711E"/>
    <w:rsid w:val="00577382"/>
    <w:rsid w:val="005774EC"/>
    <w:rsid w:val="00577797"/>
    <w:rsid w:val="00577954"/>
    <w:rsid w:val="0057796B"/>
    <w:rsid w:val="005779FB"/>
    <w:rsid w:val="00577A37"/>
    <w:rsid w:val="00577B92"/>
    <w:rsid w:val="00577CA1"/>
    <w:rsid w:val="00577CBB"/>
    <w:rsid w:val="00577E6E"/>
    <w:rsid w:val="00577F2B"/>
    <w:rsid w:val="00577F6B"/>
    <w:rsid w:val="00580222"/>
    <w:rsid w:val="0058028E"/>
    <w:rsid w:val="005803C9"/>
    <w:rsid w:val="00580445"/>
    <w:rsid w:val="00580592"/>
    <w:rsid w:val="005806AC"/>
    <w:rsid w:val="00580889"/>
    <w:rsid w:val="00580A16"/>
    <w:rsid w:val="00580B91"/>
    <w:rsid w:val="00580BB2"/>
    <w:rsid w:val="00580C1D"/>
    <w:rsid w:val="00580CED"/>
    <w:rsid w:val="00580E88"/>
    <w:rsid w:val="00580E9F"/>
    <w:rsid w:val="00580FA9"/>
    <w:rsid w:val="00580FB1"/>
    <w:rsid w:val="005811AA"/>
    <w:rsid w:val="0058127F"/>
    <w:rsid w:val="005812DE"/>
    <w:rsid w:val="00581342"/>
    <w:rsid w:val="00581393"/>
    <w:rsid w:val="005813F3"/>
    <w:rsid w:val="00581405"/>
    <w:rsid w:val="00581516"/>
    <w:rsid w:val="00581986"/>
    <w:rsid w:val="00581C93"/>
    <w:rsid w:val="00581D8E"/>
    <w:rsid w:val="00581F51"/>
    <w:rsid w:val="00582037"/>
    <w:rsid w:val="00582345"/>
    <w:rsid w:val="00582347"/>
    <w:rsid w:val="00582704"/>
    <w:rsid w:val="00582928"/>
    <w:rsid w:val="00582BDA"/>
    <w:rsid w:val="00582BEB"/>
    <w:rsid w:val="00582C51"/>
    <w:rsid w:val="00582F1F"/>
    <w:rsid w:val="0058318C"/>
    <w:rsid w:val="005831F7"/>
    <w:rsid w:val="005832AB"/>
    <w:rsid w:val="0058340F"/>
    <w:rsid w:val="0058355D"/>
    <w:rsid w:val="00583825"/>
    <w:rsid w:val="00583870"/>
    <w:rsid w:val="00583999"/>
    <w:rsid w:val="00583A84"/>
    <w:rsid w:val="00583B3F"/>
    <w:rsid w:val="00583C53"/>
    <w:rsid w:val="00583F33"/>
    <w:rsid w:val="0058402B"/>
    <w:rsid w:val="0058403D"/>
    <w:rsid w:val="00584434"/>
    <w:rsid w:val="005844B3"/>
    <w:rsid w:val="005846C4"/>
    <w:rsid w:val="0058492D"/>
    <w:rsid w:val="00584A6A"/>
    <w:rsid w:val="00584B87"/>
    <w:rsid w:val="00584C43"/>
    <w:rsid w:val="00584CDE"/>
    <w:rsid w:val="00584EC7"/>
    <w:rsid w:val="00584F50"/>
    <w:rsid w:val="00585009"/>
    <w:rsid w:val="00585052"/>
    <w:rsid w:val="00585088"/>
    <w:rsid w:val="005850B1"/>
    <w:rsid w:val="0058518C"/>
    <w:rsid w:val="005854E0"/>
    <w:rsid w:val="005854EA"/>
    <w:rsid w:val="0058596A"/>
    <w:rsid w:val="00585ACE"/>
    <w:rsid w:val="00585D44"/>
    <w:rsid w:val="0058606B"/>
    <w:rsid w:val="0058611C"/>
    <w:rsid w:val="00586166"/>
    <w:rsid w:val="00586198"/>
    <w:rsid w:val="005861F2"/>
    <w:rsid w:val="0058640C"/>
    <w:rsid w:val="0058648F"/>
    <w:rsid w:val="00586529"/>
    <w:rsid w:val="00586533"/>
    <w:rsid w:val="00586AAA"/>
    <w:rsid w:val="00586AF2"/>
    <w:rsid w:val="00586C32"/>
    <w:rsid w:val="00586C9D"/>
    <w:rsid w:val="00586CC2"/>
    <w:rsid w:val="0058700C"/>
    <w:rsid w:val="005870A5"/>
    <w:rsid w:val="00587129"/>
    <w:rsid w:val="005873A9"/>
    <w:rsid w:val="0058750B"/>
    <w:rsid w:val="00587517"/>
    <w:rsid w:val="0058752D"/>
    <w:rsid w:val="00587608"/>
    <w:rsid w:val="00587711"/>
    <w:rsid w:val="00587977"/>
    <w:rsid w:val="0058798A"/>
    <w:rsid w:val="00587A41"/>
    <w:rsid w:val="00587B46"/>
    <w:rsid w:val="005901C5"/>
    <w:rsid w:val="0059025A"/>
    <w:rsid w:val="00590566"/>
    <w:rsid w:val="00590671"/>
    <w:rsid w:val="00590779"/>
    <w:rsid w:val="005907D4"/>
    <w:rsid w:val="0059082F"/>
    <w:rsid w:val="005908AA"/>
    <w:rsid w:val="00590938"/>
    <w:rsid w:val="00590A53"/>
    <w:rsid w:val="00590B81"/>
    <w:rsid w:val="00590C3B"/>
    <w:rsid w:val="00590D13"/>
    <w:rsid w:val="00590D6B"/>
    <w:rsid w:val="00590DC5"/>
    <w:rsid w:val="0059121C"/>
    <w:rsid w:val="00591316"/>
    <w:rsid w:val="00591621"/>
    <w:rsid w:val="00591686"/>
    <w:rsid w:val="00591A0D"/>
    <w:rsid w:val="00591A77"/>
    <w:rsid w:val="00591C8E"/>
    <w:rsid w:val="00591D84"/>
    <w:rsid w:val="00591DB4"/>
    <w:rsid w:val="00591E62"/>
    <w:rsid w:val="00592134"/>
    <w:rsid w:val="00592416"/>
    <w:rsid w:val="00592698"/>
    <w:rsid w:val="005927E1"/>
    <w:rsid w:val="00592952"/>
    <w:rsid w:val="005929A1"/>
    <w:rsid w:val="00592A64"/>
    <w:rsid w:val="00592B05"/>
    <w:rsid w:val="00592BBE"/>
    <w:rsid w:val="00592D6C"/>
    <w:rsid w:val="00592DAC"/>
    <w:rsid w:val="00592E8C"/>
    <w:rsid w:val="00592FCF"/>
    <w:rsid w:val="00593032"/>
    <w:rsid w:val="005930D9"/>
    <w:rsid w:val="005930EF"/>
    <w:rsid w:val="0059337A"/>
    <w:rsid w:val="005934B6"/>
    <w:rsid w:val="00593533"/>
    <w:rsid w:val="00593559"/>
    <w:rsid w:val="0059368A"/>
    <w:rsid w:val="005936E3"/>
    <w:rsid w:val="0059384C"/>
    <w:rsid w:val="00593866"/>
    <w:rsid w:val="00593A56"/>
    <w:rsid w:val="00593B17"/>
    <w:rsid w:val="00593C80"/>
    <w:rsid w:val="00593D79"/>
    <w:rsid w:val="00593DF2"/>
    <w:rsid w:val="00593E08"/>
    <w:rsid w:val="005940E0"/>
    <w:rsid w:val="005941F8"/>
    <w:rsid w:val="00594227"/>
    <w:rsid w:val="00594504"/>
    <w:rsid w:val="0059454F"/>
    <w:rsid w:val="005945A5"/>
    <w:rsid w:val="005947B5"/>
    <w:rsid w:val="005948C6"/>
    <w:rsid w:val="005948F8"/>
    <w:rsid w:val="00594A20"/>
    <w:rsid w:val="00594B00"/>
    <w:rsid w:val="00594B1B"/>
    <w:rsid w:val="00594D1B"/>
    <w:rsid w:val="00594DE4"/>
    <w:rsid w:val="00594ED0"/>
    <w:rsid w:val="00594EF5"/>
    <w:rsid w:val="00594F9C"/>
    <w:rsid w:val="005950FC"/>
    <w:rsid w:val="00595144"/>
    <w:rsid w:val="00595201"/>
    <w:rsid w:val="005956CD"/>
    <w:rsid w:val="005956FD"/>
    <w:rsid w:val="005958FA"/>
    <w:rsid w:val="00595B9B"/>
    <w:rsid w:val="00595BA0"/>
    <w:rsid w:val="00595E13"/>
    <w:rsid w:val="00595F87"/>
    <w:rsid w:val="00596092"/>
    <w:rsid w:val="005961FB"/>
    <w:rsid w:val="00596240"/>
    <w:rsid w:val="005963F4"/>
    <w:rsid w:val="00596402"/>
    <w:rsid w:val="0059642C"/>
    <w:rsid w:val="00596542"/>
    <w:rsid w:val="00596560"/>
    <w:rsid w:val="005965CE"/>
    <w:rsid w:val="0059679B"/>
    <w:rsid w:val="005967FB"/>
    <w:rsid w:val="00596916"/>
    <w:rsid w:val="00596DD0"/>
    <w:rsid w:val="00596EA3"/>
    <w:rsid w:val="00596EC6"/>
    <w:rsid w:val="00596ED0"/>
    <w:rsid w:val="00596ED2"/>
    <w:rsid w:val="00596F4B"/>
    <w:rsid w:val="00596F8A"/>
    <w:rsid w:val="00597420"/>
    <w:rsid w:val="005974E4"/>
    <w:rsid w:val="005975FD"/>
    <w:rsid w:val="0059785B"/>
    <w:rsid w:val="005978A3"/>
    <w:rsid w:val="00597A66"/>
    <w:rsid w:val="00597A8B"/>
    <w:rsid w:val="00597AAB"/>
    <w:rsid w:val="00597AE6"/>
    <w:rsid w:val="00597CF4"/>
    <w:rsid w:val="005A00E0"/>
    <w:rsid w:val="005A022B"/>
    <w:rsid w:val="005A02CA"/>
    <w:rsid w:val="005A035E"/>
    <w:rsid w:val="005A04C1"/>
    <w:rsid w:val="005A062F"/>
    <w:rsid w:val="005A0685"/>
    <w:rsid w:val="005A0722"/>
    <w:rsid w:val="005A0A36"/>
    <w:rsid w:val="005A0C53"/>
    <w:rsid w:val="005A0C91"/>
    <w:rsid w:val="005A0DB0"/>
    <w:rsid w:val="005A121B"/>
    <w:rsid w:val="005A124F"/>
    <w:rsid w:val="005A1253"/>
    <w:rsid w:val="005A13D9"/>
    <w:rsid w:val="005A13F2"/>
    <w:rsid w:val="005A177E"/>
    <w:rsid w:val="005A192A"/>
    <w:rsid w:val="005A1B2E"/>
    <w:rsid w:val="005A1B84"/>
    <w:rsid w:val="005A1CA9"/>
    <w:rsid w:val="005A1E18"/>
    <w:rsid w:val="005A1E9E"/>
    <w:rsid w:val="005A2059"/>
    <w:rsid w:val="005A2430"/>
    <w:rsid w:val="005A243B"/>
    <w:rsid w:val="005A275F"/>
    <w:rsid w:val="005A27AB"/>
    <w:rsid w:val="005A28DE"/>
    <w:rsid w:val="005A2A02"/>
    <w:rsid w:val="005A2A7E"/>
    <w:rsid w:val="005A2B5E"/>
    <w:rsid w:val="005A2E7F"/>
    <w:rsid w:val="005A2EBC"/>
    <w:rsid w:val="005A2F5F"/>
    <w:rsid w:val="005A3253"/>
    <w:rsid w:val="005A3431"/>
    <w:rsid w:val="005A36ED"/>
    <w:rsid w:val="005A385A"/>
    <w:rsid w:val="005A3885"/>
    <w:rsid w:val="005A3E94"/>
    <w:rsid w:val="005A3F14"/>
    <w:rsid w:val="005A408A"/>
    <w:rsid w:val="005A409E"/>
    <w:rsid w:val="005A4355"/>
    <w:rsid w:val="005A47B3"/>
    <w:rsid w:val="005A49D0"/>
    <w:rsid w:val="005A4AB3"/>
    <w:rsid w:val="005A4BC4"/>
    <w:rsid w:val="005A4C13"/>
    <w:rsid w:val="005A4CA4"/>
    <w:rsid w:val="005A4CAE"/>
    <w:rsid w:val="005A4D90"/>
    <w:rsid w:val="005A4EA4"/>
    <w:rsid w:val="005A4F2B"/>
    <w:rsid w:val="005A506C"/>
    <w:rsid w:val="005A515B"/>
    <w:rsid w:val="005A5359"/>
    <w:rsid w:val="005A5423"/>
    <w:rsid w:val="005A5506"/>
    <w:rsid w:val="005A58E0"/>
    <w:rsid w:val="005A59E0"/>
    <w:rsid w:val="005A59F8"/>
    <w:rsid w:val="005A5A37"/>
    <w:rsid w:val="005A5A6C"/>
    <w:rsid w:val="005A5D14"/>
    <w:rsid w:val="005A5D4D"/>
    <w:rsid w:val="005A5EBE"/>
    <w:rsid w:val="005A5FF9"/>
    <w:rsid w:val="005A609D"/>
    <w:rsid w:val="005A6114"/>
    <w:rsid w:val="005A61B1"/>
    <w:rsid w:val="005A6310"/>
    <w:rsid w:val="005A6453"/>
    <w:rsid w:val="005A66FD"/>
    <w:rsid w:val="005A6748"/>
    <w:rsid w:val="005A6814"/>
    <w:rsid w:val="005A6869"/>
    <w:rsid w:val="005A690E"/>
    <w:rsid w:val="005A69F1"/>
    <w:rsid w:val="005A6A98"/>
    <w:rsid w:val="005A6BC8"/>
    <w:rsid w:val="005A6C06"/>
    <w:rsid w:val="005A6C2D"/>
    <w:rsid w:val="005A6C36"/>
    <w:rsid w:val="005A6DD6"/>
    <w:rsid w:val="005A6E09"/>
    <w:rsid w:val="005A6E94"/>
    <w:rsid w:val="005A6FB9"/>
    <w:rsid w:val="005A7063"/>
    <w:rsid w:val="005A7074"/>
    <w:rsid w:val="005A71D5"/>
    <w:rsid w:val="005A7300"/>
    <w:rsid w:val="005A73D5"/>
    <w:rsid w:val="005A7461"/>
    <w:rsid w:val="005A7684"/>
    <w:rsid w:val="005A7739"/>
    <w:rsid w:val="005A7818"/>
    <w:rsid w:val="005A7A65"/>
    <w:rsid w:val="005A7B3B"/>
    <w:rsid w:val="005A7B64"/>
    <w:rsid w:val="005A7DF1"/>
    <w:rsid w:val="005A7E06"/>
    <w:rsid w:val="005A7E69"/>
    <w:rsid w:val="005A7F22"/>
    <w:rsid w:val="005B0107"/>
    <w:rsid w:val="005B022F"/>
    <w:rsid w:val="005B0282"/>
    <w:rsid w:val="005B0311"/>
    <w:rsid w:val="005B03A0"/>
    <w:rsid w:val="005B03E1"/>
    <w:rsid w:val="005B0427"/>
    <w:rsid w:val="005B06BD"/>
    <w:rsid w:val="005B0783"/>
    <w:rsid w:val="005B07FB"/>
    <w:rsid w:val="005B0ADD"/>
    <w:rsid w:val="005B0B05"/>
    <w:rsid w:val="005B0BF7"/>
    <w:rsid w:val="005B0ECE"/>
    <w:rsid w:val="005B0FC8"/>
    <w:rsid w:val="005B118E"/>
    <w:rsid w:val="005B1257"/>
    <w:rsid w:val="005B14DC"/>
    <w:rsid w:val="005B1529"/>
    <w:rsid w:val="005B1648"/>
    <w:rsid w:val="005B1688"/>
    <w:rsid w:val="005B17DB"/>
    <w:rsid w:val="005B1866"/>
    <w:rsid w:val="005B1A77"/>
    <w:rsid w:val="005B1A90"/>
    <w:rsid w:val="005B1B9A"/>
    <w:rsid w:val="005B1C4A"/>
    <w:rsid w:val="005B1C93"/>
    <w:rsid w:val="005B1D04"/>
    <w:rsid w:val="005B1E90"/>
    <w:rsid w:val="005B20AC"/>
    <w:rsid w:val="005B2136"/>
    <w:rsid w:val="005B2178"/>
    <w:rsid w:val="005B21BD"/>
    <w:rsid w:val="005B2289"/>
    <w:rsid w:val="005B2290"/>
    <w:rsid w:val="005B22C4"/>
    <w:rsid w:val="005B2310"/>
    <w:rsid w:val="005B234B"/>
    <w:rsid w:val="005B25AE"/>
    <w:rsid w:val="005B296A"/>
    <w:rsid w:val="005B29B2"/>
    <w:rsid w:val="005B2A67"/>
    <w:rsid w:val="005B2A73"/>
    <w:rsid w:val="005B2B18"/>
    <w:rsid w:val="005B2B49"/>
    <w:rsid w:val="005B2B87"/>
    <w:rsid w:val="005B2BD0"/>
    <w:rsid w:val="005B2BD7"/>
    <w:rsid w:val="005B2BDB"/>
    <w:rsid w:val="005B2D43"/>
    <w:rsid w:val="005B2E70"/>
    <w:rsid w:val="005B2F99"/>
    <w:rsid w:val="005B2FC2"/>
    <w:rsid w:val="005B305F"/>
    <w:rsid w:val="005B30A6"/>
    <w:rsid w:val="005B36F1"/>
    <w:rsid w:val="005B37CF"/>
    <w:rsid w:val="005B383B"/>
    <w:rsid w:val="005B3967"/>
    <w:rsid w:val="005B3A83"/>
    <w:rsid w:val="005B3AA4"/>
    <w:rsid w:val="005B3C09"/>
    <w:rsid w:val="005B3D98"/>
    <w:rsid w:val="005B3E98"/>
    <w:rsid w:val="005B40B9"/>
    <w:rsid w:val="005B4159"/>
    <w:rsid w:val="005B42A5"/>
    <w:rsid w:val="005B43B1"/>
    <w:rsid w:val="005B464D"/>
    <w:rsid w:val="005B46C9"/>
    <w:rsid w:val="005B47A2"/>
    <w:rsid w:val="005B47B1"/>
    <w:rsid w:val="005B491C"/>
    <w:rsid w:val="005B4AF7"/>
    <w:rsid w:val="005B4B02"/>
    <w:rsid w:val="005B4C62"/>
    <w:rsid w:val="005B4D45"/>
    <w:rsid w:val="005B4D6E"/>
    <w:rsid w:val="005B4E23"/>
    <w:rsid w:val="005B4EDF"/>
    <w:rsid w:val="005B5127"/>
    <w:rsid w:val="005B516C"/>
    <w:rsid w:val="005B5290"/>
    <w:rsid w:val="005B52A8"/>
    <w:rsid w:val="005B5437"/>
    <w:rsid w:val="005B55D0"/>
    <w:rsid w:val="005B5885"/>
    <w:rsid w:val="005B5889"/>
    <w:rsid w:val="005B58E6"/>
    <w:rsid w:val="005B594C"/>
    <w:rsid w:val="005B5991"/>
    <w:rsid w:val="005B5BBB"/>
    <w:rsid w:val="005B5C99"/>
    <w:rsid w:val="005B5D3A"/>
    <w:rsid w:val="005B5DE2"/>
    <w:rsid w:val="005B5E19"/>
    <w:rsid w:val="005B5E51"/>
    <w:rsid w:val="005B5F2A"/>
    <w:rsid w:val="005B5F8D"/>
    <w:rsid w:val="005B628A"/>
    <w:rsid w:val="005B629D"/>
    <w:rsid w:val="005B6451"/>
    <w:rsid w:val="005B647C"/>
    <w:rsid w:val="005B6859"/>
    <w:rsid w:val="005B68F4"/>
    <w:rsid w:val="005B6B88"/>
    <w:rsid w:val="005B6E52"/>
    <w:rsid w:val="005B6EAF"/>
    <w:rsid w:val="005B6EE2"/>
    <w:rsid w:val="005B7240"/>
    <w:rsid w:val="005B7283"/>
    <w:rsid w:val="005B7287"/>
    <w:rsid w:val="005B735D"/>
    <w:rsid w:val="005B741A"/>
    <w:rsid w:val="005B743E"/>
    <w:rsid w:val="005B791C"/>
    <w:rsid w:val="005B7A79"/>
    <w:rsid w:val="005B7D50"/>
    <w:rsid w:val="005B7E07"/>
    <w:rsid w:val="005B7EA6"/>
    <w:rsid w:val="005C00DA"/>
    <w:rsid w:val="005C02FA"/>
    <w:rsid w:val="005C034C"/>
    <w:rsid w:val="005C0529"/>
    <w:rsid w:val="005C059B"/>
    <w:rsid w:val="005C08F5"/>
    <w:rsid w:val="005C09EA"/>
    <w:rsid w:val="005C0AC3"/>
    <w:rsid w:val="005C0B35"/>
    <w:rsid w:val="005C0BAA"/>
    <w:rsid w:val="005C0D93"/>
    <w:rsid w:val="005C0E2D"/>
    <w:rsid w:val="005C0F79"/>
    <w:rsid w:val="005C0FC2"/>
    <w:rsid w:val="005C0FF9"/>
    <w:rsid w:val="005C101E"/>
    <w:rsid w:val="005C10A2"/>
    <w:rsid w:val="005C1276"/>
    <w:rsid w:val="005C1302"/>
    <w:rsid w:val="005C145C"/>
    <w:rsid w:val="005C1493"/>
    <w:rsid w:val="005C14F2"/>
    <w:rsid w:val="005C15C0"/>
    <w:rsid w:val="005C15EA"/>
    <w:rsid w:val="005C1D95"/>
    <w:rsid w:val="005C1FD9"/>
    <w:rsid w:val="005C2061"/>
    <w:rsid w:val="005C2095"/>
    <w:rsid w:val="005C21B8"/>
    <w:rsid w:val="005C230E"/>
    <w:rsid w:val="005C2376"/>
    <w:rsid w:val="005C241D"/>
    <w:rsid w:val="005C243F"/>
    <w:rsid w:val="005C2452"/>
    <w:rsid w:val="005C2576"/>
    <w:rsid w:val="005C258C"/>
    <w:rsid w:val="005C25A1"/>
    <w:rsid w:val="005C261B"/>
    <w:rsid w:val="005C2AE4"/>
    <w:rsid w:val="005C2BF3"/>
    <w:rsid w:val="005C2E26"/>
    <w:rsid w:val="005C2EDA"/>
    <w:rsid w:val="005C2FD1"/>
    <w:rsid w:val="005C2FF5"/>
    <w:rsid w:val="005C3010"/>
    <w:rsid w:val="005C3015"/>
    <w:rsid w:val="005C31A8"/>
    <w:rsid w:val="005C3209"/>
    <w:rsid w:val="005C3248"/>
    <w:rsid w:val="005C3418"/>
    <w:rsid w:val="005C34DD"/>
    <w:rsid w:val="005C3667"/>
    <w:rsid w:val="005C3737"/>
    <w:rsid w:val="005C391C"/>
    <w:rsid w:val="005C3951"/>
    <w:rsid w:val="005C3C0C"/>
    <w:rsid w:val="005C4062"/>
    <w:rsid w:val="005C406E"/>
    <w:rsid w:val="005C429F"/>
    <w:rsid w:val="005C42D9"/>
    <w:rsid w:val="005C4382"/>
    <w:rsid w:val="005C46FF"/>
    <w:rsid w:val="005C4705"/>
    <w:rsid w:val="005C47C8"/>
    <w:rsid w:val="005C4833"/>
    <w:rsid w:val="005C4854"/>
    <w:rsid w:val="005C4D5B"/>
    <w:rsid w:val="005C4DC7"/>
    <w:rsid w:val="005C4DD5"/>
    <w:rsid w:val="005C4DDA"/>
    <w:rsid w:val="005C4EA4"/>
    <w:rsid w:val="005C4F1F"/>
    <w:rsid w:val="005C52EF"/>
    <w:rsid w:val="005C5461"/>
    <w:rsid w:val="005C546D"/>
    <w:rsid w:val="005C5514"/>
    <w:rsid w:val="005C58F4"/>
    <w:rsid w:val="005C5A74"/>
    <w:rsid w:val="005C5B84"/>
    <w:rsid w:val="005C5C82"/>
    <w:rsid w:val="005C5CDD"/>
    <w:rsid w:val="005C5E0A"/>
    <w:rsid w:val="005C5EBE"/>
    <w:rsid w:val="005C608E"/>
    <w:rsid w:val="005C61C8"/>
    <w:rsid w:val="005C6309"/>
    <w:rsid w:val="005C631F"/>
    <w:rsid w:val="005C63F0"/>
    <w:rsid w:val="005C64D8"/>
    <w:rsid w:val="005C661D"/>
    <w:rsid w:val="005C679D"/>
    <w:rsid w:val="005C6A47"/>
    <w:rsid w:val="005C6C5E"/>
    <w:rsid w:val="005C6C71"/>
    <w:rsid w:val="005C6D64"/>
    <w:rsid w:val="005C6DFB"/>
    <w:rsid w:val="005C7036"/>
    <w:rsid w:val="005C716C"/>
    <w:rsid w:val="005C74B3"/>
    <w:rsid w:val="005C74C1"/>
    <w:rsid w:val="005C7538"/>
    <w:rsid w:val="005C7898"/>
    <w:rsid w:val="005C7966"/>
    <w:rsid w:val="005C79EE"/>
    <w:rsid w:val="005C7A1E"/>
    <w:rsid w:val="005C7ADA"/>
    <w:rsid w:val="005C7B44"/>
    <w:rsid w:val="005C7C6B"/>
    <w:rsid w:val="005C7D54"/>
    <w:rsid w:val="005D0027"/>
    <w:rsid w:val="005D003B"/>
    <w:rsid w:val="005D007D"/>
    <w:rsid w:val="005D012B"/>
    <w:rsid w:val="005D0238"/>
    <w:rsid w:val="005D0444"/>
    <w:rsid w:val="005D0503"/>
    <w:rsid w:val="005D0577"/>
    <w:rsid w:val="005D06E6"/>
    <w:rsid w:val="005D0700"/>
    <w:rsid w:val="005D0783"/>
    <w:rsid w:val="005D0AF6"/>
    <w:rsid w:val="005D0BC9"/>
    <w:rsid w:val="005D0C0A"/>
    <w:rsid w:val="005D0CB3"/>
    <w:rsid w:val="005D0CFA"/>
    <w:rsid w:val="005D0D5B"/>
    <w:rsid w:val="005D0D60"/>
    <w:rsid w:val="005D11A6"/>
    <w:rsid w:val="005D13AE"/>
    <w:rsid w:val="005D1493"/>
    <w:rsid w:val="005D160D"/>
    <w:rsid w:val="005D1644"/>
    <w:rsid w:val="005D1776"/>
    <w:rsid w:val="005D17C6"/>
    <w:rsid w:val="005D1820"/>
    <w:rsid w:val="005D18D4"/>
    <w:rsid w:val="005D18E9"/>
    <w:rsid w:val="005D190C"/>
    <w:rsid w:val="005D1987"/>
    <w:rsid w:val="005D1A93"/>
    <w:rsid w:val="005D1F9A"/>
    <w:rsid w:val="005D2030"/>
    <w:rsid w:val="005D2489"/>
    <w:rsid w:val="005D2817"/>
    <w:rsid w:val="005D282C"/>
    <w:rsid w:val="005D287D"/>
    <w:rsid w:val="005D28C9"/>
    <w:rsid w:val="005D2904"/>
    <w:rsid w:val="005D2958"/>
    <w:rsid w:val="005D29A4"/>
    <w:rsid w:val="005D29B5"/>
    <w:rsid w:val="005D2A1D"/>
    <w:rsid w:val="005D2B95"/>
    <w:rsid w:val="005D2BC0"/>
    <w:rsid w:val="005D2BF8"/>
    <w:rsid w:val="005D2C27"/>
    <w:rsid w:val="005D2C36"/>
    <w:rsid w:val="005D2D5E"/>
    <w:rsid w:val="005D2D6D"/>
    <w:rsid w:val="005D2D90"/>
    <w:rsid w:val="005D2E5C"/>
    <w:rsid w:val="005D2E63"/>
    <w:rsid w:val="005D3069"/>
    <w:rsid w:val="005D30DD"/>
    <w:rsid w:val="005D31CD"/>
    <w:rsid w:val="005D3394"/>
    <w:rsid w:val="005D3529"/>
    <w:rsid w:val="005D35AC"/>
    <w:rsid w:val="005D3602"/>
    <w:rsid w:val="005D37F9"/>
    <w:rsid w:val="005D385C"/>
    <w:rsid w:val="005D3879"/>
    <w:rsid w:val="005D399B"/>
    <w:rsid w:val="005D3A0C"/>
    <w:rsid w:val="005D3B87"/>
    <w:rsid w:val="005D3D5E"/>
    <w:rsid w:val="005D3EC9"/>
    <w:rsid w:val="005D3F41"/>
    <w:rsid w:val="005D3FDC"/>
    <w:rsid w:val="005D4186"/>
    <w:rsid w:val="005D422C"/>
    <w:rsid w:val="005D428C"/>
    <w:rsid w:val="005D4356"/>
    <w:rsid w:val="005D44F8"/>
    <w:rsid w:val="005D463F"/>
    <w:rsid w:val="005D46F0"/>
    <w:rsid w:val="005D476A"/>
    <w:rsid w:val="005D491E"/>
    <w:rsid w:val="005D4A08"/>
    <w:rsid w:val="005D4A34"/>
    <w:rsid w:val="005D4AE9"/>
    <w:rsid w:val="005D4BE6"/>
    <w:rsid w:val="005D4DC3"/>
    <w:rsid w:val="005D4F15"/>
    <w:rsid w:val="005D524F"/>
    <w:rsid w:val="005D5261"/>
    <w:rsid w:val="005D5477"/>
    <w:rsid w:val="005D553F"/>
    <w:rsid w:val="005D558E"/>
    <w:rsid w:val="005D5634"/>
    <w:rsid w:val="005D5684"/>
    <w:rsid w:val="005D5688"/>
    <w:rsid w:val="005D594B"/>
    <w:rsid w:val="005D59A9"/>
    <w:rsid w:val="005D5B1D"/>
    <w:rsid w:val="005D5BD2"/>
    <w:rsid w:val="005D5D00"/>
    <w:rsid w:val="005D5E9D"/>
    <w:rsid w:val="005D5F50"/>
    <w:rsid w:val="005D6097"/>
    <w:rsid w:val="005D6123"/>
    <w:rsid w:val="005D620B"/>
    <w:rsid w:val="005D6462"/>
    <w:rsid w:val="005D6583"/>
    <w:rsid w:val="005D673E"/>
    <w:rsid w:val="005D6753"/>
    <w:rsid w:val="005D676D"/>
    <w:rsid w:val="005D69B9"/>
    <w:rsid w:val="005D6B7D"/>
    <w:rsid w:val="005D6C79"/>
    <w:rsid w:val="005D6D05"/>
    <w:rsid w:val="005D6FC6"/>
    <w:rsid w:val="005D700C"/>
    <w:rsid w:val="005D70B6"/>
    <w:rsid w:val="005D71B0"/>
    <w:rsid w:val="005D72C7"/>
    <w:rsid w:val="005D73AE"/>
    <w:rsid w:val="005D76B7"/>
    <w:rsid w:val="005D77CB"/>
    <w:rsid w:val="005D7895"/>
    <w:rsid w:val="005D78D3"/>
    <w:rsid w:val="005D7986"/>
    <w:rsid w:val="005D7B0C"/>
    <w:rsid w:val="005D7CC8"/>
    <w:rsid w:val="005D7EF6"/>
    <w:rsid w:val="005E00EC"/>
    <w:rsid w:val="005E0167"/>
    <w:rsid w:val="005E034F"/>
    <w:rsid w:val="005E040C"/>
    <w:rsid w:val="005E04AF"/>
    <w:rsid w:val="005E05B1"/>
    <w:rsid w:val="005E0ADC"/>
    <w:rsid w:val="005E0CF3"/>
    <w:rsid w:val="005E0D0C"/>
    <w:rsid w:val="005E0DAA"/>
    <w:rsid w:val="005E0DAC"/>
    <w:rsid w:val="005E0EFE"/>
    <w:rsid w:val="005E0F19"/>
    <w:rsid w:val="005E1016"/>
    <w:rsid w:val="005E1080"/>
    <w:rsid w:val="005E1204"/>
    <w:rsid w:val="005E1341"/>
    <w:rsid w:val="005E159D"/>
    <w:rsid w:val="005E1854"/>
    <w:rsid w:val="005E1A46"/>
    <w:rsid w:val="005E1A57"/>
    <w:rsid w:val="005E1A70"/>
    <w:rsid w:val="005E1C10"/>
    <w:rsid w:val="005E1C4E"/>
    <w:rsid w:val="005E1C9E"/>
    <w:rsid w:val="005E1E69"/>
    <w:rsid w:val="005E1E79"/>
    <w:rsid w:val="005E20C9"/>
    <w:rsid w:val="005E20DF"/>
    <w:rsid w:val="005E21F0"/>
    <w:rsid w:val="005E22BD"/>
    <w:rsid w:val="005E233A"/>
    <w:rsid w:val="005E235E"/>
    <w:rsid w:val="005E2441"/>
    <w:rsid w:val="005E25DB"/>
    <w:rsid w:val="005E2880"/>
    <w:rsid w:val="005E2A2C"/>
    <w:rsid w:val="005E2B78"/>
    <w:rsid w:val="005E2C0B"/>
    <w:rsid w:val="005E2D6B"/>
    <w:rsid w:val="005E2FC5"/>
    <w:rsid w:val="005E3124"/>
    <w:rsid w:val="005E313F"/>
    <w:rsid w:val="005E31DE"/>
    <w:rsid w:val="005E3204"/>
    <w:rsid w:val="005E347C"/>
    <w:rsid w:val="005E34EE"/>
    <w:rsid w:val="005E36A9"/>
    <w:rsid w:val="005E3991"/>
    <w:rsid w:val="005E3A0C"/>
    <w:rsid w:val="005E3B2C"/>
    <w:rsid w:val="005E3B33"/>
    <w:rsid w:val="005E3B6F"/>
    <w:rsid w:val="005E3C3C"/>
    <w:rsid w:val="005E3CF9"/>
    <w:rsid w:val="005E3F89"/>
    <w:rsid w:val="005E4020"/>
    <w:rsid w:val="005E4334"/>
    <w:rsid w:val="005E44A0"/>
    <w:rsid w:val="005E46B2"/>
    <w:rsid w:val="005E4CB6"/>
    <w:rsid w:val="005E4E1A"/>
    <w:rsid w:val="005E4ED6"/>
    <w:rsid w:val="005E5043"/>
    <w:rsid w:val="005E509F"/>
    <w:rsid w:val="005E5112"/>
    <w:rsid w:val="005E5239"/>
    <w:rsid w:val="005E53A3"/>
    <w:rsid w:val="005E54E3"/>
    <w:rsid w:val="005E56EE"/>
    <w:rsid w:val="005E587D"/>
    <w:rsid w:val="005E59B5"/>
    <w:rsid w:val="005E5B57"/>
    <w:rsid w:val="005E5D18"/>
    <w:rsid w:val="005E6007"/>
    <w:rsid w:val="005E610B"/>
    <w:rsid w:val="005E643E"/>
    <w:rsid w:val="005E64DC"/>
    <w:rsid w:val="005E6549"/>
    <w:rsid w:val="005E679B"/>
    <w:rsid w:val="005E67FE"/>
    <w:rsid w:val="005E690D"/>
    <w:rsid w:val="005E6B22"/>
    <w:rsid w:val="005E6B69"/>
    <w:rsid w:val="005E6E06"/>
    <w:rsid w:val="005E6EA9"/>
    <w:rsid w:val="005E6EF8"/>
    <w:rsid w:val="005E702D"/>
    <w:rsid w:val="005E7068"/>
    <w:rsid w:val="005E714D"/>
    <w:rsid w:val="005E737F"/>
    <w:rsid w:val="005E74DC"/>
    <w:rsid w:val="005E761F"/>
    <w:rsid w:val="005E786A"/>
    <w:rsid w:val="005E78BB"/>
    <w:rsid w:val="005E7911"/>
    <w:rsid w:val="005E7929"/>
    <w:rsid w:val="005E7942"/>
    <w:rsid w:val="005E7985"/>
    <w:rsid w:val="005E7AC1"/>
    <w:rsid w:val="005E7B30"/>
    <w:rsid w:val="005E7B66"/>
    <w:rsid w:val="005E7B9F"/>
    <w:rsid w:val="005E7C2F"/>
    <w:rsid w:val="005E7C98"/>
    <w:rsid w:val="005E7CF0"/>
    <w:rsid w:val="005E7D87"/>
    <w:rsid w:val="005E7E35"/>
    <w:rsid w:val="005E7F11"/>
    <w:rsid w:val="005E7FA5"/>
    <w:rsid w:val="005E7FC4"/>
    <w:rsid w:val="005F0167"/>
    <w:rsid w:val="005F0425"/>
    <w:rsid w:val="005F059A"/>
    <w:rsid w:val="005F0615"/>
    <w:rsid w:val="005F06A8"/>
    <w:rsid w:val="005F083C"/>
    <w:rsid w:val="005F0894"/>
    <w:rsid w:val="005F091F"/>
    <w:rsid w:val="005F0BBC"/>
    <w:rsid w:val="005F0C63"/>
    <w:rsid w:val="005F0CE4"/>
    <w:rsid w:val="005F0DE0"/>
    <w:rsid w:val="005F0EA1"/>
    <w:rsid w:val="005F1070"/>
    <w:rsid w:val="005F134C"/>
    <w:rsid w:val="005F13BB"/>
    <w:rsid w:val="005F163D"/>
    <w:rsid w:val="005F17CF"/>
    <w:rsid w:val="005F1AD6"/>
    <w:rsid w:val="005F1C3D"/>
    <w:rsid w:val="005F1C46"/>
    <w:rsid w:val="005F1C5A"/>
    <w:rsid w:val="005F1CEA"/>
    <w:rsid w:val="005F1D25"/>
    <w:rsid w:val="005F1D59"/>
    <w:rsid w:val="005F2006"/>
    <w:rsid w:val="005F2177"/>
    <w:rsid w:val="005F21A5"/>
    <w:rsid w:val="005F2235"/>
    <w:rsid w:val="005F2482"/>
    <w:rsid w:val="005F24E7"/>
    <w:rsid w:val="005F25B1"/>
    <w:rsid w:val="005F2727"/>
    <w:rsid w:val="005F28BC"/>
    <w:rsid w:val="005F28DA"/>
    <w:rsid w:val="005F29F8"/>
    <w:rsid w:val="005F3183"/>
    <w:rsid w:val="005F3887"/>
    <w:rsid w:val="005F394D"/>
    <w:rsid w:val="005F3A1F"/>
    <w:rsid w:val="005F3B00"/>
    <w:rsid w:val="005F3B4C"/>
    <w:rsid w:val="005F3C0B"/>
    <w:rsid w:val="005F3C5C"/>
    <w:rsid w:val="005F3C93"/>
    <w:rsid w:val="005F3C9F"/>
    <w:rsid w:val="005F3D0F"/>
    <w:rsid w:val="005F3DEF"/>
    <w:rsid w:val="005F405A"/>
    <w:rsid w:val="005F4136"/>
    <w:rsid w:val="005F4192"/>
    <w:rsid w:val="005F41AA"/>
    <w:rsid w:val="005F42C9"/>
    <w:rsid w:val="005F45DC"/>
    <w:rsid w:val="005F46DE"/>
    <w:rsid w:val="005F4767"/>
    <w:rsid w:val="005F48AD"/>
    <w:rsid w:val="005F4B59"/>
    <w:rsid w:val="005F4C12"/>
    <w:rsid w:val="005F4DC4"/>
    <w:rsid w:val="005F4EE6"/>
    <w:rsid w:val="005F4F1E"/>
    <w:rsid w:val="005F4F95"/>
    <w:rsid w:val="005F5072"/>
    <w:rsid w:val="005F5212"/>
    <w:rsid w:val="005F541A"/>
    <w:rsid w:val="005F545C"/>
    <w:rsid w:val="005F548D"/>
    <w:rsid w:val="005F54DD"/>
    <w:rsid w:val="005F56A0"/>
    <w:rsid w:val="005F5ADC"/>
    <w:rsid w:val="005F5E95"/>
    <w:rsid w:val="005F5EBB"/>
    <w:rsid w:val="005F5F4C"/>
    <w:rsid w:val="005F5FC2"/>
    <w:rsid w:val="005F607B"/>
    <w:rsid w:val="005F61B2"/>
    <w:rsid w:val="005F62AD"/>
    <w:rsid w:val="005F62DA"/>
    <w:rsid w:val="005F63E7"/>
    <w:rsid w:val="005F64EB"/>
    <w:rsid w:val="005F65A7"/>
    <w:rsid w:val="005F65B8"/>
    <w:rsid w:val="005F6602"/>
    <w:rsid w:val="005F6714"/>
    <w:rsid w:val="005F688E"/>
    <w:rsid w:val="005F6D5D"/>
    <w:rsid w:val="005F6DAF"/>
    <w:rsid w:val="005F6E72"/>
    <w:rsid w:val="005F6E8D"/>
    <w:rsid w:val="005F745E"/>
    <w:rsid w:val="005F7510"/>
    <w:rsid w:val="005F783E"/>
    <w:rsid w:val="005F797C"/>
    <w:rsid w:val="005F7C78"/>
    <w:rsid w:val="005F7C9F"/>
    <w:rsid w:val="005F7E6D"/>
    <w:rsid w:val="005F7E79"/>
    <w:rsid w:val="005F7F6F"/>
    <w:rsid w:val="00600012"/>
    <w:rsid w:val="0060011A"/>
    <w:rsid w:val="00600336"/>
    <w:rsid w:val="00600648"/>
    <w:rsid w:val="00600777"/>
    <w:rsid w:val="00600786"/>
    <w:rsid w:val="00600803"/>
    <w:rsid w:val="006009DF"/>
    <w:rsid w:val="00600A31"/>
    <w:rsid w:val="00600B06"/>
    <w:rsid w:val="00600F65"/>
    <w:rsid w:val="00601034"/>
    <w:rsid w:val="006010E6"/>
    <w:rsid w:val="006010FB"/>
    <w:rsid w:val="006011C4"/>
    <w:rsid w:val="00601292"/>
    <w:rsid w:val="0060129A"/>
    <w:rsid w:val="006013CA"/>
    <w:rsid w:val="006013F4"/>
    <w:rsid w:val="0060148B"/>
    <w:rsid w:val="006014F9"/>
    <w:rsid w:val="006015AA"/>
    <w:rsid w:val="006015CE"/>
    <w:rsid w:val="00601628"/>
    <w:rsid w:val="00601703"/>
    <w:rsid w:val="006017F2"/>
    <w:rsid w:val="00601ACD"/>
    <w:rsid w:val="00601B6C"/>
    <w:rsid w:val="00601BB2"/>
    <w:rsid w:val="00601C84"/>
    <w:rsid w:val="00601C9E"/>
    <w:rsid w:val="00601DF2"/>
    <w:rsid w:val="006020C3"/>
    <w:rsid w:val="0060219A"/>
    <w:rsid w:val="00602261"/>
    <w:rsid w:val="006022E2"/>
    <w:rsid w:val="00602319"/>
    <w:rsid w:val="00602541"/>
    <w:rsid w:val="006025D4"/>
    <w:rsid w:val="006025DA"/>
    <w:rsid w:val="006026CD"/>
    <w:rsid w:val="006028C4"/>
    <w:rsid w:val="006028FB"/>
    <w:rsid w:val="00602996"/>
    <w:rsid w:val="006029AE"/>
    <w:rsid w:val="00602B24"/>
    <w:rsid w:val="00602B81"/>
    <w:rsid w:val="00602E9E"/>
    <w:rsid w:val="00602F33"/>
    <w:rsid w:val="00602FD0"/>
    <w:rsid w:val="006030A7"/>
    <w:rsid w:val="006030E5"/>
    <w:rsid w:val="00603198"/>
    <w:rsid w:val="0060336B"/>
    <w:rsid w:val="00603386"/>
    <w:rsid w:val="00603626"/>
    <w:rsid w:val="00603B78"/>
    <w:rsid w:val="00603C23"/>
    <w:rsid w:val="00603F05"/>
    <w:rsid w:val="00603F5B"/>
    <w:rsid w:val="0060403B"/>
    <w:rsid w:val="00604203"/>
    <w:rsid w:val="00604330"/>
    <w:rsid w:val="006043CB"/>
    <w:rsid w:val="006047A9"/>
    <w:rsid w:val="006047C7"/>
    <w:rsid w:val="00604824"/>
    <w:rsid w:val="00604964"/>
    <w:rsid w:val="0060499F"/>
    <w:rsid w:val="00604A2A"/>
    <w:rsid w:val="00604A60"/>
    <w:rsid w:val="00604C62"/>
    <w:rsid w:val="00604CAA"/>
    <w:rsid w:val="00604E4D"/>
    <w:rsid w:val="006050C4"/>
    <w:rsid w:val="00605184"/>
    <w:rsid w:val="0060519C"/>
    <w:rsid w:val="00605386"/>
    <w:rsid w:val="0060552B"/>
    <w:rsid w:val="006058B9"/>
    <w:rsid w:val="0060590C"/>
    <w:rsid w:val="00605CFF"/>
    <w:rsid w:val="00605DD6"/>
    <w:rsid w:val="00605F6F"/>
    <w:rsid w:val="00606075"/>
    <w:rsid w:val="006060A7"/>
    <w:rsid w:val="006062D8"/>
    <w:rsid w:val="006062DC"/>
    <w:rsid w:val="0060632C"/>
    <w:rsid w:val="00606334"/>
    <w:rsid w:val="00606445"/>
    <w:rsid w:val="00606590"/>
    <w:rsid w:val="0060667C"/>
    <w:rsid w:val="006066B2"/>
    <w:rsid w:val="0060679B"/>
    <w:rsid w:val="00606A32"/>
    <w:rsid w:val="00606AB1"/>
    <w:rsid w:val="00606ABF"/>
    <w:rsid w:val="00606AE4"/>
    <w:rsid w:val="00606B30"/>
    <w:rsid w:val="00606CAF"/>
    <w:rsid w:val="00606D27"/>
    <w:rsid w:val="00606F29"/>
    <w:rsid w:val="00607075"/>
    <w:rsid w:val="00607380"/>
    <w:rsid w:val="006073E8"/>
    <w:rsid w:val="006076EC"/>
    <w:rsid w:val="006079B8"/>
    <w:rsid w:val="006079BA"/>
    <w:rsid w:val="00607C5E"/>
    <w:rsid w:val="00607C62"/>
    <w:rsid w:val="00607EB6"/>
    <w:rsid w:val="00607EE9"/>
    <w:rsid w:val="00607F39"/>
    <w:rsid w:val="00607F5C"/>
    <w:rsid w:val="006100F4"/>
    <w:rsid w:val="00610354"/>
    <w:rsid w:val="006103AF"/>
    <w:rsid w:val="006103E8"/>
    <w:rsid w:val="006104EE"/>
    <w:rsid w:val="00610544"/>
    <w:rsid w:val="006107FE"/>
    <w:rsid w:val="00610AFB"/>
    <w:rsid w:val="00610B49"/>
    <w:rsid w:val="00610DC2"/>
    <w:rsid w:val="00610F32"/>
    <w:rsid w:val="00610FAB"/>
    <w:rsid w:val="00611053"/>
    <w:rsid w:val="00611077"/>
    <w:rsid w:val="006110FF"/>
    <w:rsid w:val="0061118B"/>
    <w:rsid w:val="00611236"/>
    <w:rsid w:val="00611300"/>
    <w:rsid w:val="00611416"/>
    <w:rsid w:val="00611572"/>
    <w:rsid w:val="006115ED"/>
    <w:rsid w:val="006115EF"/>
    <w:rsid w:val="006118BD"/>
    <w:rsid w:val="006118EA"/>
    <w:rsid w:val="00611A55"/>
    <w:rsid w:val="00611A7E"/>
    <w:rsid w:val="00611B60"/>
    <w:rsid w:val="00611BC4"/>
    <w:rsid w:val="00611C3E"/>
    <w:rsid w:val="00611D53"/>
    <w:rsid w:val="00611D8A"/>
    <w:rsid w:val="0061217F"/>
    <w:rsid w:val="0061218E"/>
    <w:rsid w:val="00612405"/>
    <w:rsid w:val="0061265F"/>
    <w:rsid w:val="006126C3"/>
    <w:rsid w:val="00612761"/>
    <w:rsid w:val="006127E8"/>
    <w:rsid w:val="0061282C"/>
    <w:rsid w:val="00612A09"/>
    <w:rsid w:val="00612A39"/>
    <w:rsid w:val="00612B24"/>
    <w:rsid w:val="00612B70"/>
    <w:rsid w:val="00612CAC"/>
    <w:rsid w:val="00612D68"/>
    <w:rsid w:val="00612DF7"/>
    <w:rsid w:val="00612F69"/>
    <w:rsid w:val="0061305B"/>
    <w:rsid w:val="006131E5"/>
    <w:rsid w:val="00613203"/>
    <w:rsid w:val="0061321A"/>
    <w:rsid w:val="006133C4"/>
    <w:rsid w:val="00613404"/>
    <w:rsid w:val="00613491"/>
    <w:rsid w:val="00613594"/>
    <w:rsid w:val="00613788"/>
    <w:rsid w:val="00613AEB"/>
    <w:rsid w:val="00613B4D"/>
    <w:rsid w:val="00613C41"/>
    <w:rsid w:val="00613CB7"/>
    <w:rsid w:val="00613D52"/>
    <w:rsid w:val="00614443"/>
    <w:rsid w:val="006144D7"/>
    <w:rsid w:val="00614603"/>
    <w:rsid w:val="00614616"/>
    <w:rsid w:val="0061466B"/>
    <w:rsid w:val="0061474F"/>
    <w:rsid w:val="00614955"/>
    <w:rsid w:val="0061496C"/>
    <w:rsid w:val="00614B22"/>
    <w:rsid w:val="00614BA7"/>
    <w:rsid w:val="00614BDE"/>
    <w:rsid w:val="00614CD5"/>
    <w:rsid w:val="00614DB9"/>
    <w:rsid w:val="0061503A"/>
    <w:rsid w:val="00615134"/>
    <w:rsid w:val="0061529D"/>
    <w:rsid w:val="00615423"/>
    <w:rsid w:val="0061579C"/>
    <w:rsid w:val="00615840"/>
    <w:rsid w:val="00615B69"/>
    <w:rsid w:val="00615D6C"/>
    <w:rsid w:val="00615DBB"/>
    <w:rsid w:val="00615E93"/>
    <w:rsid w:val="00615EB4"/>
    <w:rsid w:val="006164BA"/>
    <w:rsid w:val="0061677A"/>
    <w:rsid w:val="006169F9"/>
    <w:rsid w:val="00616A0D"/>
    <w:rsid w:val="00616AAD"/>
    <w:rsid w:val="00616B7D"/>
    <w:rsid w:val="00616CF9"/>
    <w:rsid w:val="00616EC5"/>
    <w:rsid w:val="00617015"/>
    <w:rsid w:val="0061709E"/>
    <w:rsid w:val="0061718B"/>
    <w:rsid w:val="006171DB"/>
    <w:rsid w:val="0061731C"/>
    <w:rsid w:val="006173EA"/>
    <w:rsid w:val="006174CB"/>
    <w:rsid w:val="00617510"/>
    <w:rsid w:val="00617611"/>
    <w:rsid w:val="006177DB"/>
    <w:rsid w:val="006177FD"/>
    <w:rsid w:val="00617837"/>
    <w:rsid w:val="0061789E"/>
    <w:rsid w:val="00617935"/>
    <w:rsid w:val="00617DBB"/>
    <w:rsid w:val="00617DD5"/>
    <w:rsid w:val="00617E1E"/>
    <w:rsid w:val="006203EF"/>
    <w:rsid w:val="006203FD"/>
    <w:rsid w:val="0062055C"/>
    <w:rsid w:val="006206BA"/>
    <w:rsid w:val="0062080C"/>
    <w:rsid w:val="006208CF"/>
    <w:rsid w:val="00620B19"/>
    <w:rsid w:val="00620B86"/>
    <w:rsid w:val="00620B98"/>
    <w:rsid w:val="00620CD4"/>
    <w:rsid w:val="00621123"/>
    <w:rsid w:val="006211B7"/>
    <w:rsid w:val="006211FC"/>
    <w:rsid w:val="0062133E"/>
    <w:rsid w:val="0062140E"/>
    <w:rsid w:val="00621543"/>
    <w:rsid w:val="00621600"/>
    <w:rsid w:val="006217A3"/>
    <w:rsid w:val="00621888"/>
    <w:rsid w:val="00621A19"/>
    <w:rsid w:val="00621AD2"/>
    <w:rsid w:val="00621B25"/>
    <w:rsid w:val="00621BCA"/>
    <w:rsid w:val="00621C03"/>
    <w:rsid w:val="00621C4F"/>
    <w:rsid w:val="00621E46"/>
    <w:rsid w:val="00621E8E"/>
    <w:rsid w:val="00621ED9"/>
    <w:rsid w:val="00621F81"/>
    <w:rsid w:val="00621F98"/>
    <w:rsid w:val="006221B9"/>
    <w:rsid w:val="0062231D"/>
    <w:rsid w:val="00622349"/>
    <w:rsid w:val="006224A3"/>
    <w:rsid w:val="00622781"/>
    <w:rsid w:val="00622885"/>
    <w:rsid w:val="0062299F"/>
    <w:rsid w:val="006229A2"/>
    <w:rsid w:val="00622F01"/>
    <w:rsid w:val="006232A8"/>
    <w:rsid w:val="0062334E"/>
    <w:rsid w:val="00623399"/>
    <w:rsid w:val="0062353C"/>
    <w:rsid w:val="006236AA"/>
    <w:rsid w:val="00623813"/>
    <w:rsid w:val="0062396C"/>
    <w:rsid w:val="00623B6C"/>
    <w:rsid w:val="00623C39"/>
    <w:rsid w:val="00623E2B"/>
    <w:rsid w:val="006243E9"/>
    <w:rsid w:val="0062444D"/>
    <w:rsid w:val="00624497"/>
    <w:rsid w:val="006245C6"/>
    <w:rsid w:val="006246F5"/>
    <w:rsid w:val="006247FB"/>
    <w:rsid w:val="00624801"/>
    <w:rsid w:val="006249DE"/>
    <w:rsid w:val="00624B2E"/>
    <w:rsid w:val="00624C00"/>
    <w:rsid w:val="00624C14"/>
    <w:rsid w:val="00624C30"/>
    <w:rsid w:val="00624CDE"/>
    <w:rsid w:val="00624D10"/>
    <w:rsid w:val="00624D19"/>
    <w:rsid w:val="00624DF7"/>
    <w:rsid w:val="00624F0B"/>
    <w:rsid w:val="00624F79"/>
    <w:rsid w:val="00625018"/>
    <w:rsid w:val="0062503A"/>
    <w:rsid w:val="006251F2"/>
    <w:rsid w:val="00625274"/>
    <w:rsid w:val="00625364"/>
    <w:rsid w:val="0062567C"/>
    <w:rsid w:val="006256CF"/>
    <w:rsid w:val="00625781"/>
    <w:rsid w:val="006257E9"/>
    <w:rsid w:val="006258DC"/>
    <w:rsid w:val="00625C37"/>
    <w:rsid w:val="00625C6B"/>
    <w:rsid w:val="00625D40"/>
    <w:rsid w:val="00625DDC"/>
    <w:rsid w:val="00625E07"/>
    <w:rsid w:val="00625E35"/>
    <w:rsid w:val="00625F08"/>
    <w:rsid w:val="0062610F"/>
    <w:rsid w:val="0062621E"/>
    <w:rsid w:val="006262E5"/>
    <w:rsid w:val="006264CB"/>
    <w:rsid w:val="006265F6"/>
    <w:rsid w:val="00626698"/>
    <w:rsid w:val="006267CD"/>
    <w:rsid w:val="00626847"/>
    <w:rsid w:val="00626867"/>
    <w:rsid w:val="00626891"/>
    <w:rsid w:val="00626961"/>
    <w:rsid w:val="006269D8"/>
    <w:rsid w:val="00626D64"/>
    <w:rsid w:val="00626DE2"/>
    <w:rsid w:val="00626F54"/>
    <w:rsid w:val="00626F55"/>
    <w:rsid w:val="006270B0"/>
    <w:rsid w:val="006270C9"/>
    <w:rsid w:val="00627137"/>
    <w:rsid w:val="0062714D"/>
    <w:rsid w:val="006271D4"/>
    <w:rsid w:val="00627252"/>
    <w:rsid w:val="006272FE"/>
    <w:rsid w:val="00627367"/>
    <w:rsid w:val="006273AD"/>
    <w:rsid w:val="00627443"/>
    <w:rsid w:val="0062745B"/>
    <w:rsid w:val="0062749F"/>
    <w:rsid w:val="0062757D"/>
    <w:rsid w:val="006275A2"/>
    <w:rsid w:val="006276BE"/>
    <w:rsid w:val="00627827"/>
    <w:rsid w:val="006279FD"/>
    <w:rsid w:val="006302CB"/>
    <w:rsid w:val="00630388"/>
    <w:rsid w:val="00630633"/>
    <w:rsid w:val="00630744"/>
    <w:rsid w:val="0063078C"/>
    <w:rsid w:val="0063088C"/>
    <w:rsid w:val="006308B6"/>
    <w:rsid w:val="00630902"/>
    <w:rsid w:val="00630A84"/>
    <w:rsid w:val="00630ABF"/>
    <w:rsid w:val="00630BFE"/>
    <w:rsid w:val="00630C01"/>
    <w:rsid w:val="00630DA1"/>
    <w:rsid w:val="00630E92"/>
    <w:rsid w:val="00630ED3"/>
    <w:rsid w:val="00630F4A"/>
    <w:rsid w:val="00630F96"/>
    <w:rsid w:val="0063101A"/>
    <w:rsid w:val="00631078"/>
    <w:rsid w:val="006310AB"/>
    <w:rsid w:val="00631182"/>
    <w:rsid w:val="006317C4"/>
    <w:rsid w:val="006317D2"/>
    <w:rsid w:val="006317E4"/>
    <w:rsid w:val="006317F3"/>
    <w:rsid w:val="006318BE"/>
    <w:rsid w:val="00631B6B"/>
    <w:rsid w:val="00631B76"/>
    <w:rsid w:val="00631CCF"/>
    <w:rsid w:val="00631D68"/>
    <w:rsid w:val="00631F7F"/>
    <w:rsid w:val="00632132"/>
    <w:rsid w:val="00632158"/>
    <w:rsid w:val="0063216D"/>
    <w:rsid w:val="006322D3"/>
    <w:rsid w:val="0063244E"/>
    <w:rsid w:val="00632538"/>
    <w:rsid w:val="00632A52"/>
    <w:rsid w:val="00632A5B"/>
    <w:rsid w:val="00632C87"/>
    <w:rsid w:val="00632D1E"/>
    <w:rsid w:val="00632E62"/>
    <w:rsid w:val="00632E9B"/>
    <w:rsid w:val="00633196"/>
    <w:rsid w:val="0063385C"/>
    <w:rsid w:val="00633A11"/>
    <w:rsid w:val="00633A4D"/>
    <w:rsid w:val="00633CFB"/>
    <w:rsid w:val="00633E0C"/>
    <w:rsid w:val="00633F2E"/>
    <w:rsid w:val="00633F53"/>
    <w:rsid w:val="00634050"/>
    <w:rsid w:val="00634173"/>
    <w:rsid w:val="00634386"/>
    <w:rsid w:val="00634640"/>
    <w:rsid w:val="00634903"/>
    <w:rsid w:val="006349F5"/>
    <w:rsid w:val="00634A35"/>
    <w:rsid w:val="00635027"/>
    <w:rsid w:val="0063525A"/>
    <w:rsid w:val="0063530B"/>
    <w:rsid w:val="0063575C"/>
    <w:rsid w:val="006357D7"/>
    <w:rsid w:val="0063597F"/>
    <w:rsid w:val="006359DE"/>
    <w:rsid w:val="00635B24"/>
    <w:rsid w:val="00635C18"/>
    <w:rsid w:val="00635C27"/>
    <w:rsid w:val="00635C42"/>
    <w:rsid w:val="00635D1F"/>
    <w:rsid w:val="00635DA2"/>
    <w:rsid w:val="00635E0F"/>
    <w:rsid w:val="00635E6F"/>
    <w:rsid w:val="00635FAE"/>
    <w:rsid w:val="006360EC"/>
    <w:rsid w:val="00636197"/>
    <w:rsid w:val="0063621E"/>
    <w:rsid w:val="006362B4"/>
    <w:rsid w:val="006363A5"/>
    <w:rsid w:val="006363A8"/>
    <w:rsid w:val="00636427"/>
    <w:rsid w:val="006364A8"/>
    <w:rsid w:val="00636530"/>
    <w:rsid w:val="006368CD"/>
    <w:rsid w:val="00636A0C"/>
    <w:rsid w:val="00636A2D"/>
    <w:rsid w:val="00636A6A"/>
    <w:rsid w:val="00636B9B"/>
    <w:rsid w:val="00636BF9"/>
    <w:rsid w:val="00636CA2"/>
    <w:rsid w:val="00636E4A"/>
    <w:rsid w:val="00636EC3"/>
    <w:rsid w:val="00637024"/>
    <w:rsid w:val="0063709E"/>
    <w:rsid w:val="006371E2"/>
    <w:rsid w:val="006373AD"/>
    <w:rsid w:val="00637570"/>
    <w:rsid w:val="00637687"/>
    <w:rsid w:val="006378AD"/>
    <w:rsid w:val="006378E2"/>
    <w:rsid w:val="006379ED"/>
    <w:rsid w:val="00637F72"/>
    <w:rsid w:val="0064009B"/>
    <w:rsid w:val="006403A0"/>
    <w:rsid w:val="006403BD"/>
    <w:rsid w:val="00640555"/>
    <w:rsid w:val="006406FA"/>
    <w:rsid w:val="00640701"/>
    <w:rsid w:val="00640864"/>
    <w:rsid w:val="006408B1"/>
    <w:rsid w:val="006408DB"/>
    <w:rsid w:val="00640981"/>
    <w:rsid w:val="00640DB7"/>
    <w:rsid w:val="006410AE"/>
    <w:rsid w:val="00641198"/>
    <w:rsid w:val="006412C2"/>
    <w:rsid w:val="00641316"/>
    <w:rsid w:val="0064138C"/>
    <w:rsid w:val="0064146E"/>
    <w:rsid w:val="0064176F"/>
    <w:rsid w:val="00641787"/>
    <w:rsid w:val="00641831"/>
    <w:rsid w:val="0064184D"/>
    <w:rsid w:val="0064186A"/>
    <w:rsid w:val="00641AAD"/>
    <w:rsid w:val="00641AB8"/>
    <w:rsid w:val="00641C09"/>
    <w:rsid w:val="00641C84"/>
    <w:rsid w:val="00641D97"/>
    <w:rsid w:val="00641F67"/>
    <w:rsid w:val="00641FD5"/>
    <w:rsid w:val="006422C4"/>
    <w:rsid w:val="00642368"/>
    <w:rsid w:val="0064236A"/>
    <w:rsid w:val="0064238B"/>
    <w:rsid w:val="00642686"/>
    <w:rsid w:val="00642C78"/>
    <w:rsid w:val="00642DB3"/>
    <w:rsid w:val="00643048"/>
    <w:rsid w:val="006431D4"/>
    <w:rsid w:val="00643234"/>
    <w:rsid w:val="00643441"/>
    <w:rsid w:val="006434BE"/>
    <w:rsid w:val="0064375A"/>
    <w:rsid w:val="006439C9"/>
    <w:rsid w:val="00643A25"/>
    <w:rsid w:val="00643A2F"/>
    <w:rsid w:val="00643A32"/>
    <w:rsid w:val="00643C23"/>
    <w:rsid w:val="00643CD0"/>
    <w:rsid w:val="00643D1F"/>
    <w:rsid w:val="00643DB9"/>
    <w:rsid w:val="00643DC3"/>
    <w:rsid w:val="00643E9F"/>
    <w:rsid w:val="0064424E"/>
    <w:rsid w:val="006442DF"/>
    <w:rsid w:val="0064430B"/>
    <w:rsid w:val="00644490"/>
    <w:rsid w:val="006444DE"/>
    <w:rsid w:val="00644552"/>
    <w:rsid w:val="006446BD"/>
    <w:rsid w:val="0064473B"/>
    <w:rsid w:val="006449C5"/>
    <w:rsid w:val="00644AB2"/>
    <w:rsid w:val="00645027"/>
    <w:rsid w:val="006450C2"/>
    <w:rsid w:val="00645247"/>
    <w:rsid w:val="006452CC"/>
    <w:rsid w:val="006453D8"/>
    <w:rsid w:val="00645441"/>
    <w:rsid w:val="0064559D"/>
    <w:rsid w:val="00645601"/>
    <w:rsid w:val="00645631"/>
    <w:rsid w:val="0064575D"/>
    <w:rsid w:val="00645920"/>
    <w:rsid w:val="00645962"/>
    <w:rsid w:val="00645A23"/>
    <w:rsid w:val="00645B08"/>
    <w:rsid w:val="00645C03"/>
    <w:rsid w:val="00645D33"/>
    <w:rsid w:val="00645D38"/>
    <w:rsid w:val="00645E9A"/>
    <w:rsid w:val="00645FFD"/>
    <w:rsid w:val="00646409"/>
    <w:rsid w:val="00646436"/>
    <w:rsid w:val="006464C4"/>
    <w:rsid w:val="006464F9"/>
    <w:rsid w:val="00646537"/>
    <w:rsid w:val="0064661F"/>
    <w:rsid w:val="00646702"/>
    <w:rsid w:val="00646767"/>
    <w:rsid w:val="00646798"/>
    <w:rsid w:val="006467AC"/>
    <w:rsid w:val="00646A8E"/>
    <w:rsid w:val="00646D05"/>
    <w:rsid w:val="00646D59"/>
    <w:rsid w:val="00646E6D"/>
    <w:rsid w:val="00646F1D"/>
    <w:rsid w:val="00646FBB"/>
    <w:rsid w:val="00646FD1"/>
    <w:rsid w:val="00647022"/>
    <w:rsid w:val="006470DA"/>
    <w:rsid w:val="006470ED"/>
    <w:rsid w:val="00647231"/>
    <w:rsid w:val="00647285"/>
    <w:rsid w:val="00647993"/>
    <w:rsid w:val="00647AEF"/>
    <w:rsid w:val="00647BBE"/>
    <w:rsid w:val="00647C81"/>
    <w:rsid w:val="00647E09"/>
    <w:rsid w:val="00650448"/>
    <w:rsid w:val="0065054A"/>
    <w:rsid w:val="0065057B"/>
    <w:rsid w:val="006505BD"/>
    <w:rsid w:val="006507AC"/>
    <w:rsid w:val="0065081B"/>
    <w:rsid w:val="00650A85"/>
    <w:rsid w:val="00650A95"/>
    <w:rsid w:val="00650B5C"/>
    <w:rsid w:val="00650B9D"/>
    <w:rsid w:val="00650C61"/>
    <w:rsid w:val="00650C8B"/>
    <w:rsid w:val="00650E8B"/>
    <w:rsid w:val="00650E99"/>
    <w:rsid w:val="00650F39"/>
    <w:rsid w:val="00651333"/>
    <w:rsid w:val="00651560"/>
    <w:rsid w:val="00651576"/>
    <w:rsid w:val="0065164C"/>
    <w:rsid w:val="00651670"/>
    <w:rsid w:val="00651776"/>
    <w:rsid w:val="00651937"/>
    <w:rsid w:val="00651BF4"/>
    <w:rsid w:val="00651C1E"/>
    <w:rsid w:val="006520B1"/>
    <w:rsid w:val="00652120"/>
    <w:rsid w:val="0065225F"/>
    <w:rsid w:val="006523D8"/>
    <w:rsid w:val="006524C9"/>
    <w:rsid w:val="00652593"/>
    <w:rsid w:val="00652607"/>
    <w:rsid w:val="006529AE"/>
    <w:rsid w:val="006529ED"/>
    <w:rsid w:val="00652A1D"/>
    <w:rsid w:val="00652B43"/>
    <w:rsid w:val="00652C05"/>
    <w:rsid w:val="00652CD7"/>
    <w:rsid w:val="00652D51"/>
    <w:rsid w:val="00652D58"/>
    <w:rsid w:val="00652DFB"/>
    <w:rsid w:val="00652F5C"/>
    <w:rsid w:val="00653053"/>
    <w:rsid w:val="00653061"/>
    <w:rsid w:val="00653142"/>
    <w:rsid w:val="006531D7"/>
    <w:rsid w:val="006531FA"/>
    <w:rsid w:val="006532A9"/>
    <w:rsid w:val="00653353"/>
    <w:rsid w:val="0065336C"/>
    <w:rsid w:val="0065344E"/>
    <w:rsid w:val="00653452"/>
    <w:rsid w:val="006534F7"/>
    <w:rsid w:val="00653A26"/>
    <w:rsid w:val="00653AE3"/>
    <w:rsid w:val="00653CA6"/>
    <w:rsid w:val="00653EA8"/>
    <w:rsid w:val="006541BF"/>
    <w:rsid w:val="006541C2"/>
    <w:rsid w:val="00654236"/>
    <w:rsid w:val="006542FC"/>
    <w:rsid w:val="006544DC"/>
    <w:rsid w:val="0065451E"/>
    <w:rsid w:val="0065458B"/>
    <w:rsid w:val="006545A7"/>
    <w:rsid w:val="00654762"/>
    <w:rsid w:val="00654857"/>
    <w:rsid w:val="00654B60"/>
    <w:rsid w:val="00654DEE"/>
    <w:rsid w:val="00654E15"/>
    <w:rsid w:val="00654FD2"/>
    <w:rsid w:val="0065502E"/>
    <w:rsid w:val="006553ED"/>
    <w:rsid w:val="006554E3"/>
    <w:rsid w:val="00655566"/>
    <w:rsid w:val="006557C8"/>
    <w:rsid w:val="006557CE"/>
    <w:rsid w:val="0065580A"/>
    <w:rsid w:val="0065586C"/>
    <w:rsid w:val="0065596B"/>
    <w:rsid w:val="00655A5A"/>
    <w:rsid w:val="00655DC3"/>
    <w:rsid w:val="006560E3"/>
    <w:rsid w:val="00656179"/>
    <w:rsid w:val="0065631C"/>
    <w:rsid w:val="006563F8"/>
    <w:rsid w:val="00656483"/>
    <w:rsid w:val="0065648F"/>
    <w:rsid w:val="0065668C"/>
    <w:rsid w:val="00656877"/>
    <w:rsid w:val="00656948"/>
    <w:rsid w:val="00656A2C"/>
    <w:rsid w:val="00656B65"/>
    <w:rsid w:val="00656DA0"/>
    <w:rsid w:val="00656DF2"/>
    <w:rsid w:val="0065707A"/>
    <w:rsid w:val="0065710F"/>
    <w:rsid w:val="00657167"/>
    <w:rsid w:val="0065719D"/>
    <w:rsid w:val="0065731E"/>
    <w:rsid w:val="006575C6"/>
    <w:rsid w:val="0065770D"/>
    <w:rsid w:val="00657990"/>
    <w:rsid w:val="006579C7"/>
    <w:rsid w:val="00657A16"/>
    <w:rsid w:val="00657AAA"/>
    <w:rsid w:val="00657C24"/>
    <w:rsid w:val="00657C6F"/>
    <w:rsid w:val="00660151"/>
    <w:rsid w:val="006602D4"/>
    <w:rsid w:val="006602F5"/>
    <w:rsid w:val="006603C4"/>
    <w:rsid w:val="006605FE"/>
    <w:rsid w:val="0066061F"/>
    <w:rsid w:val="0066066F"/>
    <w:rsid w:val="006607B1"/>
    <w:rsid w:val="006607ED"/>
    <w:rsid w:val="0066084E"/>
    <w:rsid w:val="006608A4"/>
    <w:rsid w:val="006608E0"/>
    <w:rsid w:val="00660941"/>
    <w:rsid w:val="00660CE0"/>
    <w:rsid w:val="00660E27"/>
    <w:rsid w:val="00661042"/>
    <w:rsid w:val="006611AC"/>
    <w:rsid w:val="006613A7"/>
    <w:rsid w:val="006614DF"/>
    <w:rsid w:val="00661510"/>
    <w:rsid w:val="00661692"/>
    <w:rsid w:val="006616EC"/>
    <w:rsid w:val="006617AA"/>
    <w:rsid w:val="006617D1"/>
    <w:rsid w:val="006618AE"/>
    <w:rsid w:val="006618C3"/>
    <w:rsid w:val="0066192B"/>
    <w:rsid w:val="00661DF9"/>
    <w:rsid w:val="00661F2C"/>
    <w:rsid w:val="0066207C"/>
    <w:rsid w:val="0066208D"/>
    <w:rsid w:val="006620CA"/>
    <w:rsid w:val="006623AA"/>
    <w:rsid w:val="00662464"/>
    <w:rsid w:val="00662541"/>
    <w:rsid w:val="006625E7"/>
    <w:rsid w:val="00662957"/>
    <w:rsid w:val="00662AC5"/>
    <w:rsid w:val="00662B4D"/>
    <w:rsid w:val="00662C67"/>
    <w:rsid w:val="00662CB1"/>
    <w:rsid w:val="00662D31"/>
    <w:rsid w:val="0066329F"/>
    <w:rsid w:val="006633EF"/>
    <w:rsid w:val="00663435"/>
    <w:rsid w:val="006634B6"/>
    <w:rsid w:val="006634F9"/>
    <w:rsid w:val="006635B4"/>
    <w:rsid w:val="006635D7"/>
    <w:rsid w:val="00663687"/>
    <w:rsid w:val="00663736"/>
    <w:rsid w:val="00663740"/>
    <w:rsid w:val="0066377F"/>
    <w:rsid w:val="00663A55"/>
    <w:rsid w:val="00663B39"/>
    <w:rsid w:val="00663C30"/>
    <w:rsid w:val="00663C37"/>
    <w:rsid w:val="00663E0D"/>
    <w:rsid w:val="00663E8F"/>
    <w:rsid w:val="00663EEA"/>
    <w:rsid w:val="00664076"/>
    <w:rsid w:val="00664321"/>
    <w:rsid w:val="006643A1"/>
    <w:rsid w:val="006643EC"/>
    <w:rsid w:val="00664779"/>
    <w:rsid w:val="0066477C"/>
    <w:rsid w:val="006649FD"/>
    <w:rsid w:val="00664C20"/>
    <w:rsid w:val="00664C6B"/>
    <w:rsid w:val="00664D7D"/>
    <w:rsid w:val="006652F2"/>
    <w:rsid w:val="006654D8"/>
    <w:rsid w:val="00665662"/>
    <w:rsid w:val="00665786"/>
    <w:rsid w:val="00665834"/>
    <w:rsid w:val="006659B9"/>
    <w:rsid w:val="00665A19"/>
    <w:rsid w:val="00665B20"/>
    <w:rsid w:val="00665B6B"/>
    <w:rsid w:val="00665BCD"/>
    <w:rsid w:val="00665C3C"/>
    <w:rsid w:val="00665C48"/>
    <w:rsid w:val="00665C4C"/>
    <w:rsid w:val="00665DCA"/>
    <w:rsid w:val="00665E81"/>
    <w:rsid w:val="00665FE1"/>
    <w:rsid w:val="006661B2"/>
    <w:rsid w:val="006663C7"/>
    <w:rsid w:val="00666558"/>
    <w:rsid w:val="006665D2"/>
    <w:rsid w:val="006666F9"/>
    <w:rsid w:val="00666806"/>
    <w:rsid w:val="006668CE"/>
    <w:rsid w:val="006669FD"/>
    <w:rsid w:val="00666ABB"/>
    <w:rsid w:val="00666B2A"/>
    <w:rsid w:val="00666BB7"/>
    <w:rsid w:val="00666CB9"/>
    <w:rsid w:val="00666ED0"/>
    <w:rsid w:val="00666F9B"/>
    <w:rsid w:val="006673B7"/>
    <w:rsid w:val="006674A6"/>
    <w:rsid w:val="006674BE"/>
    <w:rsid w:val="006675F7"/>
    <w:rsid w:val="006676B8"/>
    <w:rsid w:val="0066780B"/>
    <w:rsid w:val="00667A6B"/>
    <w:rsid w:val="00667AFD"/>
    <w:rsid w:val="00667CAD"/>
    <w:rsid w:val="00667CF1"/>
    <w:rsid w:val="00667D6C"/>
    <w:rsid w:val="006701A7"/>
    <w:rsid w:val="006701D2"/>
    <w:rsid w:val="00670297"/>
    <w:rsid w:val="0067066D"/>
    <w:rsid w:val="00670A63"/>
    <w:rsid w:val="00670A9E"/>
    <w:rsid w:val="00670D65"/>
    <w:rsid w:val="00670EAE"/>
    <w:rsid w:val="00670EDF"/>
    <w:rsid w:val="00670EEE"/>
    <w:rsid w:val="00670FCC"/>
    <w:rsid w:val="0067124F"/>
    <w:rsid w:val="0067130F"/>
    <w:rsid w:val="0067151E"/>
    <w:rsid w:val="00671525"/>
    <w:rsid w:val="0067165C"/>
    <w:rsid w:val="0067180B"/>
    <w:rsid w:val="006718D2"/>
    <w:rsid w:val="00671ABE"/>
    <w:rsid w:val="00671F79"/>
    <w:rsid w:val="00671FD3"/>
    <w:rsid w:val="00672020"/>
    <w:rsid w:val="006720AC"/>
    <w:rsid w:val="006720C2"/>
    <w:rsid w:val="00672188"/>
    <w:rsid w:val="00672260"/>
    <w:rsid w:val="00672336"/>
    <w:rsid w:val="00672402"/>
    <w:rsid w:val="00672448"/>
    <w:rsid w:val="0067244C"/>
    <w:rsid w:val="0067250A"/>
    <w:rsid w:val="0067253E"/>
    <w:rsid w:val="00672587"/>
    <w:rsid w:val="006725B3"/>
    <w:rsid w:val="006725B6"/>
    <w:rsid w:val="006725B9"/>
    <w:rsid w:val="006725E0"/>
    <w:rsid w:val="006727F9"/>
    <w:rsid w:val="006729A0"/>
    <w:rsid w:val="00672B9B"/>
    <w:rsid w:val="00672C08"/>
    <w:rsid w:val="00672CD7"/>
    <w:rsid w:val="00672CEA"/>
    <w:rsid w:val="00672D15"/>
    <w:rsid w:val="00672EB7"/>
    <w:rsid w:val="00673346"/>
    <w:rsid w:val="00673369"/>
    <w:rsid w:val="00673444"/>
    <w:rsid w:val="0067347A"/>
    <w:rsid w:val="006734CD"/>
    <w:rsid w:val="006736BF"/>
    <w:rsid w:val="00673796"/>
    <w:rsid w:val="00673B07"/>
    <w:rsid w:val="00673D8E"/>
    <w:rsid w:val="00673E53"/>
    <w:rsid w:val="00673FED"/>
    <w:rsid w:val="00674222"/>
    <w:rsid w:val="00674326"/>
    <w:rsid w:val="00674336"/>
    <w:rsid w:val="00674523"/>
    <w:rsid w:val="00674586"/>
    <w:rsid w:val="006746A3"/>
    <w:rsid w:val="00674719"/>
    <w:rsid w:val="0067474F"/>
    <w:rsid w:val="00674A7E"/>
    <w:rsid w:val="00674D64"/>
    <w:rsid w:val="00674DE8"/>
    <w:rsid w:val="00674F88"/>
    <w:rsid w:val="00674F94"/>
    <w:rsid w:val="0067503B"/>
    <w:rsid w:val="006751B6"/>
    <w:rsid w:val="006751B7"/>
    <w:rsid w:val="006751E2"/>
    <w:rsid w:val="006753DE"/>
    <w:rsid w:val="00675483"/>
    <w:rsid w:val="006754B3"/>
    <w:rsid w:val="006755ED"/>
    <w:rsid w:val="00675742"/>
    <w:rsid w:val="0067578A"/>
    <w:rsid w:val="00675918"/>
    <w:rsid w:val="00675933"/>
    <w:rsid w:val="00676000"/>
    <w:rsid w:val="00676344"/>
    <w:rsid w:val="0067640C"/>
    <w:rsid w:val="006764C6"/>
    <w:rsid w:val="006767AC"/>
    <w:rsid w:val="0067689C"/>
    <w:rsid w:val="006768A6"/>
    <w:rsid w:val="00676911"/>
    <w:rsid w:val="00676A86"/>
    <w:rsid w:val="00676AF0"/>
    <w:rsid w:val="00676C28"/>
    <w:rsid w:val="00676C63"/>
    <w:rsid w:val="00676DAA"/>
    <w:rsid w:val="00676DC2"/>
    <w:rsid w:val="00677143"/>
    <w:rsid w:val="006771B5"/>
    <w:rsid w:val="006771C3"/>
    <w:rsid w:val="006771DA"/>
    <w:rsid w:val="00677207"/>
    <w:rsid w:val="0067738F"/>
    <w:rsid w:val="0067745D"/>
    <w:rsid w:val="006776F9"/>
    <w:rsid w:val="0067774C"/>
    <w:rsid w:val="006777C3"/>
    <w:rsid w:val="00677907"/>
    <w:rsid w:val="006779EE"/>
    <w:rsid w:val="00677A68"/>
    <w:rsid w:val="00677DB2"/>
    <w:rsid w:val="00677F53"/>
    <w:rsid w:val="00677F5D"/>
    <w:rsid w:val="00680465"/>
    <w:rsid w:val="006804D9"/>
    <w:rsid w:val="00680680"/>
    <w:rsid w:val="006806E7"/>
    <w:rsid w:val="0068094D"/>
    <w:rsid w:val="0068095F"/>
    <w:rsid w:val="0068098C"/>
    <w:rsid w:val="00680A01"/>
    <w:rsid w:val="00680AB3"/>
    <w:rsid w:val="00680B1F"/>
    <w:rsid w:val="00680EDC"/>
    <w:rsid w:val="00680F95"/>
    <w:rsid w:val="00680F97"/>
    <w:rsid w:val="00680F9B"/>
    <w:rsid w:val="0068102F"/>
    <w:rsid w:val="006810C3"/>
    <w:rsid w:val="006813AA"/>
    <w:rsid w:val="006813CB"/>
    <w:rsid w:val="006815FA"/>
    <w:rsid w:val="00681995"/>
    <w:rsid w:val="00681B32"/>
    <w:rsid w:val="00681D0D"/>
    <w:rsid w:val="00681F51"/>
    <w:rsid w:val="00682043"/>
    <w:rsid w:val="0068207E"/>
    <w:rsid w:val="006822BE"/>
    <w:rsid w:val="006822EB"/>
    <w:rsid w:val="0068239A"/>
    <w:rsid w:val="00682646"/>
    <w:rsid w:val="00682668"/>
    <w:rsid w:val="0068272C"/>
    <w:rsid w:val="0068287C"/>
    <w:rsid w:val="006828D0"/>
    <w:rsid w:val="0068296D"/>
    <w:rsid w:val="0068298E"/>
    <w:rsid w:val="00682A47"/>
    <w:rsid w:val="00682A9B"/>
    <w:rsid w:val="00682CC5"/>
    <w:rsid w:val="00682FDB"/>
    <w:rsid w:val="006830D4"/>
    <w:rsid w:val="00683119"/>
    <w:rsid w:val="006831EC"/>
    <w:rsid w:val="0068335B"/>
    <w:rsid w:val="00683BCF"/>
    <w:rsid w:val="00683D0B"/>
    <w:rsid w:val="00683D9B"/>
    <w:rsid w:val="00683DAB"/>
    <w:rsid w:val="00683F6A"/>
    <w:rsid w:val="00683FCF"/>
    <w:rsid w:val="0068418B"/>
    <w:rsid w:val="00684308"/>
    <w:rsid w:val="00684556"/>
    <w:rsid w:val="00684B48"/>
    <w:rsid w:val="00684B9F"/>
    <w:rsid w:val="00684C84"/>
    <w:rsid w:val="00684CA9"/>
    <w:rsid w:val="00684CFC"/>
    <w:rsid w:val="00684E60"/>
    <w:rsid w:val="00684E8D"/>
    <w:rsid w:val="00684F45"/>
    <w:rsid w:val="00685008"/>
    <w:rsid w:val="006850DE"/>
    <w:rsid w:val="00685108"/>
    <w:rsid w:val="0068534F"/>
    <w:rsid w:val="0068536E"/>
    <w:rsid w:val="0068539D"/>
    <w:rsid w:val="0068547D"/>
    <w:rsid w:val="006854D6"/>
    <w:rsid w:val="006855E7"/>
    <w:rsid w:val="0068574F"/>
    <w:rsid w:val="00685A5A"/>
    <w:rsid w:val="00685C35"/>
    <w:rsid w:val="00685C8C"/>
    <w:rsid w:val="00685DB0"/>
    <w:rsid w:val="0068621C"/>
    <w:rsid w:val="00686640"/>
    <w:rsid w:val="00686727"/>
    <w:rsid w:val="0068672D"/>
    <w:rsid w:val="00686856"/>
    <w:rsid w:val="00686BA5"/>
    <w:rsid w:val="00686CBE"/>
    <w:rsid w:val="00686D7C"/>
    <w:rsid w:val="00686DE6"/>
    <w:rsid w:val="00686E8B"/>
    <w:rsid w:val="00686E90"/>
    <w:rsid w:val="00686F35"/>
    <w:rsid w:val="00686FEF"/>
    <w:rsid w:val="006871E9"/>
    <w:rsid w:val="00687245"/>
    <w:rsid w:val="0068733D"/>
    <w:rsid w:val="00687547"/>
    <w:rsid w:val="006875D1"/>
    <w:rsid w:val="006875DA"/>
    <w:rsid w:val="00687647"/>
    <w:rsid w:val="00687747"/>
    <w:rsid w:val="0068775D"/>
    <w:rsid w:val="00687853"/>
    <w:rsid w:val="00687A91"/>
    <w:rsid w:val="00687ADC"/>
    <w:rsid w:val="00687B2B"/>
    <w:rsid w:val="00687B6E"/>
    <w:rsid w:val="00687C7B"/>
    <w:rsid w:val="00687CB6"/>
    <w:rsid w:val="00687CC6"/>
    <w:rsid w:val="00687EE0"/>
    <w:rsid w:val="00690012"/>
    <w:rsid w:val="00690084"/>
    <w:rsid w:val="006901BE"/>
    <w:rsid w:val="0069021A"/>
    <w:rsid w:val="00690386"/>
    <w:rsid w:val="006904D1"/>
    <w:rsid w:val="00690626"/>
    <w:rsid w:val="0069067A"/>
    <w:rsid w:val="0069075C"/>
    <w:rsid w:val="00690764"/>
    <w:rsid w:val="006907D8"/>
    <w:rsid w:val="00690B47"/>
    <w:rsid w:val="00690D0E"/>
    <w:rsid w:val="00690E9D"/>
    <w:rsid w:val="00690F71"/>
    <w:rsid w:val="0069150B"/>
    <w:rsid w:val="006915A0"/>
    <w:rsid w:val="00691BB4"/>
    <w:rsid w:val="00691D45"/>
    <w:rsid w:val="00691EA3"/>
    <w:rsid w:val="00692041"/>
    <w:rsid w:val="00692067"/>
    <w:rsid w:val="006920B9"/>
    <w:rsid w:val="006921AB"/>
    <w:rsid w:val="006921B3"/>
    <w:rsid w:val="006928B4"/>
    <w:rsid w:val="006929AB"/>
    <w:rsid w:val="00692BA9"/>
    <w:rsid w:val="00692D04"/>
    <w:rsid w:val="006930D5"/>
    <w:rsid w:val="006930E1"/>
    <w:rsid w:val="006934CF"/>
    <w:rsid w:val="0069361E"/>
    <w:rsid w:val="0069368A"/>
    <w:rsid w:val="00693981"/>
    <w:rsid w:val="006939CB"/>
    <w:rsid w:val="00693ADC"/>
    <w:rsid w:val="00693C8A"/>
    <w:rsid w:val="00693D5D"/>
    <w:rsid w:val="00693EE9"/>
    <w:rsid w:val="00693F36"/>
    <w:rsid w:val="0069418C"/>
    <w:rsid w:val="0069427D"/>
    <w:rsid w:val="0069430D"/>
    <w:rsid w:val="006943EE"/>
    <w:rsid w:val="00694606"/>
    <w:rsid w:val="006946D2"/>
    <w:rsid w:val="006946DE"/>
    <w:rsid w:val="00694722"/>
    <w:rsid w:val="00694A5E"/>
    <w:rsid w:val="00694CCD"/>
    <w:rsid w:val="00694EFD"/>
    <w:rsid w:val="00694F6E"/>
    <w:rsid w:val="00695419"/>
    <w:rsid w:val="006956AA"/>
    <w:rsid w:val="0069576A"/>
    <w:rsid w:val="00695870"/>
    <w:rsid w:val="00695AC5"/>
    <w:rsid w:val="00695B65"/>
    <w:rsid w:val="00695CBE"/>
    <w:rsid w:val="00695EDB"/>
    <w:rsid w:val="0069641D"/>
    <w:rsid w:val="00696572"/>
    <w:rsid w:val="00696726"/>
    <w:rsid w:val="00696731"/>
    <w:rsid w:val="006968F6"/>
    <w:rsid w:val="00696A37"/>
    <w:rsid w:val="00696C18"/>
    <w:rsid w:val="00696CE5"/>
    <w:rsid w:val="00696E03"/>
    <w:rsid w:val="00696EA6"/>
    <w:rsid w:val="00696FA4"/>
    <w:rsid w:val="006970A8"/>
    <w:rsid w:val="006970AD"/>
    <w:rsid w:val="0069714F"/>
    <w:rsid w:val="006971D7"/>
    <w:rsid w:val="0069720B"/>
    <w:rsid w:val="00697216"/>
    <w:rsid w:val="0069733F"/>
    <w:rsid w:val="006976B5"/>
    <w:rsid w:val="0069787E"/>
    <w:rsid w:val="00697D13"/>
    <w:rsid w:val="006A000A"/>
    <w:rsid w:val="006A0029"/>
    <w:rsid w:val="006A0070"/>
    <w:rsid w:val="006A00D7"/>
    <w:rsid w:val="006A03A5"/>
    <w:rsid w:val="006A03B7"/>
    <w:rsid w:val="006A0831"/>
    <w:rsid w:val="006A0ABD"/>
    <w:rsid w:val="006A0CDC"/>
    <w:rsid w:val="006A0D51"/>
    <w:rsid w:val="006A0DBA"/>
    <w:rsid w:val="006A1049"/>
    <w:rsid w:val="006A1168"/>
    <w:rsid w:val="006A1352"/>
    <w:rsid w:val="006A1433"/>
    <w:rsid w:val="006A1459"/>
    <w:rsid w:val="006A17F6"/>
    <w:rsid w:val="006A182C"/>
    <w:rsid w:val="006A185B"/>
    <w:rsid w:val="006A1B03"/>
    <w:rsid w:val="006A1B7C"/>
    <w:rsid w:val="006A1C14"/>
    <w:rsid w:val="006A1CF4"/>
    <w:rsid w:val="006A1D2C"/>
    <w:rsid w:val="006A1DEC"/>
    <w:rsid w:val="006A1E79"/>
    <w:rsid w:val="006A1FFB"/>
    <w:rsid w:val="006A21B8"/>
    <w:rsid w:val="006A231B"/>
    <w:rsid w:val="006A23B8"/>
    <w:rsid w:val="006A25C1"/>
    <w:rsid w:val="006A2683"/>
    <w:rsid w:val="006A2A9A"/>
    <w:rsid w:val="006A2AD5"/>
    <w:rsid w:val="006A2B4D"/>
    <w:rsid w:val="006A2C29"/>
    <w:rsid w:val="006A2D31"/>
    <w:rsid w:val="006A2D6A"/>
    <w:rsid w:val="006A2E14"/>
    <w:rsid w:val="006A364D"/>
    <w:rsid w:val="006A3875"/>
    <w:rsid w:val="006A3A36"/>
    <w:rsid w:val="006A3C61"/>
    <w:rsid w:val="006A3F9C"/>
    <w:rsid w:val="006A4125"/>
    <w:rsid w:val="006A4286"/>
    <w:rsid w:val="006A42E3"/>
    <w:rsid w:val="006A4391"/>
    <w:rsid w:val="006A4569"/>
    <w:rsid w:val="006A4663"/>
    <w:rsid w:val="006A493D"/>
    <w:rsid w:val="006A49D5"/>
    <w:rsid w:val="006A4C61"/>
    <w:rsid w:val="006A4F18"/>
    <w:rsid w:val="006A5242"/>
    <w:rsid w:val="006A5395"/>
    <w:rsid w:val="006A53C1"/>
    <w:rsid w:val="006A5403"/>
    <w:rsid w:val="006A54A9"/>
    <w:rsid w:val="006A558F"/>
    <w:rsid w:val="006A5B06"/>
    <w:rsid w:val="006A5BD0"/>
    <w:rsid w:val="006A5DEC"/>
    <w:rsid w:val="006A601C"/>
    <w:rsid w:val="006A6034"/>
    <w:rsid w:val="006A623D"/>
    <w:rsid w:val="006A62FB"/>
    <w:rsid w:val="006A63DE"/>
    <w:rsid w:val="006A6548"/>
    <w:rsid w:val="006A66DE"/>
    <w:rsid w:val="006A68F4"/>
    <w:rsid w:val="006A6A4A"/>
    <w:rsid w:val="006A6AD4"/>
    <w:rsid w:val="006A6B26"/>
    <w:rsid w:val="006A6BD4"/>
    <w:rsid w:val="006A6D41"/>
    <w:rsid w:val="006A6D6B"/>
    <w:rsid w:val="006A6DAE"/>
    <w:rsid w:val="006A711B"/>
    <w:rsid w:val="006A72B0"/>
    <w:rsid w:val="006A7305"/>
    <w:rsid w:val="006A7341"/>
    <w:rsid w:val="006A75BA"/>
    <w:rsid w:val="006A7656"/>
    <w:rsid w:val="006A7777"/>
    <w:rsid w:val="006A779D"/>
    <w:rsid w:val="006A7852"/>
    <w:rsid w:val="006A7853"/>
    <w:rsid w:val="006A7BDA"/>
    <w:rsid w:val="006A7C7B"/>
    <w:rsid w:val="006A7D35"/>
    <w:rsid w:val="006A7F0E"/>
    <w:rsid w:val="006B042F"/>
    <w:rsid w:val="006B06E5"/>
    <w:rsid w:val="006B0713"/>
    <w:rsid w:val="006B07E6"/>
    <w:rsid w:val="006B0955"/>
    <w:rsid w:val="006B0A35"/>
    <w:rsid w:val="006B0BB4"/>
    <w:rsid w:val="006B0BD7"/>
    <w:rsid w:val="006B0CC4"/>
    <w:rsid w:val="006B0D0D"/>
    <w:rsid w:val="006B0DA7"/>
    <w:rsid w:val="006B1014"/>
    <w:rsid w:val="006B10EA"/>
    <w:rsid w:val="006B1102"/>
    <w:rsid w:val="006B12DC"/>
    <w:rsid w:val="006B136E"/>
    <w:rsid w:val="006B1509"/>
    <w:rsid w:val="006B15E2"/>
    <w:rsid w:val="006B162B"/>
    <w:rsid w:val="006B1685"/>
    <w:rsid w:val="006B16FF"/>
    <w:rsid w:val="006B1800"/>
    <w:rsid w:val="006B18B3"/>
    <w:rsid w:val="006B1903"/>
    <w:rsid w:val="006B1ADB"/>
    <w:rsid w:val="006B1B27"/>
    <w:rsid w:val="006B1D65"/>
    <w:rsid w:val="006B1DDE"/>
    <w:rsid w:val="006B1F8D"/>
    <w:rsid w:val="006B2115"/>
    <w:rsid w:val="006B2173"/>
    <w:rsid w:val="006B229B"/>
    <w:rsid w:val="006B24C0"/>
    <w:rsid w:val="006B2523"/>
    <w:rsid w:val="006B264D"/>
    <w:rsid w:val="006B26AD"/>
    <w:rsid w:val="006B276D"/>
    <w:rsid w:val="006B2995"/>
    <w:rsid w:val="006B2BCE"/>
    <w:rsid w:val="006B2C9C"/>
    <w:rsid w:val="006B2E9E"/>
    <w:rsid w:val="006B31A4"/>
    <w:rsid w:val="006B3308"/>
    <w:rsid w:val="006B343D"/>
    <w:rsid w:val="006B3596"/>
    <w:rsid w:val="006B36C5"/>
    <w:rsid w:val="006B3AD6"/>
    <w:rsid w:val="006B3CFE"/>
    <w:rsid w:val="006B421C"/>
    <w:rsid w:val="006B4615"/>
    <w:rsid w:val="006B47D3"/>
    <w:rsid w:val="006B4ADD"/>
    <w:rsid w:val="006B4C4F"/>
    <w:rsid w:val="006B4F80"/>
    <w:rsid w:val="006B4FE7"/>
    <w:rsid w:val="006B5048"/>
    <w:rsid w:val="006B507A"/>
    <w:rsid w:val="006B51B4"/>
    <w:rsid w:val="006B5250"/>
    <w:rsid w:val="006B566E"/>
    <w:rsid w:val="006B5715"/>
    <w:rsid w:val="006B57F9"/>
    <w:rsid w:val="006B58C0"/>
    <w:rsid w:val="006B5913"/>
    <w:rsid w:val="006B59B8"/>
    <w:rsid w:val="006B5A3C"/>
    <w:rsid w:val="006B5B02"/>
    <w:rsid w:val="006B5F7A"/>
    <w:rsid w:val="006B604C"/>
    <w:rsid w:val="006B6057"/>
    <w:rsid w:val="006B61D7"/>
    <w:rsid w:val="006B6359"/>
    <w:rsid w:val="006B63CF"/>
    <w:rsid w:val="006B648A"/>
    <w:rsid w:val="006B6534"/>
    <w:rsid w:val="006B65AC"/>
    <w:rsid w:val="006B66E6"/>
    <w:rsid w:val="006B676F"/>
    <w:rsid w:val="006B67AA"/>
    <w:rsid w:val="006B6855"/>
    <w:rsid w:val="006B6873"/>
    <w:rsid w:val="006B6BF4"/>
    <w:rsid w:val="006B6C06"/>
    <w:rsid w:val="006B6ECA"/>
    <w:rsid w:val="006B6F30"/>
    <w:rsid w:val="006B7658"/>
    <w:rsid w:val="006B76E2"/>
    <w:rsid w:val="006B77E2"/>
    <w:rsid w:val="006B78F7"/>
    <w:rsid w:val="006B78F8"/>
    <w:rsid w:val="006B7B4C"/>
    <w:rsid w:val="006B7BE1"/>
    <w:rsid w:val="006B7D05"/>
    <w:rsid w:val="006B7D13"/>
    <w:rsid w:val="006B7D20"/>
    <w:rsid w:val="006B7D26"/>
    <w:rsid w:val="006B7E0F"/>
    <w:rsid w:val="006C00B0"/>
    <w:rsid w:val="006C0594"/>
    <w:rsid w:val="006C0885"/>
    <w:rsid w:val="006C0B2A"/>
    <w:rsid w:val="006C0C1D"/>
    <w:rsid w:val="006C0E3B"/>
    <w:rsid w:val="006C1130"/>
    <w:rsid w:val="006C1210"/>
    <w:rsid w:val="006C1424"/>
    <w:rsid w:val="006C14AA"/>
    <w:rsid w:val="006C15DD"/>
    <w:rsid w:val="006C17AC"/>
    <w:rsid w:val="006C1966"/>
    <w:rsid w:val="006C1971"/>
    <w:rsid w:val="006C1A8C"/>
    <w:rsid w:val="006C1AC3"/>
    <w:rsid w:val="006C1BE8"/>
    <w:rsid w:val="006C1C44"/>
    <w:rsid w:val="006C1D64"/>
    <w:rsid w:val="006C1EC5"/>
    <w:rsid w:val="006C1F10"/>
    <w:rsid w:val="006C1F4F"/>
    <w:rsid w:val="006C2007"/>
    <w:rsid w:val="006C20BB"/>
    <w:rsid w:val="006C2282"/>
    <w:rsid w:val="006C2494"/>
    <w:rsid w:val="006C25EF"/>
    <w:rsid w:val="006C26FC"/>
    <w:rsid w:val="006C2849"/>
    <w:rsid w:val="006C2859"/>
    <w:rsid w:val="006C298E"/>
    <w:rsid w:val="006C2AD4"/>
    <w:rsid w:val="006C2D5A"/>
    <w:rsid w:val="006C2DF1"/>
    <w:rsid w:val="006C2E0F"/>
    <w:rsid w:val="006C3059"/>
    <w:rsid w:val="006C3405"/>
    <w:rsid w:val="006C348B"/>
    <w:rsid w:val="006C34A1"/>
    <w:rsid w:val="006C34B1"/>
    <w:rsid w:val="006C3574"/>
    <w:rsid w:val="006C35BF"/>
    <w:rsid w:val="006C37D7"/>
    <w:rsid w:val="006C3859"/>
    <w:rsid w:val="006C3950"/>
    <w:rsid w:val="006C3BDF"/>
    <w:rsid w:val="006C3C6B"/>
    <w:rsid w:val="006C3D9E"/>
    <w:rsid w:val="006C3E69"/>
    <w:rsid w:val="006C3F90"/>
    <w:rsid w:val="006C3FF0"/>
    <w:rsid w:val="006C4042"/>
    <w:rsid w:val="006C4063"/>
    <w:rsid w:val="006C40A9"/>
    <w:rsid w:val="006C4205"/>
    <w:rsid w:val="006C42E0"/>
    <w:rsid w:val="006C4394"/>
    <w:rsid w:val="006C44C7"/>
    <w:rsid w:val="006C4573"/>
    <w:rsid w:val="006C4741"/>
    <w:rsid w:val="006C47DE"/>
    <w:rsid w:val="006C4828"/>
    <w:rsid w:val="006C49B8"/>
    <w:rsid w:val="006C4AA1"/>
    <w:rsid w:val="006C4B91"/>
    <w:rsid w:val="006C4DB3"/>
    <w:rsid w:val="006C4DBE"/>
    <w:rsid w:val="006C4EDA"/>
    <w:rsid w:val="006C5045"/>
    <w:rsid w:val="006C5055"/>
    <w:rsid w:val="006C50F1"/>
    <w:rsid w:val="006C510C"/>
    <w:rsid w:val="006C51A8"/>
    <w:rsid w:val="006C5266"/>
    <w:rsid w:val="006C532F"/>
    <w:rsid w:val="006C54BE"/>
    <w:rsid w:val="006C5537"/>
    <w:rsid w:val="006C563F"/>
    <w:rsid w:val="006C58F7"/>
    <w:rsid w:val="006C5BAA"/>
    <w:rsid w:val="006C5E1E"/>
    <w:rsid w:val="006C5F19"/>
    <w:rsid w:val="006C5F4F"/>
    <w:rsid w:val="006C5F79"/>
    <w:rsid w:val="006C6006"/>
    <w:rsid w:val="006C62A3"/>
    <w:rsid w:val="006C6360"/>
    <w:rsid w:val="006C64CE"/>
    <w:rsid w:val="006C6773"/>
    <w:rsid w:val="006C67BD"/>
    <w:rsid w:val="006C681C"/>
    <w:rsid w:val="006C6934"/>
    <w:rsid w:val="006C6AC6"/>
    <w:rsid w:val="006C6B1C"/>
    <w:rsid w:val="006C6BAC"/>
    <w:rsid w:val="006C6BFF"/>
    <w:rsid w:val="006C6DCF"/>
    <w:rsid w:val="006C7029"/>
    <w:rsid w:val="006C713E"/>
    <w:rsid w:val="006C7193"/>
    <w:rsid w:val="006C7424"/>
    <w:rsid w:val="006C7730"/>
    <w:rsid w:val="006C77AF"/>
    <w:rsid w:val="006C79F8"/>
    <w:rsid w:val="006C7A52"/>
    <w:rsid w:val="006C7AB4"/>
    <w:rsid w:val="006C7C5B"/>
    <w:rsid w:val="006C7CAA"/>
    <w:rsid w:val="006C7D61"/>
    <w:rsid w:val="006D01B6"/>
    <w:rsid w:val="006D02CD"/>
    <w:rsid w:val="006D0330"/>
    <w:rsid w:val="006D0396"/>
    <w:rsid w:val="006D0480"/>
    <w:rsid w:val="006D088E"/>
    <w:rsid w:val="006D09A1"/>
    <w:rsid w:val="006D0A42"/>
    <w:rsid w:val="006D0B44"/>
    <w:rsid w:val="006D0C58"/>
    <w:rsid w:val="006D0CF0"/>
    <w:rsid w:val="006D0ED6"/>
    <w:rsid w:val="006D11A7"/>
    <w:rsid w:val="006D11F9"/>
    <w:rsid w:val="006D12D5"/>
    <w:rsid w:val="006D148D"/>
    <w:rsid w:val="006D16AB"/>
    <w:rsid w:val="006D1978"/>
    <w:rsid w:val="006D1BFA"/>
    <w:rsid w:val="006D1C47"/>
    <w:rsid w:val="006D1E86"/>
    <w:rsid w:val="006D1FC2"/>
    <w:rsid w:val="006D2181"/>
    <w:rsid w:val="006D229D"/>
    <w:rsid w:val="006D22CB"/>
    <w:rsid w:val="006D2512"/>
    <w:rsid w:val="006D2699"/>
    <w:rsid w:val="006D26B5"/>
    <w:rsid w:val="006D2851"/>
    <w:rsid w:val="006D2873"/>
    <w:rsid w:val="006D2897"/>
    <w:rsid w:val="006D295E"/>
    <w:rsid w:val="006D2A49"/>
    <w:rsid w:val="006D2AAC"/>
    <w:rsid w:val="006D2BE1"/>
    <w:rsid w:val="006D2BF3"/>
    <w:rsid w:val="006D2CC2"/>
    <w:rsid w:val="006D2CD9"/>
    <w:rsid w:val="006D2F40"/>
    <w:rsid w:val="006D2F72"/>
    <w:rsid w:val="006D2FF2"/>
    <w:rsid w:val="006D301C"/>
    <w:rsid w:val="006D30A7"/>
    <w:rsid w:val="006D30FC"/>
    <w:rsid w:val="006D315C"/>
    <w:rsid w:val="006D330B"/>
    <w:rsid w:val="006D3334"/>
    <w:rsid w:val="006D3352"/>
    <w:rsid w:val="006D3403"/>
    <w:rsid w:val="006D34D0"/>
    <w:rsid w:val="006D3614"/>
    <w:rsid w:val="006D3664"/>
    <w:rsid w:val="006D36B1"/>
    <w:rsid w:val="006D38D7"/>
    <w:rsid w:val="006D3903"/>
    <w:rsid w:val="006D3A9E"/>
    <w:rsid w:val="006D3D56"/>
    <w:rsid w:val="006D3DD4"/>
    <w:rsid w:val="006D3F5E"/>
    <w:rsid w:val="006D3FC5"/>
    <w:rsid w:val="006D40DC"/>
    <w:rsid w:val="006D4298"/>
    <w:rsid w:val="006D4466"/>
    <w:rsid w:val="006D4633"/>
    <w:rsid w:val="006D4804"/>
    <w:rsid w:val="006D48A0"/>
    <w:rsid w:val="006D4A36"/>
    <w:rsid w:val="006D4B21"/>
    <w:rsid w:val="006D4BC6"/>
    <w:rsid w:val="006D4C45"/>
    <w:rsid w:val="006D4D37"/>
    <w:rsid w:val="006D4DBC"/>
    <w:rsid w:val="006D4E6B"/>
    <w:rsid w:val="006D5175"/>
    <w:rsid w:val="006D5179"/>
    <w:rsid w:val="006D5208"/>
    <w:rsid w:val="006D5438"/>
    <w:rsid w:val="006D54E7"/>
    <w:rsid w:val="006D555E"/>
    <w:rsid w:val="006D5833"/>
    <w:rsid w:val="006D5846"/>
    <w:rsid w:val="006D5B14"/>
    <w:rsid w:val="006D5CE6"/>
    <w:rsid w:val="006D5DE8"/>
    <w:rsid w:val="006D5E8F"/>
    <w:rsid w:val="006D5FE9"/>
    <w:rsid w:val="006D63E1"/>
    <w:rsid w:val="006D64E1"/>
    <w:rsid w:val="006D6612"/>
    <w:rsid w:val="006D680B"/>
    <w:rsid w:val="006D6817"/>
    <w:rsid w:val="006D6BBD"/>
    <w:rsid w:val="006D6BE8"/>
    <w:rsid w:val="006D6DBD"/>
    <w:rsid w:val="006D6E0B"/>
    <w:rsid w:val="006D6E92"/>
    <w:rsid w:val="006D6FA9"/>
    <w:rsid w:val="006D717B"/>
    <w:rsid w:val="006D7231"/>
    <w:rsid w:val="006D727E"/>
    <w:rsid w:val="006D7535"/>
    <w:rsid w:val="006D7554"/>
    <w:rsid w:val="006D763C"/>
    <w:rsid w:val="006D784C"/>
    <w:rsid w:val="006D78F8"/>
    <w:rsid w:val="006D7AAD"/>
    <w:rsid w:val="006D7ACA"/>
    <w:rsid w:val="006D7BAE"/>
    <w:rsid w:val="006D7C4C"/>
    <w:rsid w:val="006E00FC"/>
    <w:rsid w:val="006E014B"/>
    <w:rsid w:val="006E02BC"/>
    <w:rsid w:val="006E02FB"/>
    <w:rsid w:val="006E0639"/>
    <w:rsid w:val="006E06C9"/>
    <w:rsid w:val="006E0784"/>
    <w:rsid w:val="006E08EE"/>
    <w:rsid w:val="006E0B47"/>
    <w:rsid w:val="006E0B53"/>
    <w:rsid w:val="006E0C21"/>
    <w:rsid w:val="006E0EEB"/>
    <w:rsid w:val="006E0EFA"/>
    <w:rsid w:val="006E11FE"/>
    <w:rsid w:val="006E12FC"/>
    <w:rsid w:val="006E1406"/>
    <w:rsid w:val="006E14C0"/>
    <w:rsid w:val="006E154C"/>
    <w:rsid w:val="006E1552"/>
    <w:rsid w:val="006E1585"/>
    <w:rsid w:val="006E174A"/>
    <w:rsid w:val="006E1CAC"/>
    <w:rsid w:val="006E1D2A"/>
    <w:rsid w:val="006E1D9E"/>
    <w:rsid w:val="006E1E87"/>
    <w:rsid w:val="006E1EB0"/>
    <w:rsid w:val="006E1F2F"/>
    <w:rsid w:val="006E1F63"/>
    <w:rsid w:val="006E1F84"/>
    <w:rsid w:val="006E1FA3"/>
    <w:rsid w:val="006E1FD0"/>
    <w:rsid w:val="006E2018"/>
    <w:rsid w:val="006E20C7"/>
    <w:rsid w:val="006E2175"/>
    <w:rsid w:val="006E21A5"/>
    <w:rsid w:val="006E21BF"/>
    <w:rsid w:val="006E2495"/>
    <w:rsid w:val="006E269B"/>
    <w:rsid w:val="006E26E6"/>
    <w:rsid w:val="006E271B"/>
    <w:rsid w:val="006E294B"/>
    <w:rsid w:val="006E2A95"/>
    <w:rsid w:val="006E2BD7"/>
    <w:rsid w:val="006E2D13"/>
    <w:rsid w:val="006E2E31"/>
    <w:rsid w:val="006E2E66"/>
    <w:rsid w:val="006E3249"/>
    <w:rsid w:val="006E33A8"/>
    <w:rsid w:val="006E3438"/>
    <w:rsid w:val="006E360D"/>
    <w:rsid w:val="006E3696"/>
    <w:rsid w:val="006E3806"/>
    <w:rsid w:val="006E39D7"/>
    <w:rsid w:val="006E3C03"/>
    <w:rsid w:val="006E3C2B"/>
    <w:rsid w:val="006E3C9A"/>
    <w:rsid w:val="006E3E7E"/>
    <w:rsid w:val="006E401A"/>
    <w:rsid w:val="006E410E"/>
    <w:rsid w:val="006E4114"/>
    <w:rsid w:val="006E4191"/>
    <w:rsid w:val="006E4217"/>
    <w:rsid w:val="006E45F5"/>
    <w:rsid w:val="006E46C3"/>
    <w:rsid w:val="006E4788"/>
    <w:rsid w:val="006E47EA"/>
    <w:rsid w:val="006E484B"/>
    <w:rsid w:val="006E4A2B"/>
    <w:rsid w:val="006E4AAF"/>
    <w:rsid w:val="006E4ADA"/>
    <w:rsid w:val="006E4D07"/>
    <w:rsid w:val="006E4EAE"/>
    <w:rsid w:val="006E4FBF"/>
    <w:rsid w:val="006E510A"/>
    <w:rsid w:val="006E5680"/>
    <w:rsid w:val="006E57AC"/>
    <w:rsid w:val="006E58C9"/>
    <w:rsid w:val="006E5935"/>
    <w:rsid w:val="006E5B47"/>
    <w:rsid w:val="006E5BBF"/>
    <w:rsid w:val="006E5BD0"/>
    <w:rsid w:val="006E5C11"/>
    <w:rsid w:val="006E5F17"/>
    <w:rsid w:val="006E6430"/>
    <w:rsid w:val="006E654A"/>
    <w:rsid w:val="006E67EC"/>
    <w:rsid w:val="006E68FA"/>
    <w:rsid w:val="006E6A1C"/>
    <w:rsid w:val="006E6AF9"/>
    <w:rsid w:val="006E6B7F"/>
    <w:rsid w:val="006E6CEB"/>
    <w:rsid w:val="006E6D02"/>
    <w:rsid w:val="006E6E3B"/>
    <w:rsid w:val="006E6E9A"/>
    <w:rsid w:val="006E6EC0"/>
    <w:rsid w:val="006E7096"/>
    <w:rsid w:val="006E7319"/>
    <w:rsid w:val="006E744C"/>
    <w:rsid w:val="006E74DE"/>
    <w:rsid w:val="006E7611"/>
    <w:rsid w:val="006E7632"/>
    <w:rsid w:val="006E773F"/>
    <w:rsid w:val="006E7A3F"/>
    <w:rsid w:val="006E7A50"/>
    <w:rsid w:val="006E7AB6"/>
    <w:rsid w:val="006E7AEA"/>
    <w:rsid w:val="006E7BDE"/>
    <w:rsid w:val="006E7C2E"/>
    <w:rsid w:val="006E7CA0"/>
    <w:rsid w:val="006E7CB7"/>
    <w:rsid w:val="006E7D3B"/>
    <w:rsid w:val="006E7E38"/>
    <w:rsid w:val="006F0386"/>
    <w:rsid w:val="006F04FA"/>
    <w:rsid w:val="006F066E"/>
    <w:rsid w:val="006F06DB"/>
    <w:rsid w:val="006F0E65"/>
    <w:rsid w:val="006F0E85"/>
    <w:rsid w:val="006F0E8C"/>
    <w:rsid w:val="006F0FB6"/>
    <w:rsid w:val="006F1051"/>
    <w:rsid w:val="006F1095"/>
    <w:rsid w:val="006F1270"/>
    <w:rsid w:val="006F1282"/>
    <w:rsid w:val="006F13F4"/>
    <w:rsid w:val="006F1662"/>
    <w:rsid w:val="006F1755"/>
    <w:rsid w:val="006F1782"/>
    <w:rsid w:val="006F17A9"/>
    <w:rsid w:val="006F1989"/>
    <w:rsid w:val="006F1A7B"/>
    <w:rsid w:val="006F1AFE"/>
    <w:rsid w:val="006F1B39"/>
    <w:rsid w:val="006F1CC1"/>
    <w:rsid w:val="006F1E1C"/>
    <w:rsid w:val="006F1E5D"/>
    <w:rsid w:val="006F21A6"/>
    <w:rsid w:val="006F21F3"/>
    <w:rsid w:val="006F233E"/>
    <w:rsid w:val="006F235C"/>
    <w:rsid w:val="006F238B"/>
    <w:rsid w:val="006F23D4"/>
    <w:rsid w:val="006F2440"/>
    <w:rsid w:val="006F251F"/>
    <w:rsid w:val="006F264F"/>
    <w:rsid w:val="006F2A6B"/>
    <w:rsid w:val="006F2A8E"/>
    <w:rsid w:val="006F2B19"/>
    <w:rsid w:val="006F2B7B"/>
    <w:rsid w:val="006F2C5D"/>
    <w:rsid w:val="006F2DC7"/>
    <w:rsid w:val="006F304B"/>
    <w:rsid w:val="006F3113"/>
    <w:rsid w:val="006F3115"/>
    <w:rsid w:val="006F3291"/>
    <w:rsid w:val="006F34BA"/>
    <w:rsid w:val="006F34C5"/>
    <w:rsid w:val="006F354A"/>
    <w:rsid w:val="006F3686"/>
    <w:rsid w:val="006F3A73"/>
    <w:rsid w:val="006F3C59"/>
    <w:rsid w:val="006F3D37"/>
    <w:rsid w:val="006F3DC5"/>
    <w:rsid w:val="006F3E09"/>
    <w:rsid w:val="006F3FFF"/>
    <w:rsid w:val="006F400B"/>
    <w:rsid w:val="006F40F0"/>
    <w:rsid w:val="006F4292"/>
    <w:rsid w:val="006F44A9"/>
    <w:rsid w:val="006F44CF"/>
    <w:rsid w:val="006F4616"/>
    <w:rsid w:val="006F48D2"/>
    <w:rsid w:val="006F4976"/>
    <w:rsid w:val="006F4A96"/>
    <w:rsid w:val="006F4B40"/>
    <w:rsid w:val="006F4DDD"/>
    <w:rsid w:val="006F4DFC"/>
    <w:rsid w:val="006F4E0B"/>
    <w:rsid w:val="006F4E4F"/>
    <w:rsid w:val="006F50AA"/>
    <w:rsid w:val="006F50C4"/>
    <w:rsid w:val="006F513E"/>
    <w:rsid w:val="006F5311"/>
    <w:rsid w:val="006F5320"/>
    <w:rsid w:val="006F5408"/>
    <w:rsid w:val="006F555D"/>
    <w:rsid w:val="006F5613"/>
    <w:rsid w:val="006F56F0"/>
    <w:rsid w:val="006F56FA"/>
    <w:rsid w:val="006F5AD1"/>
    <w:rsid w:val="006F5C98"/>
    <w:rsid w:val="006F62DC"/>
    <w:rsid w:val="006F67E1"/>
    <w:rsid w:val="006F67E3"/>
    <w:rsid w:val="006F6916"/>
    <w:rsid w:val="006F69D1"/>
    <w:rsid w:val="006F6A19"/>
    <w:rsid w:val="006F6A9E"/>
    <w:rsid w:val="006F6B0A"/>
    <w:rsid w:val="006F6C5C"/>
    <w:rsid w:val="006F6E48"/>
    <w:rsid w:val="006F6EBF"/>
    <w:rsid w:val="006F6F16"/>
    <w:rsid w:val="006F70A4"/>
    <w:rsid w:val="006F7255"/>
    <w:rsid w:val="006F7290"/>
    <w:rsid w:val="006F72D7"/>
    <w:rsid w:val="006F73AD"/>
    <w:rsid w:val="006F742D"/>
    <w:rsid w:val="006F7625"/>
    <w:rsid w:val="006F7A48"/>
    <w:rsid w:val="006F7BA2"/>
    <w:rsid w:val="006F7D64"/>
    <w:rsid w:val="006F7D7E"/>
    <w:rsid w:val="007000F6"/>
    <w:rsid w:val="00700104"/>
    <w:rsid w:val="00700213"/>
    <w:rsid w:val="00700228"/>
    <w:rsid w:val="007003B9"/>
    <w:rsid w:val="007003E8"/>
    <w:rsid w:val="0070045E"/>
    <w:rsid w:val="007004C8"/>
    <w:rsid w:val="007004EF"/>
    <w:rsid w:val="0070059D"/>
    <w:rsid w:val="007005A5"/>
    <w:rsid w:val="0070064C"/>
    <w:rsid w:val="00700980"/>
    <w:rsid w:val="00700996"/>
    <w:rsid w:val="007009E5"/>
    <w:rsid w:val="00700C38"/>
    <w:rsid w:val="00700D10"/>
    <w:rsid w:val="00700D7E"/>
    <w:rsid w:val="00700DE1"/>
    <w:rsid w:val="00700E0F"/>
    <w:rsid w:val="00700F4A"/>
    <w:rsid w:val="00701112"/>
    <w:rsid w:val="00701167"/>
    <w:rsid w:val="00701289"/>
    <w:rsid w:val="00701503"/>
    <w:rsid w:val="00701700"/>
    <w:rsid w:val="00701734"/>
    <w:rsid w:val="00701805"/>
    <w:rsid w:val="0070180F"/>
    <w:rsid w:val="0070192E"/>
    <w:rsid w:val="00701A05"/>
    <w:rsid w:val="00701ABE"/>
    <w:rsid w:val="00701B0B"/>
    <w:rsid w:val="00701C78"/>
    <w:rsid w:val="00701F68"/>
    <w:rsid w:val="00701FEB"/>
    <w:rsid w:val="007020DD"/>
    <w:rsid w:val="007020EC"/>
    <w:rsid w:val="007020F6"/>
    <w:rsid w:val="00702163"/>
    <w:rsid w:val="007021CB"/>
    <w:rsid w:val="00702255"/>
    <w:rsid w:val="007023D4"/>
    <w:rsid w:val="00702523"/>
    <w:rsid w:val="0070255A"/>
    <w:rsid w:val="00702614"/>
    <w:rsid w:val="00702661"/>
    <w:rsid w:val="007026A6"/>
    <w:rsid w:val="00702864"/>
    <w:rsid w:val="00702A6B"/>
    <w:rsid w:val="00702A9C"/>
    <w:rsid w:val="00702D2A"/>
    <w:rsid w:val="00702DAA"/>
    <w:rsid w:val="00702E81"/>
    <w:rsid w:val="00702FBD"/>
    <w:rsid w:val="0070316D"/>
    <w:rsid w:val="0070326F"/>
    <w:rsid w:val="007033A5"/>
    <w:rsid w:val="00703486"/>
    <w:rsid w:val="007035E5"/>
    <w:rsid w:val="00703850"/>
    <w:rsid w:val="007038F5"/>
    <w:rsid w:val="00703915"/>
    <w:rsid w:val="0070394A"/>
    <w:rsid w:val="007039A7"/>
    <w:rsid w:val="007039DD"/>
    <w:rsid w:val="00703B1C"/>
    <w:rsid w:val="00703DFC"/>
    <w:rsid w:val="00703E92"/>
    <w:rsid w:val="00704080"/>
    <w:rsid w:val="00704472"/>
    <w:rsid w:val="00704554"/>
    <w:rsid w:val="00704592"/>
    <w:rsid w:val="007045E7"/>
    <w:rsid w:val="007047CD"/>
    <w:rsid w:val="007047DF"/>
    <w:rsid w:val="00704BC5"/>
    <w:rsid w:val="00704CAE"/>
    <w:rsid w:val="00704D21"/>
    <w:rsid w:val="00704D8C"/>
    <w:rsid w:val="00704E3D"/>
    <w:rsid w:val="00704EE0"/>
    <w:rsid w:val="00705135"/>
    <w:rsid w:val="0070521D"/>
    <w:rsid w:val="0070556B"/>
    <w:rsid w:val="007055A2"/>
    <w:rsid w:val="00705742"/>
    <w:rsid w:val="00705771"/>
    <w:rsid w:val="007057AF"/>
    <w:rsid w:val="00705AA0"/>
    <w:rsid w:val="00705CB4"/>
    <w:rsid w:val="00705F80"/>
    <w:rsid w:val="007060E1"/>
    <w:rsid w:val="007062EA"/>
    <w:rsid w:val="00706300"/>
    <w:rsid w:val="00706504"/>
    <w:rsid w:val="0070655A"/>
    <w:rsid w:val="00706608"/>
    <w:rsid w:val="0070667E"/>
    <w:rsid w:val="007066C8"/>
    <w:rsid w:val="00706786"/>
    <w:rsid w:val="007067BA"/>
    <w:rsid w:val="00706855"/>
    <w:rsid w:val="00706A12"/>
    <w:rsid w:val="00706B21"/>
    <w:rsid w:val="00706B7D"/>
    <w:rsid w:val="00706BA2"/>
    <w:rsid w:val="00706D28"/>
    <w:rsid w:val="00706E5C"/>
    <w:rsid w:val="00706E86"/>
    <w:rsid w:val="00706E94"/>
    <w:rsid w:val="00707022"/>
    <w:rsid w:val="0070720D"/>
    <w:rsid w:val="0070723C"/>
    <w:rsid w:val="0070727D"/>
    <w:rsid w:val="007073AF"/>
    <w:rsid w:val="00707479"/>
    <w:rsid w:val="00707535"/>
    <w:rsid w:val="00707654"/>
    <w:rsid w:val="00707704"/>
    <w:rsid w:val="007078E6"/>
    <w:rsid w:val="00707B6D"/>
    <w:rsid w:val="00707C2C"/>
    <w:rsid w:val="00707D32"/>
    <w:rsid w:val="00707D36"/>
    <w:rsid w:val="00707D5A"/>
    <w:rsid w:val="00707E63"/>
    <w:rsid w:val="00707FE6"/>
    <w:rsid w:val="00710362"/>
    <w:rsid w:val="007103B8"/>
    <w:rsid w:val="00710402"/>
    <w:rsid w:val="007104E2"/>
    <w:rsid w:val="007107A1"/>
    <w:rsid w:val="00710953"/>
    <w:rsid w:val="00710A4A"/>
    <w:rsid w:val="00710BB3"/>
    <w:rsid w:val="00710C06"/>
    <w:rsid w:val="00710C83"/>
    <w:rsid w:val="00710D1B"/>
    <w:rsid w:val="00710E79"/>
    <w:rsid w:val="00711002"/>
    <w:rsid w:val="0071106E"/>
    <w:rsid w:val="0071110E"/>
    <w:rsid w:val="007111DB"/>
    <w:rsid w:val="0071123B"/>
    <w:rsid w:val="007114D6"/>
    <w:rsid w:val="0071156D"/>
    <w:rsid w:val="00711659"/>
    <w:rsid w:val="007116BF"/>
    <w:rsid w:val="00711811"/>
    <w:rsid w:val="00711A08"/>
    <w:rsid w:val="00711AD4"/>
    <w:rsid w:val="00711AD5"/>
    <w:rsid w:val="00711D63"/>
    <w:rsid w:val="00711D7B"/>
    <w:rsid w:val="00711DA0"/>
    <w:rsid w:val="00711F98"/>
    <w:rsid w:val="00712085"/>
    <w:rsid w:val="007120AF"/>
    <w:rsid w:val="0071210E"/>
    <w:rsid w:val="007121B9"/>
    <w:rsid w:val="007122D5"/>
    <w:rsid w:val="00712431"/>
    <w:rsid w:val="0071252B"/>
    <w:rsid w:val="007125CA"/>
    <w:rsid w:val="00712793"/>
    <w:rsid w:val="00712824"/>
    <w:rsid w:val="00712889"/>
    <w:rsid w:val="007128FB"/>
    <w:rsid w:val="00712CB8"/>
    <w:rsid w:val="00712CEA"/>
    <w:rsid w:val="00712D22"/>
    <w:rsid w:val="00712E16"/>
    <w:rsid w:val="00712E19"/>
    <w:rsid w:val="00712E36"/>
    <w:rsid w:val="00712F86"/>
    <w:rsid w:val="00713029"/>
    <w:rsid w:val="007133C4"/>
    <w:rsid w:val="00713472"/>
    <w:rsid w:val="0071360D"/>
    <w:rsid w:val="00713826"/>
    <w:rsid w:val="00713C8C"/>
    <w:rsid w:val="00713CB7"/>
    <w:rsid w:val="00713CFC"/>
    <w:rsid w:val="00714167"/>
    <w:rsid w:val="0071441C"/>
    <w:rsid w:val="0071447B"/>
    <w:rsid w:val="007145F5"/>
    <w:rsid w:val="007149B5"/>
    <w:rsid w:val="007149F3"/>
    <w:rsid w:val="00714AA4"/>
    <w:rsid w:val="00714BAE"/>
    <w:rsid w:val="00714D4A"/>
    <w:rsid w:val="00714D58"/>
    <w:rsid w:val="00714D79"/>
    <w:rsid w:val="00714E9F"/>
    <w:rsid w:val="00715005"/>
    <w:rsid w:val="00715031"/>
    <w:rsid w:val="007150E8"/>
    <w:rsid w:val="007151C9"/>
    <w:rsid w:val="00715303"/>
    <w:rsid w:val="00715417"/>
    <w:rsid w:val="00715482"/>
    <w:rsid w:val="00715703"/>
    <w:rsid w:val="0071570A"/>
    <w:rsid w:val="0071571A"/>
    <w:rsid w:val="00715808"/>
    <w:rsid w:val="00715861"/>
    <w:rsid w:val="007158CF"/>
    <w:rsid w:val="00715923"/>
    <w:rsid w:val="00715A6A"/>
    <w:rsid w:val="00715B4C"/>
    <w:rsid w:val="00715CA3"/>
    <w:rsid w:val="00715D67"/>
    <w:rsid w:val="00715E27"/>
    <w:rsid w:val="00715E4F"/>
    <w:rsid w:val="00715E61"/>
    <w:rsid w:val="00715EE0"/>
    <w:rsid w:val="00715FCC"/>
    <w:rsid w:val="00716001"/>
    <w:rsid w:val="0071608B"/>
    <w:rsid w:val="007161C8"/>
    <w:rsid w:val="00716244"/>
    <w:rsid w:val="007164A1"/>
    <w:rsid w:val="007165CE"/>
    <w:rsid w:val="007167A4"/>
    <w:rsid w:val="007169C2"/>
    <w:rsid w:val="00716BAA"/>
    <w:rsid w:val="00716C01"/>
    <w:rsid w:val="00716CAF"/>
    <w:rsid w:val="00716E8C"/>
    <w:rsid w:val="00716EB9"/>
    <w:rsid w:val="00716FB7"/>
    <w:rsid w:val="00717174"/>
    <w:rsid w:val="0071718A"/>
    <w:rsid w:val="007172AF"/>
    <w:rsid w:val="0071732A"/>
    <w:rsid w:val="00717359"/>
    <w:rsid w:val="00717493"/>
    <w:rsid w:val="00717527"/>
    <w:rsid w:val="00717700"/>
    <w:rsid w:val="0071781D"/>
    <w:rsid w:val="0071785A"/>
    <w:rsid w:val="00717983"/>
    <w:rsid w:val="00717B23"/>
    <w:rsid w:val="00717DF1"/>
    <w:rsid w:val="00720030"/>
    <w:rsid w:val="007203A9"/>
    <w:rsid w:val="007203D1"/>
    <w:rsid w:val="0072042E"/>
    <w:rsid w:val="007205DE"/>
    <w:rsid w:val="007207C4"/>
    <w:rsid w:val="00720852"/>
    <w:rsid w:val="007209E1"/>
    <w:rsid w:val="00720A5F"/>
    <w:rsid w:val="00720D08"/>
    <w:rsid w:val="00720D0D"/>
    <w:rsid w:val="00720D4B"/>
    <w:rsid w:val="00720DCA"/>
    <w:rsid w:val="00720EFD"/>
    <w:rsid w:val="00720F99"/>
    <w:rsid w:val="00720FA1"/>
    <w:rsid w:val="00721001"/>
    <w:rsid w:val="0072111F"/>
    <w:rsid w:val="00721149"/>
    <w:rsid w:val="007211DF"/>
    <w:rsid w:val="0072129F"/>
    <w:rsid w:val="007216FF"/>
    <w:rsid w:val="0072177E"/>
    <w:rsid w:val="0072181D"/>
    <w:rsid w:val="00721A99"/>
    <w:rsid w:val="00721D01"/>
    <w:rsid w:val="00721D6A"/>
    <w:rsid w:val="00721EBA"/>
    <w:rsid w:val="007221C5"/>
    <w:rsid w:val="00722385"/>
    <w:rsid w:val="007223E2"/>
    <w:rsid w:val="00722425"/>
    <w:rsid w:val="007224EC"/>
    <w:rsid w:val="007225DD"/>
    <w:rsid w:val="007225F3"/>
    <w:rsid w:val="00722721"/>
    <w:rsid w:val="00722782"/>
    <w:rsid w:val="00722A42"/>
    <w:rsid w:val="00722AA9"/>
    <w:rsid w:val="00722D90"/>
    <w:rsid w:val="007231B5"/>
    <w:rsid w:val="0072331C"/>
    <w:rsid w:val="00723394"/>
    <w:rsid w:val="00723535"/>
    <w:rsid w:val="007235B3"/>
    <w:rsid w:val="00723609"/>
    <w:rsid w:val="0072367F"/>
    <w:rsid w:val="00723A30"/>
    <w:rsid w:val="00723BE3"/>
    <w:rsid w:val="00723CCA"/>
    <w:rsid w:val="00723D3F"/>
    <w:rsid w:val="007245B2"/>
    <w:rsid w:val="0072464B"/>
    <w:rsid w:val="007246DF"/>
    <w:rsid w:val="00724710"/>
    <w:rsid w:val="0072483C"/>
    <w:rsid w:val="00724906"/>
    <w:rsid w:val="0072491F"/>
    <w:rsid w:val="00724999"/>
    <w:rsid w:val="00724BA4"/>
    <w:rsid w:val="00724C11"/>
    <w:rsid w:val="00724E0B"/>
    <w:rsid w:val="00724E2A"/>
    <w:rsid w:val="00724F4C"/>
    <w:rsid w:val="00725050"/>
    <w:rsid w:val="007250CA"/>
    <w:rsid w:val="0072528B"/>
    <w:rsid w:val="007254E1"/>
    <w:rsid w:val="0072583F"/>
    <w:rsid w:val="007258CE"/>
    <w:rsid w:val="00725ADD"/>
    <w:rsid w:val="00725BA2"/>
    <w:rsid w:val="00725BE4"/>
    <w:rsid w:val="00725CAE"/>
    <w:rsid w:val="0072609C"/>
    <w:rsid w:val="00726155"/>
    <w:rsid w:val="00726165"/>
    <w:rsid w:val="00726180"/>
    <w:rsid w:val="007262B4"/>
    <w:rsid w:val="007265F1"/>
    <w:rsid w:val="00726751"/>
    <w:rsid w:val="007267EB"/>
    <w:rsid w:val="00726893"/>
    <w:rsid w:val="00726A4A"/>
    <w:rsid w:val="00726BF8"/>
    <w:rsid w:val="00726C47"/>
    <w:rsid w:val="00727440"/>
    <w:rsid w:val="007275A7"/>
    <w:rsid w:val="007276C0"/>
    <w:rsid w:val="007277AE"/>
    <w:rsid w:val="00727ADD"/>
    <w:rsid w:val="00727E0C"/>
    <w:rsid w:val="00727EA3"/>
    <w:rsid w:val="00727F40"/>
    <w:rsid w:val="00730204"/>
    <w:rsid w:val="00730294"/>
    <w:rsid w:val="007302F6"/>
    <w:rsid w:val="00730550"/>
    <w:rsid w:val="007308FA"/>
    <w:rsid w:val="0073096E"/>
    <w:rsid w:val="00730C4C"/>
    <w:rsid w:val="00730E27"/>
    <w:rsid w:val="00730E8A"/>
    <w:rsid w:val="00730EB7"/>
    <w:rsid w:val="007310C4"/>
    <w:rsid w:val="007312AF"/>
    <w:rsid w:val="007312DA"/>
    <w:rsid w:val="0073159D"/>
    <w:rsid w:val="00731B35"/>
    <w:rsid w:val="00731E31"/>
    <w:rsid w:val="0073233F"/>
    <w:rsid w:val="00732493"/>
    <w:rsid w:val="007324B8"/>
    <w:rsid w:val="00732697"/>
    <w:rsid w:val="00732790"/>
    <w:rsid w:val="00732928"/>
    <w:rsid w:val="00732D86"/>
    <w:rsid w:val="00732E07"/>
    <w:rsid w:val="00732E0C"/>
    <w:rsid w:val="00732EAF"/>
    <w:rsid w:val="0073321A"/>
    <w:rsid w:val="007332BC"/>
    <w:rsid w:val="0073345D"/>
    <w:rsid w:val="007335E1"/>
    <w:rsid w:val="007336AB"/>
    <w:rsid w:val="007337B8"/>
    <w:rsid w:val="00733823"/>
    <w:rsid w:val="00733A74"/>
    <w:rsid w:val="00733BBB"/>
    <w:rsid w:val="00733EED"/>
    <w:rsid w:val="00733F20"/>
    <w:rsid w:val="00733FB0"/>
    <w:rsid w:val="00733FE2"/>
    <w:rsid w:val="007342E2"/>
    <w:rsid w:val="007343D1"/>
    <w:rsid w:val="00734469"/>
    <w:rsid w:val="007344B7"/>
    <w:rsid w:val="0073462B"/>
    <w:rsid w:val="0073468C"/>
    <w:rsid w:val="007346C7"/>
    <w:rsid w:val="00734985"/>
    <w:rsid w:val="007349F5"/>
    <w:rsid w:val="00734B6E"/>
    <w:rsid w:val="00734E56"/>
    <w:rsid w:val="00734EDE"/>
    <w:rsid w:val="00734F5B"/>
    <w:rsid w:val="0073513F"/>
    <w:rsid w:val="00735243"/>
    <w:rsid w:val="0073525F"/>
    <w:rsid w:val="007352A4"/>
    <w:rsid w:val="00735316"/>
    <w:rsid w:val="00735568"/>
    <w:rsid w:val="007355FF"/>
    <w:rsid w:val="00735652"/>
    <w:rsid w:val="0073575E"/>
    <w:rsid w:val="007357E3"/>
    <w:rsid w:val="00735882"/>
    <w:rsid w:val="00735938"/>
    <w:rsid w:val="00735A27"/>
    <w:rsid w:val="00735D41"/>
    <w:rsid w:val="00735D91"/>
    <w:rsid w:val="00735DA8"/>
    <w:rsid w:val="00735EB6"/>
    <w:rsid w:val="00735F8F"/>
    <w:rsid w:val="007360E1"/>
    <w:rsid w:val="0073639F"/>
    <w:rsid w:val="00736674"/>
    <w:rsid w:val="00736677"/>
    <w:rsid w:val="007366ED"/>
    <w:rsid w:val="00736851"/>
    <w:rsid w:val="007368E3"/>
    <w:rsid w:val="007368F9"/>
    <w:rsid w:val="0073699B"/>
    <w:rsid w:val="00736ADB"/>
    <w:rsid w:val="00736E3A"/>
    <w:rsid w:val="00736F75"/>
    <w:rsid w:val="00736F77"/>
    <w:rsid w:val="00737003"/>
    <w:rsid w:val="007370A6"/>
    <w:rsid w:val="0073713D"/>
    <w:rsid w:val="007371E2"/>
    <w:rsid w:val="007372A1"/>
    <w:rsid w:val="0073730A"/>
    <w:rsid w:val="00737393"/>
    <w:rsid w:val="00737580"/>
    <w:rsid w:val="00737775"/>
    <w:rsid w:val="0073778D"/>
    <w:rsid w:val="00737928"/>
    <w:rsid w:val="00737952"/>
    <w:rsid w:val="00737963"/>
    <w:rsid w:val="00737B3B"/>
    <w:rsid w:val="00737C2E"/>
    <w:rsid w:val="00737C7C"/>
    <w:rsid w:val="00737E3E"/>
    <w:rsid w:val="00737EF7"/>
    <w:rsid w:val="00737F34"/>
    <w:rsid w:val="0074004D"/>
    <w:rsid w:val="0074007D"/>
    <w:rsid w:val="0074007F"/>
    <w:rsid w:val="007401C6"/>
    <w:rsid w:val="00740306"/>
    <w:rsid w:val="00740358"/>
    <w:rsid w:val="007403EB"/>
    <w:rsid w:val="007405B4"/>
    <w:rsid w:val="007405E8"/>
    <w:rsid w:val="00740666"/>
    <w:rsid w:val="00740786"/>
    <w:rsid w:val="007407EA"/>
    <w:rsid w:val="00740837"/>
    <w:rsid w:val="00740B7F"/>
    <w:rsid w:val="00740DCF"/>
    <w:rsid w:val="00740E72"/>
    <w:rsid w:val="00740F52"/>
    <w:rsid w:val="007411C0"/>
    <w:rsid w:val="0074129A"/>
    <w:rsid w:val="0074146F"/>
    <w:rsid w:val="007414E9"/>
    <w:rsid w:val="007414F0"/>
    <w:rsid w:val="00741AAF"/>
    <w:rsid w:val="00741B27"/>
    <w:rsid w:val="00741BB6"/>
    <w:rsid w:val="00741C22"/>
    <w:rsid w:val="00741D94"/>
    <w:rsid w:val="00741DBA"/>
    <w:rsid w:val="00741E27"/>
    <w:rsid w:val="00742047"/>
    <w:rsid w:val="00742071"/>
    <w:rsid w:val="0074208C"/>
    <w:rsid w:val="007420B5"/>
    <w:rsid w:val="007420E3"/>
    <w:rsid w:val="007421A9"/>
    <w:rsid w:val="007424D9"/>
    <w:rsid w:val="00742814"/>
    <w:rsid w:val="00742820"/>
    <w:rsid w:val="00742A0F"/>
    <w:rsid w:val="00742A3C"/>
    <w:rsid w:val="00742ED7"/>
    <w:rsid w:val="00743056"/>
    <w:rsid w:val="00743058"/>
    <w:rsid w:val="007430A3"/>
    <w:rsid w:val="0074321A"/>
    <w:rsid w:val="007433BF"/>
    <w:rsid w:val="007436FC"/>
    <w:rsid w:val="0074394D"/>
    <w:rsid w:val="00743B55"/>
    <w:rsid w:val="00743B80"/>
    <w:rsid w:val="00743D2C"/>
    <w:rsid w:val="00743E69"/>
    <w:rsid w:val="00743F7E"/>
    <w:rsid w:val="0074411E"/>
    <w:rsid w:val="0074421C"/>
    <w:rsid w:val="00744224"/>
    <w:rsid w:val="00744390"/>
    <w:rsid w:val="00744624"/>
    <w:rsid w:val="00744780"/>
    <w:rsid w:val="007448CD"/>
    <w:rsid w:val="007448D1"/>
    <w:rsid w:val="00744935"/>
    <w:rsid w:val="007449B5"/>
    <w:rsid w:val="00744AAC"/>
    <w:rsid w:val="00744C34"/>
    <w:rsid w:val="00744D93"/>
    <w:rsid w:val="00745267"/>
    <w:rsid w:val="00745354"/>
    <w:rsid w:val="00745497"/>
    <w:rsid w:val="007454E5"/>
    <w:rsid w:val="00745756"/>
    <w:rsid w:val="00745AC9"/>
    <w:rsid w:val="00745ADE"/>
    <w:rsid w:val="00745BB3"/>
    <w:rsid w:val="00745BBE"/>
    <w:rsid w:val="00745CEE"/>
    <w:rsid w:val="00745DA8"/>
    <w:rsid w:val="00746055"/>
    <w:rsid w:val="007460DB"/>
    <w:rsid w:val="007461A0"/>
    <w:rsid w:val="00746311"/>
    <w:rsid w:val="007463BD"/>
    <w:rsid w:val="007463D2"/>
    <w:rsid w:val="0074646E"/>
    <w:rsid w:val="007466D4"/>
    <w:rsid w:val="00746820"/>
    <w:rsid w:val="00746B05"/>
    <w:rsid w:val="00746C00"/>
    <w:rsid w:val="00746C8E"/>
    <w:rsid w:val="00746D47"/>
    <w:rsid w:val="00746DAF"/>
    <w:rsid w:val="00746EFF"/>
    <w:rsid w:val="00746FFF"/>
    <w:rsid w:val="007472C9"/>
    <w:rsid w:val="00747322"/>
    <w:rsid w:val="007473F0"/>
    <w:rsid w:val="0074742C"/>
    <w:rsid w:val="007474E8"/>
    <w:rsid w:val="007474F1"/>
    <w:rsid w:val="00747508"/>
    <w:rsid w:val="00747565"/>
    <w:rsid w:val="007476A2"/>
    <w:rsid w:val="0074780D"/>
    <w:rsid w:val="00747810"/>
    <w:rsid w:val="0074783C"/>
    <w:rsid w:val="00747A9A"/>
    <w:rsid w:val="00747E2E"/>
    <w:rsid w:val="00747E70"/>
    <w:rsid w:val="007502AA"/>
    <w:rsid w:val="007503BB"/>
    <w:rsid w:val="007503F0"/>
    <w:rsid w:val="0075040C"/>
    <w:rsid w:val="0075048B"/>
    <w:rsid w:val="007504E4"/>
    <w:rsid w:val="0075079F"/>
    <w:rsid w:val="007507B1"/>
    <w:rsid w:val="00750825"/>
    <w:rsid w:val="007509CA"/>
    <w:rsid w:val="00750AAB"/>
    <w:rsid w:val="00750BDA"/>
    <w:rsid w:val="00750BE8"/>
    <w:rsid w:val="007510FE"/>
    <w:rsid w:val="00751182"/>
    <w:rsid w:val="007512AB"/>
    <w:rsid w:val="007512C5"/>
    <w:rsid w:val="00751313"/>
    <w:rsid w:val="007513F9"/>
    <w:rsid w:val="0075150A"/>
    <w:rsid w:val="0075152A"/>
    <w:rsid w:val="007517A6"/>
    <w:rsid w:val="00751873"/>
    <w:rsid w:val="00751958"/>
    <w:rsid w:val="0075198B"/>
    <w:rsid w:val="007519E4"/>
    <w:rsid w:val="00751AA3"/>
    <w:rsid w:val="00751B9B"/>
    <w:rsid w:val="00751D61"/>
    <w:rsid w:val="00751E0E"/>
    <w:rsid w:val="00751EEF"/>
    <w:rsid w:val="00751F37"/>
    <w:rsid w:val="00751F64"/>
    <w:rsid w:val="00751FCE"/>
    <w:rsid w:val="007521B3"/>
    <w:rsid w:val="007521BB"/>
    <w:rsid w:val="00752274"/>
    <w:rsid w:val="00752318"/>
    <w:rsid w:val="00752500"/>
    <w:rsid w:val="007525D6"/>
    <w:rsid w:val="007528A0"/>
    <w:rsid w:val="007528B4"/>
    <w:rsid w:val="0075297B"/>
    <w:rsid w:val="00752A39"/>
    <w:rsid w:val="00752A99"/>
    <w:rsid w:val="00752B1C"/>
    <w:rsid w:val="00752B7E"/>
    <w:rsid w:val="00752C62"/>
    <w:rsid w:val="00752E29"/>
    <w:rsid w:val="00752F07"/>
    <w:rsid w:val="00753008"/>
    <w:rsid w:val="00753074"/>
    <w:rsid w:val="00753106"/>
    <w:rsid w:val="0075329E"/>
    <w:rsid w:val="00753326"/>
    <w:rsid w:val="00753384"/>
    <w:rsid w:val="007533BF"/>
    <w:rsid w:val="00753415"/>
    <w:rsid w:val="0075377E"/>
    <w:rsid w:val="00753886"/>
    <w:rsid w:val="007538ED"/>
    <w:rsid w:val="00753994"/>
    <w:rsid w:val="007539EA"/>
    <w:rsid w:val="00753A9A"/>
    <w:rsid w:val="00753AE8"/>
    <w:rsid w:val="00753CC7"/>
    <w:rsid w:val="00753D95"/>
    <w:rsid w:val="00753E1C"/>
    <w:rsid w:val="00753EF0"/>
    <w:rsid w:val="00753FC0"/>
    <w:rsid w:val="00754028"/>
    <w:rsid w:val="0075453C"/>
    <w:rsid w:val="00754672"/>
    <w:rsid w:val="007547F4"/>
    <w:rsid w:val="007548FB"/>
    <w:rsid w:val="00754E00"/>
    <w:rsid w:val="00754E20"/>
    <w:rsid w:val="00754EBE"/>
    <w:rsid w:val="00754F40"/>
    <w:rsid w:val="007550C1"/>
    <w:rsid w:val="00755339"/>
    <w:rsid w:val="007554BF"/>
    <w:rsid w:val="007555CA"/>
    <w:rsid w:val="00755667"/>
    <w:rsid w:val="007557EB"/>
    <w:rsid w:val="007557F6"/>
    <w:rsid w:val="00755845"/>
    <w:rsid w:val="007558C9"/>
    <w:rsid w:val="0075595B"/>
    <w:rsid w:val="00755983"/>
    <w:rsid w:val="00755A42"/>
    <w:rsid w:val="00755A5C"/>
    <w:rsid w:val="00755A7C"/>
    <w:rsid w:val="00755C79"/>
    <w:rsid w:val="00755EB2"/>
    <w:rsid w:val="00755F1B"/>
    <w:rsid w:val="00755FA0"/>
    <w:rsid w:val="00756063"/>
    <w:rsid w:val="00756283"/>
    <w:rsid w:val="007562A0"/>
    <w:rsid w:val="00756325"/>
    <w:rsid w:val="00756373"/>
    <w:rsid w:val="00756577"/>
    <w:rsid w:val="007565F4"/>
    <w:rsid w:val="00756698"/>
    <w:rsid w:val="0075686D"/>
    <w:rsid w:val="007568EC"/>
    <w:rsid w:val="00756935"/>
    <w:rsid w:val="00756960"/>
    <w:rsid w:val="00756A42"/>
    <w:rsid w:val="00756BEB"/>
    <w:rsid w:val="00756C92"/>
    <w:rsid w:val="00756EDA"/>
    <w:rsid w:val="00756F4B"/>
    <w:rsid w:val="007573E5"/>
    <w:rsid w:val="00757529"/>
    <w:rsid w:val="007579A1"/>
    <w:rsid w:val="00757B3E"/>
    <w:rsid w:val="00757C6F"/>
    <w:rsid w:val="00757CB8"/>
    <w:rsid w:val="00757D3C"/>
    <w:rsid w:val="00757F5C"/>
    <w:rsid w:val="00757F99"/>
    <w:rsid w:val="00760519"/>
    <w:rsid w:val="007605BC"/>
    <w:rsid w:val="0076084C"/>
    <w:rsid w:val="00760A9B"/>
    <w:rsid w:val="00760ABD"/>
    <w:rsid w:val="00760BAB"/>
    <w:rsid w:val="00760BCB"/>
    <w:rsid w:val="00760CC2"/>
    <w:rsid w:val="00760E2A"/>
    <w:rsid w:val="00760E44"/>
    <w:rsid w:val="00761014"/>
    <w:rsid w:val="007610AD"/>
    <w:rsid w:val="007610DB"/>
    <w:rsid w:val="00761354"/>
    <w:rsid w:val="0076158F"/>
    <w:rsid w:val="007615B5"/>
    <w:rsid w:val="007616D4"/>
    <w:rsid w:val="00761793"/>
    <w:rsid w:val="00761929"/>
    <w:rsid w:val="00761954"/>
    <w:rsid w:val="00761B18"/>
    <w:rsid w:val="00761CC3"/>
    <w:rsid w:val="00761D45"/>
    <w:rsid w:val="00761F1B"/>
    <w:rsid w:val="00761F4D"/>
    <w:rsid w:val="00761FB2"/>
    <w:rsid w:val="0076208D"/>
    <w:rsid w:val="00762368"/>
    <w:rsid w:val="0076258B"/>
    <w:rsid w:val="007625D6"/>
    <w:rsid w:val="007628AF"/>
    <w:rsid w:val="007628D4"/>
    <w:rsid w:val="0076290E"/>
    <w:rsid w:val="00762948"/>
    <w:rsid w:val="00762C41"/>
    <w:rsid w:val="00762C70"/>
    <w:rsid w:val="0076303C"/>
    <w:rsid w:val="0076308B"/>
    <w:rsid w:val="007630A0"/>
    <w:rsid w:val="00763189"/>
    <w:rsid w:val="00763248"/>
    <w:rsid w:val="007633BB"/>
    <w:rsid w:val="00763526"/>
    <w:rsid w:val="0076366C"/>
    <w:rsid w:val="0076374E"/>
    <w:rsid w:val="007637D9"/>
    <w:rsid w:val="00763812"/>
    <w:rsid w:val="007638E4"/>
    <w:rsid w:val="00763A0B"/>
    <w:rsid w:val="00763A2A"/>
    <w:rsid w:val="00763A66"/>
    <w:rsid w:val="00763C80"/>
    <w:rsid w:val="00763E46"/>
    <w:rsid w:val="0076403F"/>
    <w:rsid w:val="007641B5"/>
    <w:rsid w:val="00764328"/>
    <w:rsid w:val="007643F5"/>
    <w:rsid w:val="0076450B"/>
    <w:rsid w:val="00764685"/>
    <w:rsid w:val="0076472F"/>
    <w:rsid w:val="0076476F"/>
    <w:rsid w:val="007647CC"/>
    <w:rsid w:val="0076486C"/>
    <w:rsid w:val="00764C65"/>
    <w:rsid w:val="00764C6F"/>
    <w:rsid w:val="00764D49"/>
    <w:rsid w:val="00764E41"/>
    <w:rsid w:val="007652E6"/>
    <w:rsid w:val="0076567B"/>
    <w:rsid w:val="00765760"/>
    <w:rsid w:val="007659EE"/>
    <w:rsid w:val="00765B89"/>
    <w:rsid w:val="00765DDB"/>
    <w:rsid w:val="00765F64"/>
    <w:rsid w:val="00765F8A"/>
    <w:rsid w:val="00765FB8"/>
    <w:rsid w:val="00765FC7"/>
    <w:rsid w:val="00766084"/>
    <w:rsid w:val="007660E3"/>
    <w:rsid w:val="00766308"/>
    <w:rsid w:val="007663CD"/>
    <w:rsid w:val="00766434"/>
    <w:rsid w:val="00766490"/>
    <w:rsid w:val="007665F9"/>
    <w:rsid w:val="00766639"/>
    <w:rsid w:val="0076673B"/>
    <w:rsid w:val="0076678A"/>
    <w:rsid w:val="00766AE1"/>
    <w:rsid w:val="00766B33"/>
    <w:rsid w:val="00766B45"/>
    <w:rsid w:val="00766B92"/>
    <w:rsid w:val="00766F5B"/>
    <w:rsid w:val="00766F60"/>
    <w:rsid w:val="00767246"/>
    <w:rsid w:val="00767297"/>
    <w:rsid w:val="00767793"/>
    <w:rsid w:val="00767A1C"/>
    <w:rsid w:val="00767D10"/>
    <w:rsid w:val="00767DCB"/>
    <w:rsid w:val="00770068"/>
    <w:rsid w:val="0077018B"/>
    <w:rsid w:val="0077059F"/>
    <w:rsid w:val="007705EF"/>
    <w:rsid w:val="0077075F"/>
    <w:rsid w:val="007709A3"/>
    <w:rsid w:val="007709D9"/>
    <w:rsid w:val="00770A1F"/>
    <w:rsid w:val="00770A2D"/>
    <w:rsid w:val="00770AB9"/>
    <w:rsid w:val="00770B9C"/>
    <w:rsid w:val="00770C7C"/>
    <w:rsid w:val="00770CFB"/>
    <w:rsid w:val="00770DBF"/>
    <w:rsid w:val="007710F9"/>
    <w:rsid w:val="00771109"/>
    <w:rsid w:val="00771137"/>
    <w:rsid w:val="0077125C"/>
    <w:rsid w:val="00771444"/>
    <w:rsid w:val="007715C3"/>
    <w:rsid w:val="00771817"/>
    <w:rsid w:val="00771872"/>
    <w:rsid w:val="007718A8"/>
    <w:rsid w:val="00771905"/>
    <w:rsid w:val="00771992"/>
    <w:rsid w:val="007719CC"/>
    <w:rsid w:val="00771B2C"/>
    <w:rsid w:val="00771C47"/>
    <w:rsid w:val="00771F91"/>
    <w:rsid w:val="00772083"/>
    <w:rsid w:val="007722D3"/>
    <w:rsid w:val="007725BE"/>
    <w:rsid w:val="00772613"/>
    <w:rsid w:val="00772622"/>
    <w:rsid w:val="007727B7"/>
    <w:rsid w:val="0077280E"/>
    <w:rsid w:val="007728EA"/>
    <w:rsid w:val="00772900"/>
    <w:rsid w:val="00772A17"/>
    <w:rsid w:val="00772A2D"/>
    <w:rsid w:val="00772A5E"/>
    <w:rsid w:val="00772A89"/>
    <w:rsid w:val="00772C78"/>
    <w:rsid w:val="00772CB5"/>
    <w:rsid w:val="00772D18"/>
    <w:rsid w:val="00772E4E"/>
    <w:rsid w:val="00772E90"/>
    <w:rsid w:val="00773147"/>
    <w:rsid w:val="007731C1"/>
    <w:rsid w:val="007733C1"/>
    <w:rsid w:val="00773427"/>
    <w:rsid w:val="0077348F"/>
    <w:rsid w:val="0077350E"/>
    <w:rsid w:val="00773559"/>
    <w:rsid w:val="00773596"/>
    <w:rsid w:val="00773817"/>
    <w:rsid w:val="00773977"/>
    <w:rsid w:val="00773994"/>
    <w:rsid w:val="00773AE6"/>
    <w:rsid w:val="00773C31"/>
    <w:rsid w:val="00773D11"/>
    <w:rsid w:val="00773DA3"/>
    <w:rsid w:val="00774012"/>
    <w:rsid w:val="0077404D"/>
    <w:rsid w:val="00774053"/>
    <w:rsid w:val="007740B1"/>
    <w:rsid w:val="007740FA"/>
    <w:rsid w:val="007741A2"/>
    <w:rsid w:val="00774299"/>
    <w:rsid w:val="00774320"/>
    <w:rsid w:val="007743D2"/>
    <w:rsid w:val="0077494F"/>
    <w:rsid w:val="00774962"/>
    <w:rsid w:val="00774981"/>
    <w:rsid w:val="00774AB8"/>
    <w:rsid w:val="00774E42"/>
    <w:rsid w:val="00774EEE"/>
    <w:rsid w:val="00774FBF"/>
    <w:rsid w:val="007750C8"/>
    <w:rsid w:val="0077536C"/>
    <w:rsid w:val="0077546A"/>
    <w:rsid w:val="007754AA"/>
    <w:rsid w:val="007755BC"/>
    <w:rsid w:val="007758E6"/>
    <w:rsid w:val="00775B0D"/>
    <w:rsid w:val="00775C9F"/>
    <w:rsid w:val="00775D87"/>
    <w:rsid w:val="0077603B"/>
    <w:rsid w:val="00776139"/>
    <w:rsid w:val="007761A1"/>
    <w:rsid w:val="00776219"/>
    <w:rsid w:val="007763F8"/>
    <w:rsid w:val="00776489"/>
    <w:rsid w:val="00776524"/>
    <w:rsid w:val="007765BC"/>
    <w:rsid w:val="00776660"/>
    <w:rsid w:val="00776697"/>
    <w:rsid w:val="007766BF"/>
    <w:rsid w:val="00776790"/>
    <w:rsid w:val="007767CA"/>
    <w:rsid w:val="00776B6A"/>
    <w:rsid w:val="00776C2A"/>
    <w:rsid w:val="00776D0B"/>
    <w:rsid w:val="00776D8C"/>
    <w:rsid w:val="00776E0E"/>
    <w:rsid w:val="00776F5F"/>
    <w:rsid w:val="00776FE7"/>
    <w:rsid w:val="00776FF7"/>
    <w:rsid w:val="007771BF"/>
    <w:rsid w:val="007772F4"/>
    <w:rsid w:val="00777321"/>
    <w:rsid w:val="007774A1"/>
    <w:rsid w:val="0077752E"/>
    <w:rsid w:val="0077765E"/>
    <w:rsid w:val="00777682"/>
    <w:rsid w:val="00777794"/>
    <w:rsid w:val="007777B8"/>
    <w:rsid w:val="0077793E"/>
    <w:rsid w:val="00777945"/>
    <w:rsid w:val="00777BB8"/>
    <w:rsid w:val="00777C85"/>
    <w:rsid w:val="00777CF0"/>
    <w:rsid w:val="00777D86"/>
    <w:rsid w:val="00777F43"/>
    <w:rsid w:val="00777FC6"/>
    <w:rsid w:val="00780134"/>
    <w:rsid w:val="00780463"/>
    <w:rsid w:val="007805A9"/>
    <w:rsid w:val="007805B9"/>
    <w:rsid w:val="00780665"/>
    <w:rsid w:val="0078070B"/>
    <w:rsid w:val="00780748"/>
    <w:rsid w:val="00780880"/>
    <w:rsid w:val="00780896"/>
    <w:rsid w:val="00780B4B"/>
    <w:rsid w:val="00780CAD"/>
    <w:rsid w:val="00780DB7"/>
    <w:rsid w:val="00780E25"/>
    <w:rsid w:val="00780E91"/>
    <w:rsid w:val="0078105E"/>
    <w:rsid w:val="007810B9"/>
    <w:rsid w:val="007810C0"/>
    <w:rsid w:val="0078113B"/>
    <w:rsid w:val="00781199"/>
    <w:rsid w:val="0078121B"/>
    <w:rsid w:val="00781683"/>
    <w:rsid w:val="007816B4"/>
    <w:rsid w:val="007818C2"/>
    <w:rsid w:val="007818EB"/>
    <w:rsid w:val="00781925"/>
    <w:rsid w:val="00781C4D"/>
    <w:rsid w:val="00781CB5"/>
    <w:rsid w:val="00781E79"/>
    <w:rsid w:val="00781E7F"/>
    <w:rsid w:val="00781FF1"/>
    <w:rsid w:val="00782163"/>
    <w:rsid w:val="007823BC"/>
    <w:rsid w:val="0078246F"/>
    <w:rsid w:val="0078263B"/>
    <w:rsid w:val="007829DD"/>
    <w:rsid w:val="00782D2B"/>
    <w:rsid w:val="00782E67"/>
    <w:rsid w:val="00782EE7"/>
    <w:rsid w:val="00782F1E"/>
    <w:rsid w:val="007830AF"/>
    <w:rsid w:val="00783127"/>
    <w:rsid w:val="007834A4"/>
    <w:rsid w:val="0078352F"/>
    <w:rsid w:val="007836A1"/>
    <w:rsid w:val="007839D8"/>
    <w:rsid w:val="00783BBB"/>
    <w:rsid w:val="00783D68"/>
    <w:rsid w:val="00784240"/>
    <w:rsid w:val="0078431F"/>
    <w:rsid w:val="007843F8"/>
    <w:rsid w:val="00784437"/>
    <w:rsid w:val="0078474B"/>
    <w:rsid w:val="007847C8"/>
    <w:rsid w:val="00784C79"/>
    <w:rsid w:val="00784DC5"/>
    <w:rsid w:val="00784EB2"/>
    <w:rsid w:val="00784EE2"/>
    <w:rsid w:val="00785046"/>
    <w:rsid w:val="007852B3"/>
    <w:rsid w:val="007852BD"/>
    <w:rsid w:val="0078532D"/>
    <w:rsid w:val="007854F9"/>
    <w:rsid w:val="007856ED"/>
    <w:rsid w:val="007858B1"/>
    <w:rsid w:val="00785C1F"/>
    <w:rsid w:val="00785CBC"/>
    <w:rsid w:val="00785DD3"/>
    <w:rsid w:val="00785DDA"/>
    <w:rsid w:val="00785F4F"/>
    <w:rsid w:val="00785F55"/>
    <w:rsid w:val="00786103"/>
    <w:rsid w:val="0078612F"/>
    <w:rsid w:val="00786145"/>
    <w:rsid w:val="007861E0"/>
    <w:rsid w:val="007861EE"/>
    <w:rsid w:val="0078626F"/>
    <w:rsid w:val="00786281"/>
    <w:rsid w:val="007863E1"/>
    <w:rsid w:val="0078679A"/>
    <w:rsid w:val="0078684E"/>
    <w:rsid w:val="0078685E"/>
    <w:rsid w:val="007868D3"/>
    <w:rsid w:val="00786995"/>
    <w:rsid w:val="00786A27"/>
    <w:rsid w:val="00786B42"/>
    <w:rsid w:val="00786CEE"/>
    <w:rsid w:val="00786DE2"/>
    <w:rsid w:val="00787039"/>
    <w:rsid w:val="00787099"/>
    <w:rsid w:val="007870AA"/>
    <w:rsid w:val="007870EE"/>
    <w:rsid w:val="00787304"/>
    <w:rsid w:val="0078730F"/>
    <w:rsid w:val="00787386"/>
    <w:rsid w:val="007874B2"/>
    <w:rsid w:val="0078767B"/>
    <w:rsid w:val="00787727"/>
    <w:rsid w:val="0078775D"/>
    <w:rsid w:val="007877E3"/>
    <w:rsid w:val="007877F1"/>
    <w:rsid w:val="00787A04"/>
    <w:rsid w:val="00787B3F"/>
    <w:rsid w:val="00787E6C"/>
    <w:rsid w:val="00787E9F"/>
    <w:rsid w:val="00787F87"/>
    <w:rsid w:val="00787FA1"/>
    <w:rsid w:val="00790012"/>
    <w:rsid w:val="00790190"/>
    <w:rsid w:val="0079033F"/>
    <w:rsid w:val="007903CD"/>
    <w:rsid w:val="00790551"/>
    <w:rsid w:val="0079098F"/>
    <w:rsid w:val="00790A8A"/>
    <w:rsid w:val="00790AB4"/>
    <w:rsid w:val="00790BC5"/>
    <w:rsid w:val="00790BFC"/>
    <w:rsid w:val="00790E5A"/>
    <w:rsid w:val="00790E82"/>
    <w:rsid w:val="00790EFA"/>
    <w:rsid w:val="00790F52"/>
    <w:rsid w:val="007914A7"/>
    <w:rsid w:val="007914E0"/>
    <w:rsid w:val="007915B2"/>
    <w:rsid w:val="0079172A"/>
    <w:rsid w:val="007919D6"/>
    <w:rsid w:val="00791A73"/>
    <w:rsid w:val="00791CC5"/>
    <w:rsid w:val="00791D80"/>
    <w:rsid w:val="00791E1D"/>
    <w:rsid w:val="00791E26"/>
    <w:rsid w:val="00791FB9"/>
    <w:rsid w:val="00791FC7"/>
    <w:rsid w:val="00792048"/>
    <w:rsid w:val="0079240A"/>
    <w:rsid w:val="0079250D"/>
    <w:rsid w:val="0079253D"/>
    <w:rsid w:val="007925A5"/>
    <w:rsid w:val="007925AF"/>
    <w:rsid w:val="00792608"/>
    <w:rsid w:val="0079263F"/>
    <w:rsid w:val="007926B4"/>
    <w:rsid w:val="0079274C"/>
    <w:rsid w:val="00792765"/>
    <w:rsid w:val="007927DC"/>
    <w:rsid w:val="00792881"/>
    <w:rsid w:val="007928CA"/>
    <w:rsid w:val="00792A69"/>
    <w:rsid w:val="00792A85"/>
    <w:rsid w:val="00792AC0"/>
    <w:rsid w:val="00792BCA"/>
    <w:rsid w:val="00792DDA"/>
    <w:rsid w:val="00792E23"/>
    <w:rsid w:val="00792EF7"/>
    <w:rsid w:val="00792F46"/>
    <w:rsid w:val="00793007"/>
    <w:rsid w:val="00793114"/>
    <w:rsid w:val="00793408"/>
    <w:rsid w:val="00793506"/>
    <w:rsid w:val="00793509"/>
    <w:rsid w:val="007935C5"/>
    <w:rsid w:val="00793621"/>
    <w:rsid w:val="00793705"/>
    <w:rsid w:val="00793719"/>
    <w:rsid w:val="00793A78"/>
    <w:rsid w:val="00793B1D"/>
    <w:rsid w:val="00793C67"/>
    <w:rsid w:val="00793D1C"/>
    <w:rsid w:val="00793EE1"/>
    <w:rsid w:val="0079408F"/>
    <w:rsid w:val="0079417A"/>
    <w:rsid w:val="00794376"/>
    <w:rsid w:val="0079440D"/>
    <w:rsid w:val="0079461D"/>
    <w:rsid w:val="00794788"/>
    <w:rsid w:val="00794839"/>
    <w:rsid w:val="00794897"/>
    <w:rsid w:val="00794AAD"/>
    <w:rsid w:val="00794E74"/>
    <w:rsid w:val="0079501B"/>
    <w:rsid w:val="00795021"/>
    <w:rsid w:val="00795065"/>
    <w:rsid w:val="0079522C"/>
    <w:rsid w:val="0079539A"/>
    <w:rsid w:val="007953F3"/>
    <w:rsid w:val="0079540D"/>
    <w:rsid w:val="007955F3"/>
    <w:rsid w:val="00795694"/>
    <w:rsid w:val="0079590B"/>
    <w:rsid w:val="00795B65"/>
    <w:rsid w:val="00795C4C"/>
    <w:rsid w:val="00795E17"/>
    <w:rsid w:val="00795ED5"/>
    <w:rsid w:val="00795F77"/>
    <w:rsid w:val="0079606D"/>
    <w:rsid w:val="00796144"/>
    <w:rsid w:val="007962C3"/>
    <w:rsid w:val="00796640"/>
    <w:rsid w:val="00796743"/>
    <w:rsid w:val="0079679B"/>
    <w:rsid w:val="00796852"/>
    <w:rsid w:val="00796858"/>
    <w:rsid w:val="007969DF"/>
    <w:rsid w:val="00796B38"/>
    <w:rsid w:val="00796CAF"/>
    <w:rsid w:val="00796D10"/>
    <w:rsid w:val="00796F8B"/>
    <w:rsid w:val="00797329"/>
    <w:rsid w:val="00797364"/>
    <w:rsid w:val="007974BA"/>
    <w:rsid w:val="007974C1"/>
    <w:rsid w:val="007975A7"/>
    <w:rsid w:val="007975D8"/>
    <w:rsid w:val="00797675"/>
    <w:rsid w:val="0079770D"/>
    <w:rsid w:val="0079773B"/>
    <w:rsid w:val="007977AA"/>
    <w:rsid w:val="007978B7"/>
    <w:rsid w:val="00797A1E"/>
    <w:rsid w:val="00797C68"/>
    <w:rsid w:val="00797D01"/>
    <w:rsid w:val="00797DA8"/>
    <w:rsid w:val="00797F5E"/>
    <w:rsid w:val="007A0003"/>
    <w:rsid w:val="007A00D2"/>
    <w:rsid w:val="007A00D8"/>
    <w:rsid w:val="007A0248"/>
    <w:rsid w:val="007A024F"/>
    <w:rsid w:val="007A0373"/>
    <w:rsid w:val="007A0429"/>
    <w:rsid w:val="007A0541"/>
    <w:rsid w:val="007A0690"/>
    <w:rsid w:val="007A06CD"/>
    <w:rsid w:val="007A0714"/>
    <w:rsid w:val="007A0900"/>
    <w:rsid w:val="007A090B"/>
    <w:rsid w:val="007A1084"/>
    <w:rsid w:val="007A109B"/>
    <w:rsid w:val="007A11E1"/>
    <w:rsid w:val="007A12F7"/>
    <w:rsid w:val="007A13EF"/>
    <w:rsid w:val="007A1549"/>
    <w:rsid w:val="007A15A3"/>
    <w:rsid w:val="007A15E9"/>
    <w:rsid w:val="007A1673"/>
    <w:rsid w:val="007A1929"/>
    <w:rsid w:val="007A1953"/>
    <w:rsid w:val="007A1A6D"/>
    <w:rsid w:val="007A1B06"/>
    <w:rsid w:val="007A1EC0"/>
    <w:rsid w:val="007A1F32"/>
    <w:rsid w:val="007A1F4D"/>
    <w:rsid w:val="007A2134"/>
    <w:rsid w:val="007A22DF"/>
    <w:rsid w:val="007A24A7"/>
    <w:rsid w:val="007A28EE"/>
    <w:rsid w:val="007A29F2"/>
    <w:rsid w:val="007A2C0C"/>
    <w:rsid w:val="007A2C12"/>
    <w:rsid w:val="007A2CE6"/>
    <w:rsid w:val="007A2F22"/>
    <w:rsid w:val="007A2F94"/>
    <w:rsid w:val="007A302B"/>
    <w:rsid w:val="007A3221"/>
    <w:rsid w:val="007A3269"/>
    <w:rsid w:val="007A34C3"/>
    <w:rsid w:val="007A34D7"/>
    <w:rsid w:val="007A34EB"/>
    <w:rsid w:val="007A361B"/>
    <w:rsid w:val="007A36AA"/>
    <w:rsid w:val="007A3825"/>
    <w:rsid w:val="007A3925"/>
    <w:rsid w:val="007A39D2"/>
    <w:rsid w:val="007A3B33"/>
    <w:rsid w:val="007A3BCA"/>
    <w:rsid w:val="007A3C09"/>
    <w:rsid w:val="007A3C4D"/>
    <w:rsid w:val="007A3FA0"/>
    <w:rsid w:val="007A45B9"/>
    <w:rsid w:val="007A45CC"/>
    <w:rsid w:val="007A4638"/>
    <w:rsid w:val="007A4770"/>
    <w:rsid w:val="007A4C6D"/>
    <w:rsid w:val="007A4DBD"/>
    <w:rsid w:val="007A4ED9"/>
    <w:rsid w:val="007A4FCF"/>
    <w:rsid w:val="007A5173"/>
    <w:rsid w:val="007A52C3"/>
    <w:rsid w:val="007A52D8"/>
    <w:rsid w:val="007A55BE"/>
    <w:rsid w:val="007A58A2"/>
    <w:rsid w:val="007A58CF"/>
    <w:rsid w:val="007A58E0"/>
    <w:rsid w:val="007A5970"/>
    <w:rsid w:val="007A5BD7"/>
    <w:rsid w:val="007A5D84"/>
    <w:rsid w:val="007A5D8F"/>
    <w:rsid w:val="007A5E2D"/>
    <w:rsid w:val="007A5E38"/>
    <w:rsid w:val="007A5F9A"/>
    <w:rsid w:val="007A615F"/>
    <w:rsid w:val="007A6161"/>
    <w:rsid w:val="007A6388"/>
    <w:rsid w:val="007A6702"/>
    <w:rsid w:val="007A67E3"/>
    <w:rsid w:val="007A68FA"/>
    <w:rsid w:val="007A6A1E"/>
    <w:rsid w:val="007A6B3C"/>
    <w:rsid w:val="007A6F9C"/>
    <w:rsid w:val="007A72A0"/>
    <w:rsid w:val="007A7887"/>
    <w:rsid w:val="007A7A72"/>
    <w:rsid w:val="007A7C2A"/>
    <w:rsid w:val="007A7DF8"/>
    <w:rsid w:val="007A7E71"/>
    <w:rsid w:val="007A7FE8"/>
    <w:rsid w:val="007B02C6"/>
    <w:rsid w:val="007B0924"/>
    <w:rsid w:val="007B0B7E"/>
    <w:rsid w:val="007B1175"/>
    <w:rsid w:val="007B12C2"/>
    <w:rsid w:val="007B15E8"/>
    <w:rsid w:val="007B166A"/>
    <w:rsid w:val="007B1740"/>
    <w:rsid w:val="007B194D"/>
    <w:rsid w:val="007B1995"/>
    <w:rsid w:val="007B19BF"/>
    <w:rsid w:val="007B1A85"/>
    <w:rsid w:val="007B1B89"/>
    <w:rsid w:val="007B1D65"/>
    <w:rsid w:val="007B2039"/>
    <w:rsid w:val="007B2082"/>
    <w:rsid w:val="007B2315"/>
    <w:rsid w:val="007B23F1"/>
    <w:rsid w:val="007B2446"/>
    <w:rsid w:val="007B2733"/>
    <w:rsid w:val="007B2863"/>
    <w:rsid w:val="007B2CDE"/>
    <w:rsid w:val="007B30E7"/>
    <w:rsid w:val="007B3337"/>
    <w:rsid w:val="007B348F"/>
    <w:rsid w:val="007B3ABA"/>
    <w:rsid w:val="007B3AD9"/>
    <w:rsid w:val="007B3C36"/>
    <w:rsid w:val="007B3EB2"/>
    <w:rsid w:val="007B40B8"/>
    <w:rsid w:val="007B41BC"/>
    <w:rsid w:val="007B42EF"/>
    <w:rsid w:val="007B42F7"/>
    <w:rsid w:val="007B4330"/>
    <w:rsid w:val="007B4437"/>
    <w:rsid w:val="007B457F"/>
    <w:rsid w:val="007B46AC"/>
    <w:rsid w:val="007B479B"/>
    <w:rsid w:val="007B4A97"/>
    <w:rsid w:val="007B4C29"/>
    <w:rsid w:val="007B4C89"/>
    <w:rsid w:val="007B4CD1"/>
    <w:rsid w:val="007B4ED0"/>
    <w:rsid w:val="007B4F6F"/>
    <w:rsid w:val="007B4FBB"/>
    <w:rsid w:val="007B50A5"/>
    <w:rsid w:val="007B50F3"/>
    <w:rsid w:val="007B526B"/>
    <w:rsid w:val="007B533C"/>
    <w:rsid w:val="007B536C"/>
    <w:rsid w:val="007B5469"/>
    <w:rsid w:val="007B54D3"/>
    <w:rsid w:val="007B54F8"/>
    <w:rsid w:val="007B591A"/>
    <w:rsid w:val="007B59B5"/>
    <w:rsid w:val="007B5A2B"/>
    <w:rsid w:val="007B5A84"/>
    <w:rsid w:val="007B5AE4"/>
    <w:rsid w:val="007B5CF2"/>
    <w:rsid w:val="007B5E4E"/>
    <w:rsid w:val="007B5EFE"/>
    <w:rsid w:val="007B5F97"/>
    <w:rsid w:val="007B6022"/>
    <w:rsid w:val="007B605E"/>
    <w:rsid w:val="007B60C4"/>
    <w:rsid w:val="007B622C"/>
    <w:rsid w:val="007B6299"/>
    <w:rsid w:val="007B647A"/>
    <w:rsid w:val="007B66C0"/>
    <w:rsid w:val="007B66F1"/>
    <w:rsid w:val="007B67E6"/>
    <w:rsid w:val="007B680C"/>
    <w:rsid w:val="007B6A77"/>
    <w:rsid w:val="007B6AE2"/>
    <w:rsid w:val="007B6BF2"/>
    <w:rsid w:val="007B6C05"/>
    <w:rsid w:val="007B6C8E"/>
    <w:rsid w:val="007B6E03"/>
    <w:rsid w:val="007B6E48"/>
    <w:rsid w:val="007B71FF"/>
    <w:rsid w:val="007B73ED"/>
    <w:rsid w:val="007B7429"/>
    <w:rsid w:val="007B7449"/>
    <w:rsid w:val="007B75BB"/>
    <w:rsid w:val="007B769E"/>
    <w:rsid w:val="007B76CD"/>
    <w:rsid w:val="007B7879"/>
    <w:rsid w:val="007B797B"/>
    <w:rsid w:val="007B79B5"/>
    <w:rsid w:val="007B7CC1"/>
    <w:rsid w:val="007B7D31"/>
    <w:rsid w:val="007B7FFA"/>
    <w:rsid w:val="007C00B3"/>
    <w:rsid w:val="007C00D1"/>
    <w:rsid w:val="007C0117"/>
    <w:rsid w:val="007C0149"/>
    <w:rsid w:val="007C01B0"/>
    <w:rsid w:val="007C01D0"/>
    <w:rsid w:val="007C02BD"/>
    <w:rsid w:val="007C045C"/>
    <w:rsid w:val="007C08B2"/>
    <w:rsid w:val="007C0A5C"/>
    <w:rsid w:val="007C0BE1"/>
    <w:rsid w:val="007C0D4F"/>
    <w:rsid w:val="007C0DE8"/>
    <w:rsid w:val="007C0F70"/>
    <w:rsid w:val="007C143D"/>
    <w:rsid w:val="007C15C2"/>
    <w:rsid w:val="007C160A"/>
    <w:rsid w:val="007C1732"/>
    <w:rsid w:val="007C1758"/>
    <w:rsid w:val="007C1BA1"/>
    <w:rsid w:val="007C1E81"/>
    <w:rsid w:val="007C1F47"/>
    <w:rsid w:val="007C205B"/>
    <w:rsid w:val="007C2092"/>
    <w:rsid w:val="007C21C3"/>
    <w:rsid w:val="007C226F"/>
    <w:rsid w:val="007C2363"/>
    <w:rsid w:val="007C285D"/>
    <w:rsid w:val="007C28D3"/>
    <w:rsid w:val="007C2A76"/>
    <w:rsid w:val="007C2B93"/>
    <w:rsid w:val="007C2CE4"/>
    <w:rsid w:val="007C2F11"/>
    <w:rsid w:val="007C2F61"/>
    <w:rsid w:val="007C3231"/>
    <w:rsid w:val="007C3386"/>
    <w:rsid w:val="007C3948"/>
    <w:rsid w:val="007C3B5F"/>
    <w:rsid w:val="007C3E14"/>
    <w:rsid w:val="007C400B"/>
    <w:rsid w:val="007C467A"/>
    <w:rsid w:val="007C4714"/>
    <w:rsid w:val="007C48D0"/>
    <w:rsid w:val="007C4EAC"/>
    <w:rsid w:val="007C4ED9"/>
    <w:rsid w:val="007C4EE1"/>
    <w:rsid w:val="007C4F26"/>
    <w:rsid w:val="007C4F38"/>
    <w:rsid w:val="007C5132"/>
    <w:rsid w:val="007C53D3"/>
    <w:rsid w:val="007C5691"/>
    <w:rsid w:val="007C5A97"/>
    <w:rsid w:val="007C5AED"/>
    <w:rsid w:val="007C5B1D"/>
    <w:rsid w:val="007C5BE7"/>
    <w:rsid w:val="007C5C94"/>
    <w:rsid w:val="007C5E3F"/>
    <w:rsid w:val="007C60E8"/>
    <w:rsid w:val="007C6104"/>
    <w:rsid w:val="007C6137"/>
    <w:rsid w:val="007C6332"/>
    <w:rsid w:val="007C6615"/>
    <w:rsid w:val="007C6A2D"/>
    <w:rsid w:val="007C6C05"/>
    <w:rsid w:val="007C6C2D"/>
    <w:rsid w:val="007C6D19"/>
    <w:rsid w:val="007C7122"/>
    <w:rsid w:val="007C71B2"/>
    <w:rsid w:val="007C7238"/>
    <w:rsid w:val="007C72FC"/>
    <w:rsid w:val="007C74EB"/>
    <w:rsid w:val="007C778E"/>
    <w:rsid w:val="007C77A4"/>
    <w:rsid w:val="007C77BF"/>
    <w:rsid w:val="007C7A4C"/>
    <w:rsid w:val="007C7D87"/>
    <w:rsid w:val="007C7DE1"/>
    <w:rsid w:val="007C7E8F"/>
    <w:rsid w:val="007D0066"/>
    <w:rsid w:val="007D0069"/>
    <w:rsid w:val="007D028E"/>
    <w:rsid w:val="007D03D0"/>
    <w:rsid w:val="007D051F"/>
    <w:rsid w:val="007D060C"/>
    <w:rsid w:val="007D06D3"/>
    <w:rsid w:val="007D0746"/>
    <w:rsid w:val="007D0BD6"/>
    <w:rsid w:val="007D0C5F"/>
    <w:rsid w:val="007D0E38"/>
    <w:rsid w:val="007D1227"/>
    <w:rsid w:val="007D13C9"/>
    <w:rsid w:val="007D146A"/>
    <w:rsid w:val="007D14CB"/>
    <w:rsid w:val="007D1767"/>
    <w:rsid w:val="007D177F"/>
    <w:rsid w:val="007D1908"/>
    <w:rsid w:val="007D1929"/>
    <w:rsid w:val="007D19D9"/>
    <w:rsid w:val="007D1B1B"/>
    <w:rsid w:val="007D1D9F"/>
    <w:rsid w:val="007D1DA9"/>
    <w:rsid w:val="007D1F9B"/>
    <w:rsid w:val="007D1FE0"/>
    <w:rsid w:val="007D2013"/>
    <w:rsid w:val="007D20BF"/>
    <w:rsid w:val="007D246E"/>
    <w:rsid w:val="007D24AC"/>
    <w:rsid w:val="007D27DB"/>
    <w:rsid w:val="007D28F5"/>
    <w:rsid w:val="007D291A"/>
    <w:rsid w:val="007D2A7C"/>
    <w:rsid w:val="007D2B02"/>
    <w:rsid w:val="007D2BB2"/>
    <w:rsid w:val="007D2BE2"/>
    <w:rsid w:val="007D2D58"/>
    <w:rsid w:val="007D2EFB"/>
    <w:rsid w:val="007D2F79"/>
    <w:rsid w:val="007D2FC9"/>
    <w:rsid w:val="007D310B"/>
    <w:rsid w:val="007D310F"/>
    <w:rsid w:val="007D3164"/>
    <w:rsid w:val="007D321B"/>
    <w:rsid w:val="007D357D"/>
    <w:rsid w:val="007D3673"/>
    <w:rsid w:val="007D36C2"/>
    <w:rsid w:val="007D36D6"/>
    <w:rsid w:val="007D3808"/>
    <w:rsid w:val="007D382A"/>
    <w:rsid w:val="007D38FA"/>
    <w:rsid w:val="007D3945"/>
    <w:rsid w:val="007D3B0D"/>
    <w:rsid w:val="007D3B48"/>
    <w:rsid w:val="007D3BD6"/>
    <w:rsid w:val="007D3D56"/>
    <w:rsid w:val="007D3DDC"/>
    <w:rsid w:val="007D3EC4"/>
    <w:rsid w:val="007D406C"/>
    <w:rsid w:val="007D4398"/>
    <w:rsid w:val="007D44FD"/>
    <w:rsid w:val="007D46A2"/>
    <w:rsid w:val="007D46EC"/>
    <w:rsid w:val="007D4742"/>
    <w:rsid w:val="007D4769"/>
    <w:rsid w:val="007D478C"/>
    <w:rsid w:val="007D4862"/>
    <w:rsid w:val="007D4B3A"/>
    <w:rsid w:val="007D4C63"/>
    <w:rsid w:val="007D4D55"/>
    <w:rsid w:val="007D4FBA"/>
    <w:rsid w:val="007D5018"/>
    <w:rsid w:val="007D527A"/>
    <w:rsid w:val="007D534A"/>
    <w:rsid w:val="007D55BE"/>
    <w:rsid w:val="007D55D3"/>
    <w:rsid w:val="007D5759"/>
    <w:rsid w:val="007D5863"/>
    <w:rsid w:val="007D5967"/>
    <w:rsid w:val="007D59E5"/>
    <w:rsid w:val="007D5ADB"/>
    <w:rsid w:val="007D5BEB"/>
    <w:rsid w:val="007D5BFC"/>
    <w:rsid w:val="007D5D95"/>
    <w:rsid w:val="007D5E8B"/>
    <w:rsid w:val="007D5FA0"/>
    <w:rsid w:val="007D6071"/>
    <w:rsid w:val="007D6078"/>
    <w:rsid w:val="007D62E3"/>
    <w:rsid w:val="007D6512"/>
    <w:rsid w:val="007D669E"/>
    <w:rsid w:val="007D675B"/>
    <w:rsid w:val="007D6B90"/>
    <w:rsid w:val="007D6D0E"/>
    <w:rsid w:val="007D6F85"/>
    <w:rsid w:val="007D6F8F"/>
    <w:rsid w:val="007D7054"/>
    <w:rsid w:val="007D74D6"/>
    <w:rsid w:val="007D7583"/>
    <w:rsid w:val="007D765E"/>
    <w:rsid w:val="007D76AE"/>
    <w:rsid w:val="007D77E5"/>
    <w:rsid w:val="007D7868"/>
    <w:rsid w:val="007D787D"/>
    <w:rsid w:val="007D789F"/>
    <w:rsid w:val="007D79ED"/>
    <w:rsid w:val="007D7A5A"/>
    <w:rsid w:val="007D7E2A"/>
    <w:rsid w:val="007D7EE5"/>
    <w:rsid w:val="007D7F07"/>
    <w:rsid w:val="007D7FCF"/>
    <w:rsid w:val="007E0027"/>
    <w:rsid w:val="007E036D"/>
    <w:rsid w:val="007E056A"/>
    <w:rsid w:val="007E066C"/>
    <w:rsid w:val="007E0717"/>
    <w:rsid w:val="007E0743"/>
    <w:rsid w:val="007E075E"/>
    <w:rsid w:val="007E07D4"/>
    <w:rsid w:val="007E08BD"/>
    <w:rsid w:val="007E090E"/>
    <w:rsid w:val="007E0A65"/>
    <w:rsid w:val="007E0AD1"/>
    <w:rsid w:val="007E0C67"/>
    <w:rsid w:val="007E0E50"/>
    <w:rsid w:val="007E0E59"/>
    <w:rsid w:val="007E0E95"/>
    <w:rsid w:val="007E0F5C"/>
    <w:rsid w:val="007E0F7D"/>
    <w:rsid w:val="007E1392"/>
    <w:rsid w:val="007E1477"/>
    <w:rsid w:val="007E14F3"/>
    <w:rsid w:val="007E1BD7"/>
    <w:rsid w:val="007E1C8F"/>
    <w:rsid w:val="007E1D44"/>
    <w:rsid w:val="007E1D49"/>
    <w:rsid w:val="007E1EF9"/>
    <w:rsid w:val="007E2109"/>
    <w:rsid w:val="007E2315"/>
    <w:rsid w:val="007E2533"/>
    <w:rsid w:val="007E25C0"/>
    <w:rsid w:val="007E2B15"/>
    <w:rsid w:val="007E2CEA"/>
    <w:rsid w:val="007E2DB9"/>
    <w:rsid w:val="007E2DE3"/>
    <w:rsid w:val="007E2E75"/>
    <w:rsid w:val="007E327B"/>
    <w:rsid w:val="007E328B"/>
    <w:rsid w:val="007E32A9"/>
    <w:rsid w:val="007E32B6"/>
    <w:rsid w:val="007E3468"/>
    <w:rsid w:val="007E367F"/>
    <w:rsid w:val="007E36AE"/>
    <w:rsid w:val="007E3835"/>
    <w:rsid w:val="007E38E4"/>
    <w:rsid w:val="007E396B"/>
    <w:rsid w:val="007E39B7"/>
    <w:rsid w:val="007E39C2"/>
    <w:rsid w:val="007E3A34"/>
    <w:rsid w:val="007E3C44"/>
    <w:rsid w:val="007E3CD7"/>
    <w:rsid w:val="007E3CFD"/>
    <w:rsid w:val="007E3EAF"/>
    <w:rsid w:val="007E3F02"/>
    <w:rsid w:val="007E4204"/>
    <w:rsid w:val="007E4412"/>
    <w:rsid w:val="007E46C2"/>
    <w:rsid w:val="007E482D"/>
    <w:rsid w:val="007E4956"/>
    <w:rsid w:val="007E4A91"/>
    <w:rsid w:val="007E4B22"/>
    <w:rsid w:val="007E4C88"/>
    <w:rsid w:val="007E4ED8"/>
    <w:rsid w:val="007E4F32"/>
    <w:rsid w:val="007E4F62"/>
    <w:rsid w:val="007E50A6"/>
    <w:rsid w:val="007E5355"/>
    <w:rsid w:val="007E54C1"/>
    <w:rsid w:val="007E5679"/>
    <w:rsid w:val="007E5B90"/>
    <w:rsid w:val="007E5C84"/>
    <w:rsid w:val="007E5D6C"/>
    <w:rsid w:val="007E5DE0"/>
    <w:rsid w:val="007E5F0A"/>
    <w:rsid w:val="007E63B7"/>
    <w:rsid w:val="007E6411"/>
    <w:rsid w:val="007E64AD"/>
    <w:rsid w:val="007E6520"/>
    <w:rsid w:val="007E6541"/>
    <w:rsid w:val="007E67E3"/>
    <w:rsid w:val="007E68F6"/>
    <w:rsid w:val="007E697D"/>
    <w:rsid w:val="007E6BD1"/>
    <w:rsid w:val="007E6C7D"/>
    <w:rsid w:val="007E6D14"/>
    <w:rsid w:val="007E6D85"/>
    <w:rsid w:val="007E70DA"/>
    <w:rsid w:val="007E716E"/>
    <w:rsid w:val="007E7231"/>
    <w:rsid w:val="007E726B"/>
    <w:rsid w:val="007E7275"/>
    <w:rsid w:val="007E73BB"/>
    <w:rsid w:val="007E76B0"/>
    <w:rsid w:val="007E7720"/>
    <w:rsid w:val="007E77BF"/>
    <w:rsid w:val="007E77E9"/>
    <w:rsid w:val="007E7831"/>
    <w:rsid w:val="007E7857"/>
    <w:rsid w:val="007E7B31"/>
    <w:rsid w:val="007E7C2E"/>
    <w:rsid w:val="007E7D1E"/>
    <w:rsid w:val="007E7D9A"/>
    <w:rsid w:val="007E7DA0"/>
    <w:rsid w:val="007E7E53"/>
    <w:rsid w:val="007E7EE5"/>
    <w:rsid w:val="007F0003"/>
    <w:rsid w:val="007F00A3"/>
    <w:rsid w:val="007F00D5"/>
    <w:rsid w:val="007F0111"/>
    <w:rsid w:val="007F0311"/>
    <w:rsid w:val="007F03E7"/>
    <w:rsid w:val="007F0631"/>
    <w:rsid w:val="007F0759"/>
    <w:rsid w:val="007F09CE"/>
    <w:rsid w:val="007F09E7"/>
    <w:rsid w:val="007F0B04"/>
    <w:rsid w:val="007F0BD5"/>
    <w:rsid w:val="007F0C10"/>
    <w:rsid w:val="007F0C22"/>
    <w:rsid w:val="007F0DA5"/>
    <w:rsid w:val="007F0E38"/>
    <w:rsid w:val="007F0F31"/>
    <w:rsid w:val="007F102C"/>
    <w:rsid w:val="007F1118"/>
    <w:rsid w:val="007F1340"/>
    <w:rsid w:val="007F15E5"/>
    <w:rsid w:val="007F17BA"/>
    <w:rsid w:val="007F1A23"/>
    <w:rsid w:val="007F1A29"/>
    <w:rsid w:val="007F1BFB"/>
    <w:rsid w:val="007F1C15"/>
    <w:rsid w:val="007F1C67"/>
    <w:rsid w:val="007F1C70"/>
    <w:rsid w:val="007F1CA0"/>
    <w:rsid w:val="007F1CAF"/>
    <w:rsid w:val="007F1CB6"/>
    <w:rsid w:val="007F1DB0"/>
    <w:rsid w:val="007F1E33"/>
    <w:rsid w:val="007F1F4C"/>
    <w:rsid w:val="007F2332"/>
    <w:rsid w:val="007F243A"/>
    <w:rsid w:val="007F2784"/>
    <w:rsid w:val="007F2799"/>
    <w:rsid w:val="007F27C5"/>
    <w:rsid w:val="007F29A9"/>
    <w:rsid w:val="007F2A4C"/>
    <w:rsid w:val="007F2B9B"/>
    <w:rsid w:val="007F2D0E"/>
    <w:rsid w:val="007F2EE8"/>
    <w:rsid w:val="007F2F23"/>
    <w:rsid w:val="007F2F40"/>
    <w:rsid w:val="007F2F84"/>
    <w:rsid w:val="007F3017"/>
    <w:rsid w:val="007F305D"/>
    <w:rsid w:val="007F3152"/>
    <w:rsid w:val="007F3613"/>
    <w:rsid w:val="007F370C"/>
    <w:rsid w:val="007F37FB"/>
    <w:rsid w:val="007F3A6A"/>
    <w:rsid w:val="007F3BD8"/>
    <w:rsid w:val="007F3CA7"/>
    <w:rsid w:val="007F3FBE"/>
    <w:rsid w:val="007F414C"/>
    <w:rsid w:val="007F41A7"/>
    <w:rsid w:val="007F42C7"/>
    <w:rsid w:val="007F4319"/>
    <w:rsid w:val="007F4355"/>
    <w:rsid w:val="007F4391"/>
    <w:rsid w:val="007F43D4"/>
    <w:rsid w:val="007F468E"/>
    <w:rsid w:val="007F46CA"/>
    <w:rsid w:val="007F479C"/>
    <w:rsid w:val="007F47A1"/>
    <w:rsid w:val="007F47F3"/>
    <w:rsid w:val="007F496B"/>
    <w:rsid w:val="007F49EF"/>
    <w:rsid w:val="007F4A19"/>
    <w:rsid w:val="007F4A2D"/>
    <w:rsid w:val="007F4B70"/>
    <w:rsid w:val="007F4BAC"/>
    <w:rsid w:val="007F4C6D"/>
    <w:rsid w:val="007F4E26"/>
    <w:rsid w:val="007F4EA1"/>
    <w:rsid w:val="007F4F32"/>
    <w:rsid w:val="007F500E"/>
    <w:rsid w:val="007F5039"/>
    <w:rsid w:val="007F50B1"/>
    <w:rsid w:val="007F5170"/>
    <w:rsid w:val="007F52AF"/>
    <w:rsid w:val="007F53F0"/>
    <w:rsid w:val="007F53FD"/>
    <w:rsid w:val="007F547A"/>
    <w:rsid w:val="007F54BF"/>
    <w:rsid w:val="007F55DD"/>
    <w:rsid w:val="007F5869"/>
    <w:rsid w:val="007F5943"/>
    <w:rsid w:val="007F59DD"/>
    <w:rsid w:val="007F5B2A"/>
    <w:rsid w:val="007F5F70"/>
    <w:rsid w:val="007F605B"/>
    <w:rsid w:val="007F6063"/>
    <w:rsid w:val="007F6268"/>
    <w:rsid w:val="007F64BB"/>
    <w:rsid w:val="007F664E"/>
    <w:rsid w:val="007F6700"/>
    <w:rsid w:val="007F674F"/>
    <w:rsid w:val="007F683E"/>
    <w:rsid w:val="007F6A06"/>
    <w:rsid w:val="007F6A24"/>
    <w:rsid w:val="007F6B94"/>
    <w:rsid w:val="007F6FAD"/>
    <w:rsid w:val="007F7069"/>
    <w:rsid w:val="007F70D4"/>
    <w:rsid w:val="007F711C"/>
    <w:rsid w:val="007F7225"/>
    <w:rsid w:val="007F7265"/>
    <w:rsid w:val="007F731C"/>
    <w:rsid w:val="007F758A"/>
    <w:rsid w:val="007F77AB"/>
    <w:rsid w:val="007F795A"/>
    <w:rsid w:val="007F7A8B"/>
    <w:rsid w:val="007F7AD7"/>
    <w:rsid w:val="007F7CB4"/>
    <w:rsid w:val="007F7F43"/>
    <w:rsid w:val="008000B5"/>
    <w:rsid w:val="0080017E"/>
    <w:rsid w:val="008001E1"/>
    <w:rsid w:val="00800286"/>
    <w:rsid w:val="00800835"/>
    <w:rsid w:val="00800ACC"/>
    <w:rsid w:val="00800C76"/>
    <w:rsid w:val="00800DA7"/>
    <w:rsid w:val="00800E8D"/>
    <w:rsid w:val="00801144"/>
    <w:rsid w:val="00801162"/>
    <w:rsid w:val="0080127E"/>
    <w:rsid w:val="0080130A"/>
    <w:rsid w:val="008015C5"/>
    <w:rsid w:val="008015C9"/>
    <w:rsid w:val="0080164D"/>
    <w:rsid w:val="008016DA"/>
    <w:rsid w:val="0080173B"/>
    <w:rsid w:val="0080174A"/>
    <w:rsid w:val="008017C0"/>
    <w:rsid w:val="00801998"/>
    <w:rsid w:val="00801A0C"/>
    <w:rsid w:val="00801A1B"/>
    <w:rsid w:val="00801A6E"/>
    <w:rsid w:val="00801AD7"/>
    <w:rsid w:val="00801D5A"/>
    <w:rsid w:val="00801DDD"/>
    <w:rsid w:val="00801EDD"/>
    <w:rsid w:val="00802291"/>
    <w:rsid w:val="008023CA"/>
    <w:rsid w:val="00802584"/>
    <w:rsid w:val="00802618"/>
    <w:rsid w:val="00802755"/>
    <w:rsid w:val="00802814"/>
    <w:rsid w:val="00802A11"/>
    <w:rsid w:val="00802D35"/>
    <w:rsid w:val="00802E0D"/>
    <w:rsid w:val="00802FFA"/>
    <w:rsid w:val="00803127"/>
    <w:rsid w:val="00803140"/>
    <w:rsid w:val="00803190"/>
    <w:rsid w:val="00803278"/>
    <w:rsid w:val="008032DE"/>
    <w:rsid w:val="008034D3"/>
    <w:rsid w:val="008037BA"/>
    <w:rsid w:val="00803827"/>
    <w:rsid w:val="00803898"/>
    <w:rsid w:val="0080399D"/>
    <w:rsid w:val="00803A6C"/>
    <w:rsid w:val="00803AAF"/>
    <w:rsid w:val="00803D61"/>
    <w:rsid w:val="00803F39"/>
    <w:rsid w:val="008042EA"/>
    <w:rsid w:val="00804534"/>
    <w:rsid w:val="008045A4"/>
    <w:rsid w:val="00804694"/>
    <w:rsid w:val="00804766"/>
    <w:rsid w:val="008047F2"/>
    <w:rsid w:val="008048BB"/>
    <w:rsid w:val="008048FD"/>
    <w:rsid w:val="00804A97"/>
    <w:rsid w:val="00804BB8"/>
    <w:rsid w:val="00804C1F"/>
    <w:rsid w:val="00804D9A"/>
    <w:rsid w:val="00804FC7"/>
    <w:rsid w:val="00805153"/>
    <w:rsid w:val="008051D2"/>
    <w:rsid w:val="008052FE"/>
    <w:rsid w:val="00805555"/>
    <w:rsid w:val="008056F7"/>
    <w:rsid w:val="00805805"/>
    <w:rsid w:val="00805A9C"/>
    <w:rsid w:val="00805F13"/>
    <w:rsid w:val="00805F19"/>
    <w:rsid w:val="00805F73"/>
    <w:rsid w:val="00805FE4"/>
    <w:rsid w:val="0080603A"/>
    <w:rsid w:val="00806312"/>
    <w:rsid w:val="00806401"/>
    <w:rsid w:val="008064D9"/>
    <w:rsid w:val="00806559"/>
    <w:rsid w:val="008065D7"/>
    <w:rsid w:val="00806828"/>
    <w:rsid w:val="008069F5"/>
    <w:rsid w:val="00806AFC"/>
    <w:rsid w:val="00806BA4"/>
    <w:rsid w:val="0080715C"/>
    <w:rsid w:val="0080752C"/>
    <w:rsid w:val="008075EA"/>
    <w:rsid w:val="00807623"/>
    <w:rsid w:val="0080766C"/>
    <w:rsid w:val="00807811"/>
    <w:rsid w:val="00807A19"/>
    <w:rsid w:val="00807AFA"/>
    <w:rsid w:val="00807B9E"/>
    <w:rsid w:val="00807BFC"/>
    <w:rsid w:val="00807D86"/>
    <w:rsid w:val="00807DF4"/>
    <w:rsid w:val="00807EA6"/>
    <w:rsid w:val="00807FC6"/>
    <w:rsid w:val="0081014B"/>
    <w:rsid w:val="00810198"/>
    <w:rsid w:val="00810242"/>
    <w:rsid w:val="00810262"/>
    <w:rsid w:val="00810294"/>
    <w:rsid w:val="008104F7"/>
    <w:rsid w:val="00810520"/>
    <w:rsid w:val="0081069F"/>
    <w:rsid w:val="0081094F"/>
    <w:rsid w:val="00810A44"/>
    <w:rsid w:val="00810B82"/>
    <w:rsid w:val="00810CBE"/>
    <w:rsid w:val="00810E8E"/>
    <w:rsid w:val="0081101D"/>
    <w:rsid w:val="008110D3"/>
    <w:rsid w:val="0081123B"/>
    <w:rsid w:val="008112BE"/>
    <w:rsid w:val="008112D9"/>
    <w:rsid w:val="00811318"/>
    <w:rsid w:val="008113EE"/>
    <w:rsid w:val="0081143D"/>
    <w:rsid w:val="0081147C"/>
    <w:rsid w:val="008114A7"/>
    <w:rsid w:val="00811837"/>
    <w:rsid w:val="008118AF"/>
    <w:rsid w:val="00811A97"/>
    <w:rsid w:val="00811ABE"/>
    <w:rsid w:val="00811B99"/>
    <w:rsid w:val="00811D38"/>
    <w:rsid w:val="00811EC5"/>
    <w:rsid w:val="008120D1"/>
    <w:rsid w:val="00812178"/>
    <w:rsid w:val="008122E4"/>
    <w:rsid w:val="0081233C"/>
    <w:rsid w:val="00812395"/>
    <w:rsid w:val="008123E2"/>
    <w:rsid w:val="008124AA"/>
    <w:rsid w:val="00812545"/>
    <w:rsid w:val="0081255B"/>
    <w:rsid w:val="0081276F"/>
    <w:rsid w:val="008127C6"/>
    <w:rsid w:val="0081290D"/>
    <w:rsid w:val="00812981"/>
    <w:rsid w:val="00812C68"/>
    <w:rsid w:val="00812CD6"/>
    <w:rsid w:val="00812E57"/>
    <w:rsid w:val="00812F66"/>
    <w:rsid w:val="00813029"/>
    <w:rsid w:val="0081307F"/>
    <w:rsid w:val="0081308D"/>
    <w:rsid w:val="008130B7"/>
    <w:rsid w:val="00813225"/>
    <w:rsid w:val="008133B2"/>
    <w:rsid w:val="00813479"/>
    <w:rsid w:val="00813527"/>
    <w:rsid w:val="0081354E"/>
    <w:rsid w:val="00813636"/>
    <w:rsid w:val="008136E6"/>
    <w:rsid w:val="0081376A"/>
    <w:rsid w:val="008137F5"/>
    <w:rsid w:val="0081380F"/>
    <w:rsid w:val="0081382A"/>
    <w:rsid w:val="0081386E"/>
    <w:rsid w:val="008139AB"/>
    <w:rsid w:val="00813A56"/>
    <w:rsid w:val="00813E4A"/>
    <w:rsid w:val="00813E55"/>
    <w:rsid w:val="00814211"/>
    <w:rsid w:val="0081444D"/>
    <w:rsid w:val="0081455F"/>
    <w:rsid w:val="008147D8"/>
    <w:rsid w:val="0081488E"/>
    <w:rsid w:val="00814A65"/>
    <w:rsid w:val="00814C54"/>
    <w:rsid w:val="00814CBD"/>
    <w:rsid w:val="00814D2A"/>
    <w:rsid w:val="00814EA0"/>
    <w:rsid w:val="00814ED5"/>
    <w:rsid w:val="00814FCB"/>
    <w:rsid w:val="0081519B"/>
    <w:rsid w:val="00815268"/>
    <w:rsid w:val="008152FB"/>
    <w:rsid w:val="0081545F"/>
    <w:rsid w:val="008154A9"/>
    <w:rsid w:val="008154B8"/>
    <w:rsid w:val="0081558C"/>
    <w:rsid w:val="0081570E"/>
    <w:rsid w:val="00815878"/>
    <w:rsid w:val="00815A30"/>
    <w:rsid w:val="00815B98"/>
    <w:rsid w:val="00815EEE"/>
    <w:rsid w:val="008160AD"/>
    <w:rsid w:val="008160CA"/>
    <w:rsid w:val="00816112"/>
    <w:rsid w:val="0081637E"/>
    <w:rsid w:val="0081642E"/>
    <w:rsid w:val="008164C5"/>
    <w:rsid w:val="00816633"/>
    <w:rsid w:val="0081669D"/>
    <w:rsid w:val="0081681C"/>
    <w:rsid w:val="00816874"/>
    <w:rsid w:val="008168D3"/>
    <w:rsid w:val="00816AD1"/>
    <w:rsid w:val="00816B1D"/>
    <w:rsid w:val="00816B69"/>
    <w:rsid w:val="00816B93"/>
    <w:rsid w:val="00816CA6"/>
    <w:rsid w:val="00816D09"/>
    <w:rsid w:val="00816DB7"/>
    <w:rsid w:val="00817355"/>
    <w:rsid w:val="0081745E"/>
    <w:rsid w:val="008175FC"/>
    <w:rsid w:val="0081761C"/>
    <w:rsid w:val="0081770D"/>
    <w:rsid w:val="0081779A"/>
    <w:rsid w:val="00817804"/>
    <w:rsid w:val="00817888"/>
    <w:rsid w:val="008178C5"/>
    <w:rsid w:val="0081796E"/>
    <w:rsid w:val="008179B7"/>
    <w:rsid w:val="008179D7"/>
    <w:rsid w:val="00817ACE"/>
    <w:rsid w:val="00817AED"/>
    <w:rsid w:val="00817BE4"/>
    <w:rsid w:val="00817D9A"/>
    <w:rsid w:val="00817E3F"/>
    <w:rsid w:val="00817FDC"/>
    <w:rsid w:val="0082017A"/>
    <w:rsid w:val="008201A6"/>
    <w:rsid w:val="008202C6"/>
    <w:rsid w:val="0082037F"/>
    <w:rsid w:val="00820386"/>
    <w:rsid w:val="008205A7"/>
    <w:rsid w:val="0082067C"/>
    <w:rsid w:val="0082069A"/>
    <w:rsid w:val="00820718"/>
    <w:rsid w:val="008209A8"/>
    <w:rsid w:val="00820A69"/>
    <w:rsid w:val="00820AEB"/>
    <w:rsid w:val="00820BBC"/>
    <w:rsid w:val="00820CC0"/>
    <w:rsid w:val="00820EC9"/>
    <w:rsid w:val="0082108D"/>
    <w:rsid w:val="0082117E"/>
    <w:rsid w:val="00821332"/>
    <w:rsid w:val="0082151A"/>
    <w:rsid w:val="0082155F"/>
    <w:rsid w:val="008217E5"/>
    <w:rsid w:val="00821819"/>
    <w:rsid w:val="00821951"/>
    <w:rsid w:val="00821BBA"/>
    <w:rsid w:val="00821C53"/>
    <w:rsid w:val="00821C67"/>
    <w:rsid w:val="00821CDB"/>
    <w:rsid w:val="00822082"/>
    <w:rsid w:val="00822156"/>
    <w:rsid w:val="008224A1"/>
    <w:rsid w:val="0082258E"/>
    <w:rsid w:val="008225B2"/>
    <w:rsid w:val="008228D7"/>
    <w:rsid w:val="00822A55"/>
    <w:rsid w:val="00822BE1"/>
    <w:rsid w:val="00822BEE"/>
    <w:rsid w:val="00822BF4"/>
    <w:rsid w:val="00822C24"/>
    <w:rsid w:val="00822C3B"/>
    <w:rsid w:val="00822CD5"/>
    <w:rsid w:val="00822FDA"/>
    <w:rsid w:val="0082322F"/>
    <w:rsid w:val="008232F4"/>
    <w:rsid w:val="0082334A"/>
    <w:rsid w:val="008233D2"/>
    <w:rsid w:val="008235DA"/>
    <w:rsid w:val="008235DC"/>
    <w:rsid w:val="008235E3"/>
    <w:rsid w:val="008236C2"/>
    <w:rsid w:val="008236FB"/>
    <w:rsid w:val="0082382A"/>
    <w:rsid w:val="0082390B"/>
    <w:rsid w:val="0082397B"/>
    <w:rsid w:val="00823BA8"/>
    <w:rsid w:val="00823CB2"/>
    <w:rsid w:val="00823CD9"/>
    <w:rsid w:val="00823DBF"/>
    <w:rsid w:val="00823E26"/>
    <w:rsid w:val="00823E58"/>
    <w:rsid w:val="00823E9E"/>
    <w:rsid w:val="00823ED1"/>
    <w:rsid w:val="00823EEF"/>
    <w:rsid w:val="00823F79"/>
    <w:rsid w:val="00824198"/>
    <w:rsid w:val="008241B6"/>
    <w:rsid w:val="00824561"/>
    <w:rsid w:val="00824765"/>
    <w:rsid w:val="008247AB"/>
    <w:rsid w:val="0082496F"/>
    <w:rsid w:val="00824979"/>
    <w:rsid w:val="00824BEC"/>
    <w:rsid w:val="00824CD7"/>
    <w:rsid w:val="00824CD8"/>
    <w:rsid w:val="00824DA3"/>
    <w:rsid w:val="00824E29"/>
    <w:rsid w:val="00824E53"/>
    <w:rsid w:val="00825162"/>
    <w:rsid w:val="008252BF"/>
    <w:rsid w:val="00825448"/>
    <w:rsid w:val="0082586D"/>
    <w:rsid w:val="008258AB"/>
    <w:rsid w:val="008258DD"/>
    <w:rsid w:val="00825957"/>
    <w:rsid w:val="0082598D"/>
    <w:rsid w:val="008259A5"/>
    <w:rsid w:val="008259B8"/>
    <w:rsid w:val="00825A8A"/>
    <w:rsid w:val="00825C06"/>
    <w:rsid w:val="00825C69"/>
    <w:rsid w:val="00825CAA"/>
    <w:rsid w:val="00825DF9"/>
    <w:rsid w:val="00825EDC"/>
    <w:rsid w:val="00826039"/>
    <w:rsid w:val="00826250"/>
    <w:rsid w:val="008263CE"/>
    <w:rsid w:val="00826485"/>
    <w:rsid w:val="008265A3"/>
    <w:rsid w:val="00826689"/>
    <w:rsid w:val="00826834"/>
    <w:rsid w:val="00826A3C"/>
    <w:rsid w:val="00826B57"/>
    <w:rsid w:val="00826B8B"/>
    <w:rsid w:val="00826C76"/>
    <w:rsid w:val="00826C7E"/>
    <w:rsid w:val="00826D37"/>
    <w:rsid w:val="00826D53"/>
    <w:rsid w:val="00826EE6"/>
    <w:rsid w:val="00826FE6"/>
    <w:rsid w:val="0082708D"/>
    <w:rsid w:val="00827093"/>
    <w:rsid w:val="008272AE"/>
    <w:rsid w:val="008272F8"/>
    <w:rsid w:val="008274FF"/>
    <w:rsid w:val="0082770E"/>
    <w:rsid w:val="0082773D"/>
    <w:rsid w:val="0082794B"/>
    <w:rsid w:val="00827ABC"/>
    <w:rsid w:val="00827AD4"/>
    <w:rsid w:val="00827D5A"/>
    <w:rsid w:val="00827DE9"/>
    <w:rsid w:val="00827F76"/>
    <w:rsid w:val="0083006D"/>
    <w:rsid w:val="00830131"/>
    <w:rsid w:val="008301D8"/>
    <w:rsid w:val="008303CA"/>
    <w:rsid w:val="008304CC"/>
    <w:rsid w:val="008304E3"/>
    <w:rsid w:val="0083080F"/>
    <w:rsid w:val="00830878"/>
    <w:rsid w:val="0083087C"/>
    <w:rsid w:val="00830C48"/>
    <w:rsid w:val="00830C6F"/>
    <w:rsid w:val="00830D1C"/>
    <w:rsid w:val="00830ED6"/>
    <w:rsid w:val="008311B6"/>
    <w:rsid w:val="00831317"/>
    <w:rsid w:val="00831425"/>
    <w:rsid w:val="00831531"/>
    <w:rsid w:val="00831697"/>
    <w:rsid w:val="0083194E"/>
    <w:rsid w:val="00831B8E"/>
    <w:rsid w:val="00831E5D"/>
    <w:rsid w:val="00831F4D"/>
    <w:rsid w:val="008320AB"/>
    <w:rsid w:val="008320B9"/>
    <w:rsid w:val="0083249C"/>
    <w:rsid w:val="008324C4"/>
    <w:rsid w:val="008324E3"/>
    <w:rsid w:val="0083278E"/>
    <w:rsid w:val="00832850"/>
    <w:rsid w:val="0083290B"/>
    <w:rsid w:val="00832AA5"/>
    <w:rsid w:val="00832B0B"/>
    <w:rsid w:val="00832C14"/>
    <w:rsid w:val="00832D06"/>
    <w:rsid w:val="00832D94"/>
    <w:rsid w:val="00832DD2"/>
    <w:rsid w:val="00833014"/>
    <w:rsid w:val="0083303A"/>
    <w:rsid w:val="0083331C"/>
    <w:rsid w:val="008333C4"/>
    <w:rsid w:val="008333D0"/>
    <w:rsid w:val="0083380B"/>
    <w:rsid w:val="0083380E"/>
    <w:rsid w:val="008339EB"/>
    <w:rsid w:val="008339F3"/>
    <w:rsid w:val="00833A07"/>
    <w:rsid w:val="00833AD9"/>
    <w:rsid w:val="00833BD6"/>
    <w:rsid w:val="00833BE4"/>
    <w:rsid w:val="00833ECD"/>
    <w:rsid w:val="00833ED9"/>
    <w:rsid w:val="00833F78"/>
    <w:rsid w:val="00833F95"/>
    <w:rsid w:val="0083403E"/>
    <w:rsid w:val="0083420D"/>
    <w:rsid w:val="008342E4"/>
    <w:rsid w:val="00834324"/>
    <w:rsid w:val="00834348"/>
    <w:rsid w:val="008343D1"/>
    <w:rsid w:val="008344EC"/>
    <w:rsid w:val="00834546"/>
    <w:rsid w:val="008345A1"/>
    <w:rsid w:val="008345C1"/>
    <w:rsid w:val="0083461F"/>
    <w:rsid w:val="00834723"/>
    <w:rsid w:val="0083480F"/>
    <w:rsid w:val="00834961"/>
    <w:rsid w:val="008349E1"/>
    <w:rsid w:val="00834CFB"/>
    <w:rsid w:val="00835234"/>
    <w:rsid w:val="00835336"/>
    <w:rsid w:val="008353CB"/>
    <w:rsid w:val="008355D7"/>
    <w:rsid w:val="00835680"/>
    <w:rsid w:val="008356CF"/>
    <w:rsid w:val="00835797"/>
    <w:rsid w:val="00835899"/>
    <w:rsid w:val="00835922"/>
    <w:rsid w:val="0083592A"/>
    <w:rsid w:val="00835CF1"/>
    <w:rsid w:val="00835F06"/>
    <w:rsid w:val="008360D1"/>
    <w:rsid w:val="008361E5"/>
    <w:rsid w:val="008361F1"/>
    <w:rsid w:val="00836201"/>
    <w:rsid w:val="008368A2"/>
    <w:rsid w:val="00836A26"/>
    <w:rsid w:val="00836A82"/>
    <w:rsid w:val="00836B20"/>
    <w:rsid w:val="00836B9E"/>
    <w:rsid w:val="00836D45"/>
    <w:rsid w:val="00836DAF"/>
    <w:rsid w:val="00836EC6"/>
    <w:rsid w:val="00837140"/>
    <w:rsid w:val="00837158"/>
    <w:rsid w:val="008371F8"/>
    <w:rsid w:val="0083722C"/>
    <w:rsid w:val="0083725D"/>
    <w:rsid w:val="0083746F"/>
    <w:rsid w:val="0083749B"/>
    <w:rsid w:val="008376C6"/>
    <w:rsid w:val="008376DC"/>
    <w:rsid w:val="008376ED"/>
    <w:rsid w:val="0083799D"/>
    <w:rsid w:val="00837A14"/>
    <w:rsid w:val="00837B31"/>
    <w:rsid w:val="00837C00"/>
    <w:rsid w:val="00840003"/>
    <w:rsid w:val="008402B4"/>
    <w:rsid w:val="0084041F"/>
    <w:rsid w:val="00840515"/>
    <w:rsid w:val="0084072E"/>
    <w:rsid w:val="00840A7F"/>
    <w:rsid w:val="00840B7D"/>
    <w:rsid w:val="00840C6C"/>
    <w:rsid w:val="00840DB9"/>
    <w:rsid w:val="00840F14"/>
    <w:rsid w:val="008413ED"/>
    <w:rsid w:val="00841524"/>
    <w:rsid w:val="00841640"/>
    <w:rsid w:val="00841F16"/>
    <w:rsid w:val="00841F69"/>
    <w:rsid w:val="00841FE9"/>
    <w:rsid w:val="00842036"/>
    <w:rsid w:val="0084203B"/>
    <w:rsid w:val="0084204C"/>
    <w:rsid w:val="00842161"/>
    <w:rsid w:val="00842264"/>
    <w:rsid w:val="008422E6"/>
    <w:rsid w:val="008423E7"/>
    <w:rsid w:val="00842795"/>
    <w:rsid w:val="008429F4"/>
    <w:rsid w:val="00842A5E"/>
    <w:rsid w:val="00842B1D"/>
    <w:rsid w:val="00842B58"/>
    <w:rsid w:val="00842EFF"/>
    <w:rsid w:val="00842FA9"/>
    <w:rsid w:val="008431EB"/>
    <w:rsid w:val="008432AF"/>
    <w:rsid w:val="00843996"/>
    <w:rsid w:val="0084442C"/>
    <w:rsid w:val="008445C4"/>
    <w:rsid w:val="008445FB"/>
    <w:rsid w:val="00844777"/>
    <w:rsid w:val="00844995"/>
    <w:rsid w:val="00844A72"/>
    <w:rsid w:val="00844D3A"/>
    <w:rsid w:val="00845351"/>
    <w:rsid w:val="0084540C"/>
    <w:rsid w:val="008454BA"/>
    <w:rsid w:val="00845530"/>
    <w:rsid w:val="0084563F"/>
    <w:rsid w:val="0084566C"/>
    <w:rsid w:val="0084575F"/>
    <w:rsid w:val="0084584E"/>
    <w:rsid w:val="00845875"/>
    <w:rsid w:val="00845A58"/>
    <w:rsid w:val="00845A95"/>
    <w:rsid w:val="00845B4C"/>
    <w:rsid w:val="00845CCC"/>
    <w:rsid w:val="00845EFD"/>
    <w:rsid w:val="008460F0"/>
    <w:rsid w:val="00846202"/>
    <w:rsid w:val="0084631C"/>
    <w:rsid w:val="008464C0"/>
    <w:rsid w:val="008464FC"/>
    <w:rsid w:val="00846785"/>
    <w:rsid w:val="008468FF"/>
    <w:rsid w:val="00846938"/>
    <w:rsid w:val="00846B15"/>
    <w:rsid w:val="00846BB3"/>
    <w:rsid w:val="00846F01"/>
    <w:rsid w:val="00846F42"/>
    <w:rsid w:val="00846F6D"/>
    <w:rsid w:val="00846F93"/>
    <w:rsid w:val="00846FBB"/>
    <w:rsid w:val="0084700E"/>
    <w:rsid w:val="00847129"/>
    <w:rsid w:val="00847278"/>
    <w:rsid w:val="00847349"/>
    <w:rsid w:val="008473D5"/>
    <w:rsid w:val="00847576"/>
    <w:rsid w:val="00847636"/>
    <w:rsid w:val="00847831"/>
    <w:rsid w:val="0084795A"/>
    <w:rsid w:val="00847996"/>
    <w:rsid w:val="00847BD8"/>
    <w:rsid w:val="00847E24"/>
    <w:rsid w:val="00847E75"/>
    <w:rsid w:val="00847F4D"/>
    <w:rsid w:val="00847F68"/>
    <w:rsid w:val="00850221"/>
    <w:rsid w:val="008502E2"/>
    <w:rsid w:val="0085062F"/>
    <w:rsid w:val="00850715"/>
    <w:rsid w:val="008507C9"/>
    <w:rsid w:val="00850804"/>
    <w:rsid w:val="0085083E"/>
    <w:rsid w:val="00850988"/>
    <w:rsid w:val="00850B72"/>
    <w:rsid w:val="00850B88"/>
    <w:rsid w:val="00850BDF"/>
    <w:rsid w:val="00850C72"/>
    <w:rsid w:val="00850D13"/>
    <w:rsid w:val="00850E0E"/>
    <w:rsid w:val="00851073"/>
    <w:rsid w:val="008510E2"/>
    <w:rsid w:val="00851359"/>
    <w:rsid w:val="0085143A"/>
    <w:rsid w:val="008516E3"/>
    <w:rsid w:val="00851AF5"/>
    <w:rsid w:val="00851B10"/>
    <w:rsid w:val="00851B2D"/>
    <w:rsid w:val="00851D22"/>
    <w:rsid w:val="00851D31"/>
    <w:rsid w:val="00851D5D"/>
    <w:rsid w:val="00851DBD"/>
    <w:rsid w:val="00852056"/>
    <w:rsid w:val="008523B9"/>
    <w:rsid w:val="0085248D"/>
    <w:rsid w:val="0085261A"/>
    <w:rsid w:val="008527FD"/>
    <w:rsid w:val="00852827"/>
    <w:rsid w:val="00852909"/>
    <w:rsid w:val="00852AC4"/>
    <w:rsid w:val="00852B5B"/>
    <w:rsid w:val="00852B5E"/>
    <w:rsid w:val="00852BEC"/>
    <w:rsid w:val="00852C6A"/>
    <w:rsid w:val="00852C90"/>
    <w:rsid w:val="00852D8E"/>
    <w:rsid w:val="00852DA6"/>
    <w:rsid w:val="00852F5B"/>
    <w:rsid w:val="00853035"/>
    <w:rsid w:val="008530AF"/>
    <w:rsid w:val="00853158"/>
    <w:rsid w:val="00853393"/>
    <w:rsid w:val="00853484"/>
    <w:rsid w:val="008536D0"/>
    <w:rsid w:val="0085377F"/>
    <w:rsid w:val="008538BD"/>
    <w:rsid w:val="00853A3A"/>
    <w:rsid w:val="00853B7C"/>
    <w:rsid w:val="00853DEB"/>
    <w:rsid w:val="008541D4"/>
    <w:rsid w:val="008542C1"/>
    <w:rsid w:val="00854324"/>
    <w:rsid w:val="0085438A"/>
    <w:rsid w:val="00854476"/>
    <w:rsid w:val="008545F0"/>
    <w:rsid w:val="0085466E"/>
    <w:rsid w:val="0085485F"/>
    <w:rsid w:val="0085490D"/>
    <w:rsid w:val="00854960"/>
    <w:rsid w:val="00854962"/>
    <w:rsid w:val="00854A55"/>
    <w:rsid w:val="00854C42"/>
    <w:rsid w:val="00854CAA"/>
    <w:rsid w:val="0085504A"/>
    <w:rsid w:val="008552EC"/>
    <w:rsid w:val="0085556A"/>
    <w:rsid w:val="008555A9"/>
    <w:rsid w:val="008555C7"/>
    <w:rsid w:val="00855611"/>
    <w:rsid w:val="008557C6"/>
    <w:rsid w:val="008558EC"/>
    <w:rsid w:val="0085599C"/>
    <w:rsid w:val="00855A07"/>
    <w:rsid w:val="00855B2F"/>
    <w:rsid w:val="00855BE1"/>
    <w:rsid w:val="00855DA4"/>
    <w:rsid w:val="00855F8B"/>
    <w:rsid w:val="00855FC5"/>
    <w:rsid w:val="00856071"/>
    <w:rsid w:val="00856405"/>
    <w:rsid w:val="00856561"/>
    <w:rsid w:val="00856668"/>
    <w:rsid w:val="0085669B"/>
    <w:rsid w:val="008566FE"/>
    <w:rsid w:val="0085675A"/>
    <w:rsid w:val="008568D0"/>
    <w:rsid w:val="00856C22"/>
    <w:rsid w:val="00856C38"/>
    <w:rsid w:val="00856C58"/>
    <w:rsid w:val="00856C96"/>
    <w:rsid w:val="00856CF2"/>
    <w:rsid w:val="00856D3C"/>
    <w:rsid w:val="00856EB3"/>
    <w:rsid w:val="00856FC4"/>
    <w:rsid w:val="008570A6"/>
    <w:rsid w:val="0085752B"/>
    <w:rsid w:val="00857581"/>
    <w:rsid w:val="008575A6"/>
    <w:rsid w:val="0085762A"/>
    <w:rsid w:val="00857674"/>
    <w:rsid w:val="008576F5"/>
    <w:rsid w:val="00857817"/>
    <w:rsid w:val="008579B4"/>
    <w:rsid w:val="00857AEB"/>
    <w:rsid w:val="00857DB2"/>
    <w:rsid w:val="00857F20"/>
    <w:rsid w:val="00857F44"/>
    <w:rsid w:val="00857F4D"/>
    <w:rsid w:val="00857FAF"/>
    <w:rsid w:val="00857FC8"/>
    <w:rsid w:val="00860010"/>
    <w:rsid w:val="0086008E"/>
    <w:rsid w:val="008600EA"/>
    <w:rsid w:val="00860203"/>
    <w:rsid w:val="00860205"/>
    <w:rsid w:val="00860226"/>
    <w:rsid w:val="008602F1"/>
    <w:rsid w:val="00860725"/>
    <w:rsid w:val="008607D2"/>
    <w:rsid w:val="00860A3D"/>
    <w:rsid w:val="00860AE5"/>
    <w:rsid w:val="00860B32"/>
    <w:rsid w:val="00860D15"/>
    <w:rsid w:val="00860D20"/>
    <w:rsid w:val="00860D79"/>
    <w:rsid w:val="00860E33"/>
    <w:rsid w:val="00860F7D"/>
    <w:rsid w:val="00860F8A"/>
    <w:rsid w:val="00860FA7"/>
    <w:rsid w:val="008613B5"/>
    <w:rsid w:val="00861410"/>
    <w:rsid w:val="00861430"/>
    <w:rsid w:val="00861614"/>
    <w:rsid w:val="00861738"/>
    <w:rsid w:val="00861991"/>
    <w:rsid w:val="00861A44"/>
    <w:rsid w:val="00861ADB"/>
    <w:rsid w:val="00861B5C"/>
    <w:rsid w:val="00861CE9"/>
    <w:rsid w:val="00861D1E"/>
    <w:rsid w:val="00861F05"/>
    <w:rsid w:val="00861F8E"/>
    <w:rsid w:val="00862177"/>
    <w:rsid w:val="00862254"/>
    <w:rsid w:val="00862320"/>
    <w:rsid w:val="0086238C"/>
    <w:rsid w:val="0086238E"/>
    <w:rsid w:val="008623EF"/>
    <w:rsid w:val="00862507"/>
    <w:rsid w:val="00862702"/>
    <w:rsid w:val="0086279A"/>
    <w:rsid w:val="0086284D"/>
    <w:rsid w:val="00862862"/>
    <w:rsid w:val="0086288F"/>
    <w:rsid w:val="00862C48"/>
    <w:rsid w:val="00862D24"/>
    <w:rsid w:val="00862DBD"/>
    <w:rsid w:val="00862DC6"/>
    <w:rsid w:val="00862EEE"/>
    <w:rsid w:val="00863130"/>
    <w:rsid w:val="008631F7"/>
    <w:rsid w:val="0086325E"/>
    <w:rsid w:val="0086341A"/>
    <w:rsid w:val="00863469"/>
    <w:rsid w:val="008634D7"/>
    <w:rsid w:val="008634EF"/>
    <w:rsid w:val="0086360B"/>
    <w:rsid w:val="00863828"/>
    <w:rsid w:val="0086386C"/>
    <w:rsid w:val="00863942"/>
    <w:rsid w:val="00863968"/>
    <w:rsid w:val="00863A2B"/>
    <w:rsid w:val="00863AB2"/>
    <w:rsid w:val="00863C38"/>
    <w:rsid w:val="00863DD1"/>
    <w:rsid w:val="00864014"/>
    <w:rsid w:val="00864034"/>
    <w:rsid w:val="008641ED"/>
    <w:rsid w:val="008642C0"/>
    <w:rsid w:val="00864493"/>
    <w:rsid w:val="008645FF"/>
    <w:rsid w:val="008646F9"/>
    <w:rsid w:val="00864700"/>
    <w:rsid w:val="008647EB"/>
    <w:rsid w:val="008648DA"/>
    <w:rsid w:val="00864A54"/>
    <w:rsid w:val="00864AC6"/>
    <w:rsid w:val="00864B41"/>
    <w:rsid w:val="00864BB5"/>
    <w:rsid w:val="0086551A"/>
    <w:rsid w:val="0086571C"/>
    <w:rsid w:val="0086572F"/>
    <w:rsid w:val="0086574F"/>
    <w:rsid w:val="00865868"/>
    <w:rsid w:val="008658CF"/>
    <w:rsid w:val="00865901"/>
    <w:rsid w:val="0086593F"/>
    <w:rsid w:val="00865A30"/>
    <w:rsid w:val="00865A89"/>
    <w:rsid w:val="00865AA3"/>
    <w:rsid w:val="00865B97"/>
    <w:rsid w:val="00865BAC"/>
    <w:rsid w:val="00865C81"/>
    <w:rsid w:val="00865FC3"/>
    <w:rsid w:val="008660A0"/>
    <w:rsid w:val="008660CA"/>
    <w:rsid w:val="008660DA"/>
    <w:rsid w:val="008661ED"/>
    <w:rsid w:val="0086623D"/>
    <w:rsid w:val="00866334"/>
    <w:rsid w:val="0086647D"/>
    <w:rsid w:val="0086650C"/>
    <w:rsid w:val="00866611"/>
    <w:rsid w:val="008667A1"/>
    <w:rsid w:val="008667CD"/>
    <w:rsid w:val="00866809"/>
    <w:rsid w:val="00866845"/>
    <w:rsid w:val="00866A5D"/>
    <w:rsid w:val="00866C50"/>
    <w:rsid w:val="00866C83"/>
    <w:rsid w:val="00866E4C"/>
    <w:rsid w:val="00866E82"/>
    <w:rsid w:val="00867026"/>
    <w:rsid w:val="008670C1"/>
    <w:rsid w:val="0086734C"/>
    <w:rsid w:val="0086736D"/>
    <w:rsid w:val="00867541"/>
    <w:rsid w:val="00867568"/>
    <w:rsid w:val="00867582"/>
    <w:rsid w:val="00867619"/>
    <w:rsid w:val="00867B5C"/>
    <w:rsid w:val="00867BE0"/>
    <w:rsid w:val="00867BEF"/>
    <w:rsid w:val="00867C09"/>
    <w:rsid w:val="00867C2B"/>
    <w:rsid w:val="00867D26"/>
    <w:rsid w:val="00867D2C"/>
    <w:rsid w:val="00867D5A"/>
    <w:rsid w:val="00867E75"/>
    <w:rsid w:val="00867EAE"/>
    <w:rsid w:val="00867F1A"/>
    <w:rsid w:val="00870020"/>
    <w:rsid w:val="00870175"/>
    <w:rsid w:val="0087027E"/>
    <w:rsid w:val="00870539"/>
    <w:rsid w:val="00870671"/>
    <w:rsid w:val="008706A9"/>
    <w:rsid w:val="00870868"/>
    <w:rsid w:val="008708AE"/>
    <w:rsid w:val="00870B8E"/>
    <w:rsid w:val="00870CE8"/>
    <w:rsid w:val="00870FA4"/>
    <w:rsid w:val="00871255"/>
    <w:rsid w:val="0087131F"/>
    <w:rsid w:val="0087137B"/>
    <w:rsid w:val="00871380"/>
    <w:rsid w:val="00871597"/>
    <w:rsid w:val="008715E0"/>
    <w:rsid w:val="00871905"/>
    <w:rsid w:val="00871A22"/>
    <w:rsid w:val="00871B32"/>
    <w:rsid w:val="00871B5E"/>
    <w:rsid w:val="00871EF3"/>
    <w:rsid w:val="00871F33"/>
    <w:rsid w:val="008724E5"/>
    <w:rsid w:val="008726EE"/>
    <w:rsid w:val="0087299D"/>
    <w:rsid w:val="008729AF"/>
    <w:rsid w:val="00872AC5"/>
    <w:rsid w:val="00872BC5"/>
    <w:rsid w:val="00872CDD"/>
    <w:rsid w:val="00873267"/>
    <w:rsid w:val="0087373C"/>
    <w:rsid w:val="008737E6"/>
    <w:rsid w:val="008739D9"/>
    <w:rsid w:val="00873A87"/>
    <w:rsid w:val="00873B4D"/>
    <w:rsid w:val="00873BC1"/>
    <w:rsid w:val="00873D02"/>
    <w:rsid w:val="00873D3B"/>
    <w:rsid w:val="00873E17"/>
    <w:rsid w:val="008742A7"/>
    <w:rsid w:val="00874326"/>
    <w:rsid w:val="0087435C"/>
    <w:rsid w:val="008744BE"/>
    <w:rsid w:val="00874CF1"/>
    <w:rsid w:val="00874D47"/>
    <w:rsid w:val="00875235"/>
    <w:rsid w:val="00875253"/>
    <w:rsid w:val="00875340"/>
    <w:rsid w:val="0087538D"/>
    <w:rsid w:val="00875441"/>
    <w:rsid w:val="008755CF"/>
    <w:rsid w:val="00875676"/>
    <w:rsid w:val="00875876"/>
    <w:rsid w:val="00875DB4"/>
    <w:rsid w:val="00875DD6"/>
    <w:rsid w:val="00876030"/>
    <w:rsid w:val="0087605C"/>
    <w:rsid w:val="0087607D"/>
    <w:rsid w:val="00876095"/>
    <w:rsid w:val="008762EB"/>
    <w:rsid w:val="008764A6"/>
    <w:rsid w:val="00876554"/>
    <w:rsid w:val="00876970"/>
    <w:rsid w:val="008769C9"/>
    <w:rsid w:val="008769CF"/>
    <w:rsid w:val="00876B7F"/>
    <w:rsid w:val="00876C0D"/>
    <w:rsid w:val="00876ECC"/>
    <w:rsid w:val="0087733B"/>
    <w:rsid w:val="0087744D"/>
    <w:rsid w:val="008775F9"/>
    <w:rsid w:val="008777FC"/>
    <w:rsid w:val="008778CC"/>
    <w:rsid w:val="0087797A"/>
    <w:rsid w:val="00877CAF"/>
    <w:rsid w:val="00877DB8"/>
    <w:rsid w:val="00877EED"/>
    <w:rsid w:val="00877F20"/>
    <w:rsid w:val="0088025D"/>
    <w:rsid w:val="0088033F"/>
    <w:rsid w:val="008803EC"/>
    <w:rsid w:val="00880418"/>
    <w:rsid w:val="0088061E"/>
    <w:rsid w:val="00880701"/>
    <w:rsid w:val="008807CD"/>
    <w:rsid w:val="00880850"/>
    <w:rsid w:val="00880935"/>
    <w:rsid w:val="00880B12"/>
    <w:rsid w:val="00880D6B"/>
    <w:rsid w:val="00880E68"/>
    <w:rsid w:val="00880EA9"/>
    <w:rsid w:val="00880F97"/>
    <w:rsid w:val="00881146"/>
    <w:rsid w:val="008812AC"/>
    <w:rsid w:val="0088132E"/>
    <w:rsid w:val="00881355"/>
    <w:rsid w:val="008813C7"/>
    <w:rsid w:val="00881412"/>
    <w:rsid w:val="00881442"/>
    <w:rsid w:val="008815AE"/>
    <w:rsid w:val="00881BDC"/>
    <w:rsid w:val="00881DCA"/>
    <w:rsid w:val="00881DD9"/>
    <w:rsid w:val="00881F0F"/>
    <w:rsid w:val="0088208C"/>
    <w:rsid w:val="008820F8"/>
    <w:rsid w:val="00882419"/>
    <w:rsid w:val="008826F5"/>
    <w:rsid w:val="0088270E"/>
    <w:rsid w:val="00882E3A"/>
    <w:rsid w:val="00882E42"/>
    <w:rsid w:val="00882F68"/>
    <w:rsid w:val="008831D1"/>
    <w:rsid w:val="008832A3"/>
    <w:rsid w:val="0088334A"/>
    <w:rsid w:val="00883550"/>
    <w:rsid w:val="0088370A"/>
    <w:rsid w:val="008838F5"/>
    <w:rsid w:val="0088393B"/>
    <w:rsid w:val="00883C9C"/>
    <w:rsid w:val="00883CA6"/>
    <w:rsid w:val="00883CB7"/>
    <w:rsid w:val="00883D0D"/>
    <w:rsid w:val="00883D30"/>
    <w:rsid w:val="00883EE7"/>
    <w:rsid w:val="00884083"/>
    <w:rsid w:val="008840E1"/>
    <w:rsid w:val="00884180"/>
    <w:rsid w:val="00884189"/>
    <w:rsid w:val="00884221"/>
    <w:rsid w:val="0088452B"/>
    <w:rsid w:val="008845B6"/>
    <w:rsid w:val="008845CE"/>
    <w:rsid w:val="0088482F"/>
    <w:rsid w:val="008849C5"/>
    <w:rsid w:val="00884AA6"/>
    <w:rsid w:val="00884D0C"/>
    <w:rsid w:val="00884DA4"/>
    <w:rsid w:val="00884E21"/>
    <w:rsid w:val="00884E4A"/>
    <w:rsid w:val="00884F94"/>
    <w:rsid w:val="0088505D"/>
    <w:rsid w:val="008850C0"/>
    <w:rsid w:val="00885299"/>
    <w:rsid w:val="00885461"/>
    <w:rsid w:val="008857C7"/>
    <w:rsid w:val="008857E0"/>
    <w:rsid w:val="008859C4"/>
    <w:rsid w:val="00885A38"/>
    <w:rsid w:val="00885B45"/>
    <w:rsid w:val="00885B4E"/>
    <w:rsid w:val="00885B9B"/>
    <w:rsid w:val="00885BC4"/>
    <w:rsid w:val="00885D89"/>
    <w:rsid w:val="0088652A"/>
    <w:rsid w:val="00886618"/>
    <w:rsid w:val="00886659"/>
    <w:rsid w:val="008866E0"/>
    <w:rsid w:val="008868B3"/>
    <w:rsid w:val="008868D5"/>
    <w:rsid w:val="00886916"/>
    <w:rsid w:val="008869D9"/>
    <w:rsid w:val="00886D44"/>
    <w:rsid w:val="00886EF4"/>
    <w:rsid w:val="008870C0"/>
    <w:rsid w:val="008870F9"/>
    <w:rsid w:val="008872D7"/>
    <w:rsid w:val="0088746E"/>
    <w:rsid w:val="0088756F"/>
    <w:rsid w:val="0088761F"/>
    <w:rsid w:val="00887662"/>
    <w:rsid w:val="0088779A"/>
    <w:rsid w:val="008878EF"/>
    <w:rsid w:val="008879BF"/>
    <w:rsid w:val="00887A01"/>
    <w:rsid w:val="00887A5A"/>
    <w:rsid w:val="00887C23"/>
    <w:rsid w:val="00887CC8"/>
    <w:rsid w:val="00887E3B"/>
    <w:rsid w:val="008900B7"/>
    <w:rsid w:val="0089028E"/>
    <w:rsid w:val="008902D6"/>
    <w:rsid w:val="0089071D"/>
    <w:rsid w:val="00890944"/>
    <w:rsid w:val="0089099A"/>
    <w:rsid w:val="00890A52"/>
    <w:rsid w:val="00890BFF"/>
    <w:rsid w:val="00890CA0"/>
    <w:rsid w:val="00890DF1"/>
    <w:rsid w:val="00890F15"/>
    <w:rsid w:val="00890F1D"/>
    <w:rsid w:val="00890F91"/>
    <w:rsid w:val="0089106C"/>
    <w:rsid w:val="008910EE"/>
    <w:rsid w:val="00891111"/>
    <w:rsid w:val="008911B7"/>
    <w:rsid w:val="0089131D"/>
    <w:rsid w:val="00891470"/>
    <w:rsid w:val="00891565"/>
    <w:rsid w:val="0089162F"/>
    <w:rsid w:val="00891786"/>
    <w:rsid w:val="008918F0"/>
    <w:rsid w:val="00891ABB"/>
    <w:rsid w:val="00891D14"/>
    <w:rsid w:val="00891D15"/>
    <w:rsid w:val="00891E4E"/>
    <w:rsid w:val="00891E88"/>
    <w:rsid w:val="00891EF9"/>
    <w:rsid w:val="008920DA"/>
    <w:rsid w:val="008921EB"/>
    <w:rsid w:val="0089246E"/>
    <w:rsid w:val="00892471"/>
    <w:rsid w:val="0089272B"/>
    <w:rsid w:val="00892752"/>
    <w:rsid w:val="00892824"/>
    <w:rsid w:val="0089286B"/>
    <w:rsid w:val="00892920"/>
    <w:rsid w:val="0089295F"/>
    <w:rsid w:val="00892A5F"/>
    <w:rsid w:val="00892B41"/>
    <w:rsid w:val="00892B96"/>
    <w:rsid w:val="00892BFE"/>
    <w:rsid w:val="00892C83"/>
    <w:rsid w:val="00892D38"/>
    <w:rsid w:val="00892DCB"/>
    <w:rsid w:val="00892E1E"/>
    <w:rsid w:val="00892EBB"/>
    <w:rsid w:val="00892F58"/>
    <w:rsid w:val="00893050"/>
    <w:rsid w:val="00893069"/>
    <w:rsid w:val="00893079"/>
    <w:rsid w:val="008930EB"/>
    <w:rsid w:val="0089314C"/>
    <w:rsid w:val="00893400"/>
    <w:rsid w:val="008934D3"/>
    <w:rsid w:val="008937CD"/>
    <w:rsid w:val="008937DF"/>
    <w:rsid w:val="00893866"/>
    <w:rsid w:val="00893BED"/>
    <w:rsid w:val="00893DCD"/>
    <w:rsid w:val="00893E28"/>
    <w:rsid w:val="00893F00"/>
    <w:rsid w:val="00894073"/>
    <w:rsid w:val="00894202"/>
    <w:rsid w:val="0089421F"/>
    <w:rsid w:val="00894252"/>
    <w:rsid w:val="0089468D"/>
    <w:rsid w:val="0089478D"/>
    <w:rsid w:val="00894958"/>
    <w:rsid w:val="008949B1"/>
    <w:rsid w:val="00894A18"/>
    <w:rsid w:val="00894AFE"/>
    <w:rsid w:val="00894B28"/>
    <w:rsid w:val="00894C5A"/>
    <w:rsid w:val="00894E64"/>
    <w:rsid w:val="00894EB0"/>
    <w:rsid w:val="00894EE0"/>
    <w:rsid w:val="00894FE0"/>
    <w:rsid w:val="008950DD"/>
    <w:rsid w:val="00895236"/>
    <w:rsid w:val="008952D6"/>
    <w:rsid w:val="0089560A"/>
    <w:rsid w:val="00895757"/>
    <w:rsid w:val="0089592E"/>
    <w:rsid w:val="00895D95"/>
    <w:rsid w:val="00895F01"/>
    <w:rsid w:val="00895F5F"/>
    <w:rsid w:val="00896200"/>
    <w:rsid w:val="0089620A"/>
    <w:rsid w:val="00896294"/>
    <w:rsid w:val="00896378"/>
    <w:rsid w:val="00896508"/>
    <w:rsid w:val="00896634"/>
    <w:rsid w:val="00896657"/>
    <w:rsid w:val="00896762"/>
    <w:rsid w:val="0089677A"/>
    <w:rsid w:val="0089685D"/>
    <w:rsid w:val="0089695C"/>
    <w:rsid w:val="00896A3A"/>
    <w:rsid w:val="00896A80"/>
    <w:rsid w:val="00896C80"/>
    <w:rsid w:val="00896D0E"/>
    <w:rsid w:val="00896D45"/>
    <w:rsid w:val="00896D93"/>
    <w:rsid w:val="00896DA4"/>
    <w:rsid w:val="00896E30"/>
    <w:rsid w:val="00896F12"/>
    <w:rsid w:val="00897116"/>
    <w:rsid w:val="008971BB"/>
    <w:rsid w:val="008971FE"/>
    <w:rsid w:val="0089725E"/>
    <w:rsid w:val="00897433"/>
    <w:rsid w:val="00897494"/>
    <w:rsid w:val="00897554"/>
    <w:rsid w:val="00897662"/>
    <w:rsid w:val="008977CA"/>
    <w:rsid w:val="0089790E"/>
    <w:rsid w:val="00897B74"/>
    <w:rsid w:val="00897BAB"/>
    <w:rsid w:val="00897C85"/>
    <w:rsid w:val="00897F10"/>
    <w:rsid w:val="00897F4E"/>
    <w:rsid w:val="00897F5E"/>
    <w:rsid w:val="008A007F"/>
    <w:rsid w:val="008A0316"/>
    <w:rsid w:val="008A03AF"/>
    <w:rsid w:val="008A03BD"/>
    <w:rsid w:val="008A040F"/>
    <w:rsid w:val="008A097C"/>
    <w:rsid w:val="008A0A9B"/>
    <w:rsid w:val="008A0CBC"/>
    <w:rsid w:val="008A0D7D"/>
    <w:rsid w:val="008A0F3A"/>
    <w:rsid w:val="008A0F4E"/>
    <w:rsid w:val="008A1214"/>
    <w:rsid w:val="008A1242"/>
    <w:rsid w:val="008A13A5"/>
    <w:rsid w:val="008A13D8"/>
    <w:rsid w:val="008A15AE"/>
    <w:rsid w:val="008A15BC"/>
    <w:rsid w:val="008A1838"/>
    <w:rsid w:val="008A1AB4"/>
    <w:rsid w:val="008A1BA4"/>
    <w:rsid w:val="008A1C7B"/>
    <w:rsid w:val="008A1CD1"/>
    <w:rsid w:val="008A1DE0"/>
    <w:rsid w:val="008A1E92"/>
    <w:rsid w:val="008A1FF9"/>
    <w:rsid w:val="008A1FFB"/>
    <w:rsid w:val="008A20E0"/>
    <w:rsid w:val="008A2305"/>
    <w:rsid w:val="008A23E8"/>
    <w:rsid w:val="008A268C"/>
    <w:rsid w:val="008A27D1"/>
    <w:rsid w:val="008A289A"/>
    <w:rsid w:val="008A2913"/>
    <w:rsid w:val="008A2B6E"/>
    <w:rsid w:val="008A2E93"/>
    <w:rsid w:val="008A2FDD"/>
    <w:rsid w:val="008A31A1"/>
    <w:rsid w:val="008A3266"/>
    <w:rsid w:val="008A3381"/>
    <w:rsid w:val="008A35FF"/>
    <w:rsid w:val="008A364B"/>
    <w:rsid w:val="008A36F8"/>
    <w:rsid w:val="008A383A"/>
    <w:rsid w:val="008A3895"/>
    <w:rsid w:val="008A38C0"/>
    <w:rsid w:val="008A396E"/>
    <w:rsid w:val="008A3B19"/>
    <w:rsid w:val="008A3C77"/>
    <w:rsid w:val="008A3ED0"/>
    <w:rsid w:val="008A3F02"/>
    <w:rsid w:val="008A3F50"/>
    <w:rsid w:val="008A43D2"/>
    <w:rsid w:val="008A4595"/>
    <w:rsid w:val="008A45B7"/>
    <w:rsid w:val="008A45B9"/>
    <w:rsid w:val="008A486D"/>
    <w:rsid w:val="008A4A6C"/>
    <w:rsid w:val="008A4BEC"/>
    <w:rsid w:val="008A511C"/>
    <w:rsid w:val="008A5304"/>
    <w:rsid w:val="008A5436"/>
    <w:rsid w:val="008A5459"/>
    <w:rsid w:val="008A55D6"/>
    <w:rsid w:val="008A5733"/>
    <w:rsid w:val="008A5871"/>
    <w:rsid w:val="008A5A3D"/>
    <w:rsid w:val="008A5B83"/>
    <w:rsid w:val="008A5CA9"/>
    <w:rsid w:val="008A5E20"/>
    <w:rsid w:val="008A5E67"/>
    <w:rsid w:val="008A5F20"/>
    <w:rsid w:val="008A60D0"/>
    <w:rsid w:val="008A622B"/>
    <w:rsid w:val="008A6515"/>
    <w:rsid w:val="008A65E5"/>
    <w:rsid w:val="008A670C"/>
    <w:rsid w:val="008A6764"/>
    <w:rsid w:val="008A677B"/>
    <w:rsid w:val="008A68E7"/>
    <w:rsid w:val="008A694F"/>
    <w:rsid w:val="008A6950"/>
    <w:rsid w:val="008A6A19"/>
    <w:rsid w:val="008A6B31"/>
    <w:rsid w:val="008A6B58"/>
    <w:rsid w:val="008A7118"/>
    <w:rsid w:val="008A718D"/>
    <w:rsid w:val="008A7191"/>
    <w:rsid w:val="008A71E3"/>
    <w:rsid w:val="008A7283"/>
    <w:rsid w:val="008A73E3"/>
    <w:rsid w:val="008A74AD"/>
    <w:rsid w:val="008A7971"/>
    <w:rsid w:val="008A7A28"/>
    <w:rsid w:val="008A7B92"/>
    <w:rsid w:val="008A7BDA"/>
    <w:rsid w:val="008A7CBD"/>
    <w:rsid w:val="008A7D3F"/>
    <w:rsid w:val="008A7F14"/>
    <w:rsid w:val="008B015F"/>
    <w:rsid w:val="008B0231"/>
    <w:rsid w:val="008B0335"/>
    <w:rsid w:val="008B04CE"/>
    <w:rsid w:val="008B0528"/>
    <w:rsid w:val="008B055F"/>
    <w:rsid w:val="008B0568"/>
    <w:rsid w:val="008B05A2"/>
    <w:rsid w:val="008B064A"/>
    <w:rsid w:val="008B094D"/>
    <w:rsid w:val="008B0B32"/>
    <w:rsid w:val="008B0B3C"/>
    <w:rsid w:val="008B0C4B"/>
    <w:rsid w:val="008B0CC8"/>
    <w:rsid w:val="008B1097"/>
    <w:rsid w:val="008B10FA"/>
    <w:rsid w:val="008B1144"/>
    <w:rsid w:val="008B11AC"/>
    <w:rsid w:val="008B1237"/>
    <w:rsid w:val="008B14BB"/>
    <w:rsid w:val="008B14C8"/>
    <w:rsid w:val="008B173A"/>
    <w:rsid w:val="008B1825"/>
    <w:rsid w:val="008B184B"/>
    <w:rsid w:val="008B1BD2"/>
    <w:rsid w:val="008B1D8C"/>
    <w:rsid w:val="008B1E42"/>
    <w:rsid w:val="008B1F19"/>
    <w:rsid w:val="008B1F2A"/>
    <w:rsid w:val="008B2111"/>
    <w:rsid w:val="008B235E"/>
    <w:rsid w:val="008B2408"/>
    <w:rsid w:val="008B24DF"/>
    <w:rsid w:val="008B26D4"/>
    <w:rsid w:val="008B2721"/>
    <w:rsid w:val="008B27B1"/>
    <w:rsid w:val="008B27FD"/>
    <w:rsid w:val="008B29B6"/>
    <w:rsid w:val="008B2AB8"/>
    <w:rsid w:val="008B2ACB"/>
    <w:rsid w:val="008B2C5C"/>
    <w:rsid w:val="008B2E17"/>
    <w:rsid w:val="008B2EF6"/>
    <w:rsid w:val="008B323B"/>
    <w:rsid w:val="008B3356"/>
    <w:rsid w:val="008B3456"/>
    <w:rsid w:val="008B35D1"/>
    <w:rsid w:val="008B36A0"/>
    <w:rsid w:val="008B3839"/>
    <w:rsid w:val="008B3869"/>
    <w:rsid w:val="008B3970"/>
    <w:rsid w:val="008B3995"/>
    <w:rsid w:val="008B39A8"/>
    <w:rsid w:val="008B3EEF"/>
    <w:rsid w:val="008B4056"/>
    <w:rsid w:val="008B4269"/>
    <w:rsid w:val="008B4287"/>
    <w:rsid w:val="008B4310"/>
    <w:rsid w:val="008B436A"/>
    <w:rsid w:val="008B44DB"/>
    <w:rsid w:val="008B452A"/>
    <w:rsid w:val="008B454C"/>
    <w:rsid w:val="008B4658"/>
    <w:rsid w:val="008B4871"/>
    <w:rsid w:val="008B4933"/>
    <w:rsid w:val="008B4B08"/>
    <w:rsid w:val="008B4B6F"/>
    <w:rsid w:val="008B4BF2"/>
    <w:rsid w:val="008B4DE7"/>
    <w:rsid w:val="008B50D8"/>
    <w:rsid w:val="008B50E4"/>
    <w:rsid w:val="008B5123"/>
    <w:rsid w:val="008B5136"/>
    <w:rsid w:val="008B5176"/>
    <w:rsid w:val="008B518D"/>
    <w:rsid w:val="008B51AF"/>
    <w:rsid w:val="008B51F3"/>
    <w:rsid w:val="008B5227"/>
    <w:rsid w:val="008B531C"/>
    <w:rsid w:val="008B532E"/>
    <w:rsid w:val="008B55F6"/>
    <w:rsid w:val="008B5607"/>
    <w:rsid w:val="008B58DA"/>
    <w:rsid w:val="008B591A"/>
    <w:rsid w:val="008B5989"/>
    <w:rsid w:val="008B59EC"/>
    <w:rsid w:val="008B5B24"/>
    <w:rsid w:val="008B5B5E"/>
    <w:rsid w:val="008B5BFC"/>
    <w:rsid w:val="008B5CFD"/>
    <w:rsid w:val="008B62B6"/>
    <w:rsid w:val="008B6452"/>
    <w:rsid w:val="008B6459"/>
    <w:rsid w:val="008B64D7"/>
    <w:rsid w:val="008B652F"/>
    <w:rsid w:val="008B6641"/>
    <w:rsid w:val="008B665E"/>
    <w:rsid w:val="008B6672"/>
    <w:rsid w:val="008B67C9"/>
    <w:rsid w:val="008B689F"/>
    <w:rsid w:val="008B68F7"/>
    <w:rsid w:val="008B698C"/>
    <w:rsid w:val="008B6A2C"/>
    <w:rsid w:val="008B6A76"/>
    <w:rsid w:val="008B6AF9"/>
    <w:rsid w:val="008B6C10"/>
    <w:rsid w:val="008B6E9E"/>
    <w:rsid w:val="008B6EDA"/>
    <w:rsid w:val="008B70DD"/>
    <w:rsid w:val="008B70EE"/>
    <w:rsid w:val="008B71BE"/>
    <w:rsid w:val="008B720B"/>
    <w:rsid w:val="008B726D"/>
    <w:rsid w:val="008B72F6"/>
    <w:rsid w:val="008B73DD"/>
    <w:rsid w:val="008B741E"/>
    <w:rsid w:val="008B75C7"/>
    <w:rsid w:val="008B766C"/>
    <w:rsid w:val="008B7773"/>
    <w:rsid w:val="008B782E"/>
    <w:rsid w:val="008B78E7"/>
    <w:rsid w:val="008B796F"/>
    <w:rsid w:val="008B7BF5"/>
    <w:rsid w:val="008B7EB7"/>
    <w:rsid w:val="008B7F00"/>
    <w:rsid w:val="008C00B5"/>
    <w:rsid w:val="008C0436"/>
    <w:rsid w:val="008C0543"/>
    <w:rsid w:val="008C05FD"/>
    <w:rsid w:val="008C0692"/>
    <w:rsid w:val="008C06EF"/>
    <w:rsid w:val="008C09B0"/>
    <w:rsid w:val="008C0A08"/>
    <w:rsid w:val="008C0C21"/>
    <w:rsid w:val="008C0DA6"/>
    <w:rsid w:val="008C0DBC"/>
    <w:rsid w:val="008C0EA3"/>
    <w:rsid w:val="008C10AF"/>
    <w:rsid w:val="008C116C"/>
    <w:rsid w:val="008C1516"/>
    <w:rsid w:val="008C16C9"/>
    <w:rsid w:val="008C1777"/>
    <w:rsid w:val="008C17FD"/>
    <w:rsid w:val="008C1836"/>
    <w:rsid w:val="008C1A45"/>
    <w:rsid w:val="008C1C0D"/>
    <w:rsid w:val="008C1E12"/>
    <w:rsid w:val="008C1E37"/>
    <w:rsid w:val="008C2038"/>
    <w:rsid w:val="008C2085"/>
    <w:rsid w:val="008C20A0"/>
    <w:rsid w:val="008C20D0"/>
    <w:rsid w:val="008C217A"/>
    <w:rsid w:val="008C2444"/>
    <w:rsid w:val="008C24BF"/>
    <w:rsid w:val="008C24EA"/>
    <w:rsid w:val="008C29B0"/>
    <w:rsid w:val="008C2AD6"/>
    <w:rsid w:val="008C2B3C"/>
    <w:rsid w:val="008C2BB0"/>
    <w:rsid w:val="008C2C1A"/>
    <w:rsid w:val="008C2C54"/>
    <w:rsid w:val="008C2D42"/>
    <w:rsid w:val="008C2DC3"/>
    <w:rsid w:val="008C2E1F"/>
    <w:rsid w:val="008C2EE5"/>
    <w:rsid w:val="008C2EFC"/>
    <w:rsid w:val="008C2FE3"/>
    <w:rsid w:val="008C3143"/>
    <w:rsid w:val="008C3170"/>
    <w:rsid w:val="008C3239"/>
    <w:rsid w:val="008C3442"/>
    <w:rsid w:val="008C349D"/>
    <w:rsid w:val="008C3551"/>
    <w:rsid w:val="008C3606"/>
    <w:rsid w:val="008C3791"/>
    <w:rsid w:val="008C37DC"/>
    <w:rsid w:val="008C3801"/>
    <w:rsid w:val="008C38FB"/>
    <w:rsid w:val="008C399E"/>
    <w:rsid w:val="008C3A6F"/>
    <w:rsid w:val="008C3D2F"/>
    <w:rsid w:val="008C3EB9"/>
    <w:rsid w:val="008C3FF5"/>
    <w:rsid w:val="008C401C"/>
    <w:rsid w:val="008C4192"/>
    <w:rsid w:val="008C4255"/>
    <w:rsid w:val="008C43DD"/>
    <w:rsid w:val="008C4413"/>
    <w:rsid w:val="008C4660"/>
    <w:rsid w:val="008C4693"/>
    <w:rsid w:val="008C46F7"/>
    <w:rsid w:val="008C4860"/>
    <w:rsid w:val="008C495A"/>
    <w:rsid w:val="008C4B97"/>
    <w:rsid w:val="008C4DB9"/>
    <w:rsid w:val="008C4E6E"/>
    <w:rsid w:val="008C4F05"/>
    <w:rsid w:val="008C4FFD"/>
    <w:rsid w:val="008C5059"/>
    <w:rsid w:val="008C5178"/>
    <w:rsid w:val="008C526B"/>
    <w:rsid w:val="008C52EF"/>
    <w:rsid w:val="008C5654"/>
    <w:rsid w:val="008C5669"/>
    <w:rsid w:val="008C56D3"/>
    <w:rsid w:val="008C5743"/>
    <w:rsid w:val="008C5745"/>
    <w:rsid w:val="008C57BE"/>
    <w:rsid w:val="008C58A3"/>
    <w:rsid w:val="008C5A2B"/>
    <w:rsid w:val="008C5AC2"/>
    <w:rsid w:val="008C5B4B"/>
    <w:rsid w:val="008C5BBB"/>
    <w:rsid w:val="008C5C04"/>
    <w:rsid w:val="008C6119"/>
    <w:rsid w:val="008C6246"/>
    <w:rsid w:val="008C62E7"/>
    <w:rsid w:val="008C6320"/>
    <w:rsid w:val="008C65CF"/>
    <w:rsid w:val="008C661A"/>
    <w:rsid w:val="008C66D2"/>
    <w:rsid w:val="008C6A3B"/>
    <w:rsid w:val="008C6A43"/>
    <w:rsid w:val="008C6A77"/>
    <w:rsid w:val="008C6C5A"/>
    <w:rsid w:val="008C6E62"/>
    <w:rsid w:val="008C6F4D"/>
    <w:rsid w:val="008C7145"/>
    <w:rsid w:val="008C75E3"/>
    <w:rsid w:val="008C7783"/>
    <w:rsid w:val="008C797C"/>
    <w:rsid w:val="008C79E7"/>
    <w:rsid w:val="008C7CC9"/>
    <w:rsid w:val="008C7D5A"/>
    <w:rsid w:val="008C7F0B"/>
    <w:rsid w:val="008C7FD7"/>
    <w:rsid w:val="008D00D4"/>
    <w:rsid w:val="008D03C7"/>
    <w:rsid w:val="008D04E8"/>
    <w:rsid w:val="008D051E"/>
    <w:rsid w:val="008D0663"/>
    <w:rsid w:val="008D06AB"/>
    <w:rsid w:val="008D0932"/>
    <w:rsid w:val="008D0B23"/>
    <w:rsid w:val="008D0BF9"/>
    <w:rsid w:val="008D0C5C"/>
    <w:rsid w:val="008D0D76"/>
    <w:rsid w:val="008D0DE5"/>
    <w:rsid w:val="008D0F66"/>
    <w:rsid w:val="008D0FE4"/>
    <w:rsid w:val="008D0FF5"/>
    <w:rsid w:val="008D10E9"/>
    <w:rsid w:val="008D1105"/>
    <w:rsid w:val="008D121F"/>
    <w:rsid w:val="008D13BE"/>
    <w:rsid w:val="008D155E"/>
    <w:rsid w:val="008D192E"/>
    <w:rsid w:val="008D1C6F"/>
    <w:rsid w:val="008D1D66"/>
    <w:rsid w:val="008D230E"/>
    <w:rsid w:val="008D237B"/>
    <w:rsid w:val="008D2442"/>
    <w:rsid w:val="008D24CC"/>
    <w:rsid w:val="008D2798"/>
    <w:rsid w:val="008D27DE"/>
    <w:rsid w:val="008D2A04"/>
    <w:rsid w:val="008D2A6E"/>
    <w:rsid w:val="008D2B87"/>
    <w:rsid w:val="008D2D38"/>
    <w:rsid w:val="008D2DC0"/>
    <w:rsid w:val="008D2E35"/>
    <w:rsid w:val="008D30C6"/>
    <w:rsid w:val="008D3350"/>
    <w:rsid w:val="008D33E6"/>
    <w:rsid w:val="008D34D0"/>
    <w:rsid w:val="008D3624"/>
    <w:rsid w:val="008D3657"/>
    <w:rsid w:val="008D378F"/>
    <w:rsid w:val="008D386F"/>
    <w:rsid w:val="008D39DF"/>
    <w:rsid w:val="008D3B94"/>
    <w:rsid w:val="008D3E20"/>
    <w:rsid w:val="008D3E3E"/>
    <w:rsid w:val="008D3E9D"/>
    <w:rsid w:val="008D401C"/>
    <w:rsid w:val="008D42BD"/>
    <w:rsid w:val="008D42D8"/>
    <w:rsid w:val="008D450A"/>
    <w:rsid w:val="008D45F8"/>
    <w:rsid w:val="008D46CE"/>
    <w:rsid w:val="008D4709"/>
    <w:rsid w:val="008D47DA"/>
    <w:rsid w:val="008D480E"/>
    <w:rsid w:val="008D492B"/>
    <w:rsid w:val="008D4A66"/>
    <w:rsid w:val="008D4A79"/>
    <w:rsid w:val="008D4AD4"/>
    <w:rsid w:val="008D4BB2"/>
    <w:rsid w:val="008D4C59"/>
    <w:rsid w:val="008D4C8D"/>
    <w:rsid w:val="008D4E2E"/>
    <w:rsid w:val="008D4E68"/>
    <w:rsid w:val="008D4E9B"/>
    <w:rsid w:val="008D4FBF"/>
    <w:rsid w:val="008D4FD4"/>
    <w:rsid w:val="008D4FDF"/>
    <w:rsid w:val="008D50C3"/>
    <w:rsid w:val="008D5128"/>
    <w:rsid w:val="008D5495"/>
    <w:rsid w:val="008D5606"/>
    <w:rsid w:val="008D57EE"/>
    <w:rsid w:val="008D5832"/>
    <w:rsid w:val="008D594C"/>
    <w:rsid w:val="008D5A60"/>
    <w:rsid w:val="008D5B22"/>
    <w:rsid w:val="008D5B32"/>
    <w:rsid w:val="008D5BEE"/>
    <w:rsid w:val="008D5C0D"/>
    <w:rsid w:val="008D5C55"/>
    <w:rsid w:val="008D5C88"/>
    <w:rsid w:val="008D5CC7"/>
    <w:rsid w:val="008D6252"/>
    <w:rsid w:val="008D626F"/>
    <w:rsid w:val="008D63C2"/>
    <w:rsid w:val="008D6654"/>
    <w:rsid w:val="008D6888"/>
    <w:rsid w:val="008D68DC"/>
    <w:rsid w:val="008D68F8"/>
    <w:rsid w:val="008D69DA"/>
    <w:rsid w:val="008D6AE7"/>
    <w:rsid w:val="008D6DC9"/>
    <w:rsid w:val="008D6DCE"/>
    <w:rsid w:val="008D6E46"/>
    <w:rsid w:val="008D71AC"/>
    <w:rsid w:val="008D71B9"/>
    <w:rsid w:val="008D72EE"/>
    <w:rsid w:val="008D73B4"/>
    <w:rsid w:val="008D7593"/>
    <w:rsid w:val="008D75F3"/>
    <w:rsid w:val="008D7871"/>
    <w:rsid w:val="008D7987"/>
    <w:rsid w:val="008D79D3"/>
    <w:rsid w:val="008D7AD0"/>
    <w:rsid w:val="008D7C14"/>
    <w:rsid w:val="008D7C1F"/>
    <w:rsid w:val="008D7CEA"/>
    <w:rsid w:val="008D7DAA"/>
    <w:rsid w:val="008D7F17"/>
    <w:rsid w:val="008E0101"/>
    <w:rsid w:val="008E015B"/>
    <w:rsid w:val="008E02F8"/>
    <w:rsid w:val="008E04A1"/>
    <w:rsid w:val="008E0519"/>
    <w:rsid w:val="008E0600"/>
    <w:rsid w:val="008E0617"/>
    <w:rsid w:val="008E08AF"/>
    <w:rsid w:val="008E0A4F"/>
    <w:rsid w:val="008E0AA6"/>
    <w:rsid w:val="008E0B1E"/>
    <w:rsid w:val="008E0C59"/>
    <w:rsid w:val="008E0C69"/>
    <w:rsid w:val="008E0DF0"/>
    <w:rsid w:val="008E0E22"/>
    <w:rsid w:val="008E0FB4"/>
    <w:rsid w:val="008E1009"/>
    <w:rsid w:val="008E108D"/>
    <w:rsid w:val="008E11F8"/>
    <w:rsid w:val="008E1433"/>
    <w:rsid w:val="008E145B"/>
    <w:rsid w:val="008E188F"/>
    <w:rsid w:val="008E1934"/>
    <w:rsid w:val="008E19E6"/>
    <w:rsid w:val="008E1A9D"/>
    <w:rsid w:val="008E1C99"/>
    <w:rsid w:val="008E1D47"/>
    <w:rsid w:val="008E1DBF"/>
    <w:rsid w:val="008E1FC9"/>
    <w:rsid w:val="008E20F1"/>
    <w:rsid w:val="008E21D8"/>
    <w:rsid w:val="008E2305"/>
    <w:rsid w:val="008E2507"/>
    <w:rsid w:val="008E251A"/>
    <w:rsid w:val="008E259A"/>
    <w:rsid w:val="008E2667"/>
    <w:rsid w:val="008E27BB"/>
    <w:rsid w:val="008E294D"/>
    <w:rsid w:val="008E2954"/>
    <w:rsid w:val="008E2970"/>
    <w:rsid w:val="008E2999"/>
    <w:rsid w:val="008E29DE"/>
    <w:rsid w:val="008E2CC2"/>
    <w:rsid w:val="008E2D2F"/>
    <w:rsid w:val="008E2D90"/>
    <w:rsid w:val="008E2EC2"/>
    <w:rsid w:val="008E3261"/>
    <w:rsid w:val="008E32A0"/>
    <w:rsid w:val="008E3535"/>
    <w:rsid w:val="008E353F"/>
    <w:rsid w:val="008E3AE2"/>
    <w:rsid w:val="008E3F1E"/>
    <w:rsid w:val="008E3FCB"/>
    <w:rsid w:val="008E40C9"/>
    <w:rsid w:val="008E42C2"/>
    <w:rsid w:val="008E448B"/>
    <w:rsid w:val="008E44A8"/>
    <w:rsid w:val="008E44C3"/>
    <w:rsid w:val="008E45E1"/>
    <w:rsid w:val="008E4637"/>
    <w:rsid w:val="008E468C"/>
    <w:rsid w:val="008E46C6"/>
    <w:rsid w:val="008E47D3"/>
    <w:rsid w:val="008E4A20"/>
    <w:rsid w:val="008E4A53"/>
    <w:rsid w:val="008E4AF8"/>
    <w:rsid w:val="008E4BEE"/>
    <w:rsid w:val="008E4DA7"/>
    <w:rsid w:val="008E4EEA"/>
    <w:rsid w:val="008E50B8"/>
    <w:rsid w:val="008E5128"/>
    <w:rsid w:val="008E526A"/>
    <w:rsid w:val="008E53FF"/>
    <w:rsid w:val="008E57CC"/>
    <w:rsid w:val="008E58E9"/>
    <w:rsid w:val="008E58F6"/>
    <w:rsid w:val="008E5940"/>
    <w:rsid w:val="008E5B4E"/>
    <w:rsid w:val="008E5B74"/>
    <w:rsid w:val="008E5E4C"/>
    <w:rsid w:val="008E5EFD"/>
    <w:rsid w:val="008E5FBE"/>
    <w:rsid w:val="008E5FCF"/>
    <w:rsid w:val="008E606A"/>
    <w:rsid w:val="008E61DA"/>
    <w:rsid w:val="008E64A4"/>
    <w:rsid w:val="008E6599"/>
    <w:rsid w:val="008E6AE1"/>
    <w:rsid w:val="008E6B27"/>
    <w:rsid w:val="008E6B3E"/>
    <w:rsid w:val="008E6BF0"/>
    <w:rsid w:val="008E6CF6"/>
    <w:rsid w:val="008E6DC5"/>
    <w:rsid w:val="008E6FFF"/>
    <w:rsid w:val="008E7068"/>
    <w:rsid w:val="008E7085"/>
    <w:rsid w:val="008E70DC"/>
    <w:rsid w:val="008E70E1"/>
    <w:rsid w:val="008E7187"/>
    <w:rsid w:val="008E7293"/>
    <w:rsid w:val="008E74DC"/>
    <w:rsid w:val="008E76A0"/>
    <w:rsid w:val="008E7D99"/>
    <w:rsid w:val="008E7EF2"/>
    <w:rsid w:val="008F0167"/>
    <w:rsid w:val="008F0193"/>
    <w:rsid w:val="008F01C1"/>
    <w:rsid w:val="008F0640"/>
    <w:rsid w:val="008F06BA"/>
    <w:rsid w:val="008F0957"/>
    <w:rsid w:val="008F0996"/>
    <w:rsid w:val="008F0AD0"/>
    <w:rsid w:val="008F0B54"/>
    <w:rsid w:val="008F0B57"/>
    <w:rsid w:val="008F0C59"/>
    <w:rsid w:val="008F0C93"/>
    <w:rsid w:val="008F0D84"/>
    <w:rsid w:val="008F0E24"/>
    <w:rsid w:val="008F0E57"/>
    <w:rsid w:val="008F12F3"/>
    <w:rsid w:val="008F136D"/>
    <w:rsid w:val="008F13BA"/>
    <w:rsid w:val="008F140E"/>
    <w:rsid w:val="008F16B6"/>
    <w:rsid w:val="008F1B83"/>
    <w:rsid w:val="008F1BA2"/>
    <w:rsid w:val="008F1BB2"/>
    <w:rsid w:val="008F1BC3"/>
    <w:rsid w:val="008F1D56"/>
    <w:rsid w:val="008F1E4D"/>
    <w:rsid w:val="008F1F90"/>
    <w:rsid w:val="008F1FB6"/>
    <w:rsid w:val="008F1FC0"/>
    <w:rsid w:val="008F1FD3"/>
    <w:rsid w:val="008F20DF"/>
    <w:rsid w:val="008F220E"/>
    <w:rsid w:val="008F22C5"/>
    <w:rsid w:val="008F248E"/>
    <w:rsid w:val="008F24A9"/>
    <w:rsid w:val="008F2528"/>
    <w:rsid w:val="008F275A"/>
    <w:rsid w:val="008F27E9"/>
    <w:rsid w:val="008F2834"/>
    <w:rsid w:val="008F2CAB"/>
    <w:rsid w:val="008F2E55"/>
    <w:rsid w:val="008F2EDD"/>
    <w:rsid w:val="008F2F64"/>
    <w:rsid w:val="008F3016"/>
    <w:rsid w:val="008F304B"/>
    <w:rsid w:val="008F31DE"/>
    <w:rsid w:val="008F3236"/>
    <w:rsid w:val="008F3407"/>
    <w:rsid w:val="008F354C"/>
    <w:rsid w:val="008F3666"/>
    <w:rsid w:val="008F3A6D"/>
    <w:rsid w:val="008F3B77"/>
    <w:rsid w:val="008F3E70"/>
    <w:rsid w:val="008F3EEC"/>
    <w:rsid w:val="008F3F18"/>
    <w:rsid w:val="008F4039"/>
    <w:rsid w:val="008F4451"/>
    <w:rsid w:val="008F44EC"/>
    <w:rsid w:val="008F44F5"/>
    <w:rsid w:val="008F4635"/>
    <w:rsid w:val="008F4722"/>
    <w:rsid w:val="008F4A0B"/>
    <w:rsid w:val="008F4FF9"/>
    <w:rsid w:val="008F5009"/>
    <w:rsid w:val="008F506C"/>
    <w:rsid w:val="008F51AE"/>
    <w:rsid w:val="008F51C5"/>
    <w:rsid w:val="008F51DE"/>
    <w:rsid w:val="008F53F5"/>
    <w:rsid w:val="008F54B9"/>
    <w:rsid w:val="008F55FE"/>
    <w:rsid w:val="008F5708"/>
    <w:rsid w:val="008F585A"/>
    <w:rsid w:val="008F5C28"/>
    <w:rsid w:val="008F5DBC"/>
    <w:rsid w:val="008F5E2C"/>
    <w:rsid w:val="008F5E7A"/>
    <w:rsid w:val="008F6099"/>
    <w:rsid w:val="008F6171"/>
    <w:rsid w:val="008F62F4"/>
    <w:rsid w:val="008F63AE"/>
    <w:rsid w:val="008F64D9"/>
    <w:rsid w:val="008F6901"/>
    <w:rsid w:val="008F6A02"/>
    <w:rsid w:val="008F6B76"/>
    <w:rsid w:val="008F6BFA"/>
    <w:rsid w:val="008F6DF9"/>
    <w:rsid w:val="008F6E5D"/>
    <w:rsid w:val="008F6EDD"/>
    <w:rsid w:val="008F7051"/>
    <w:rsid w:val="008F7184"/>
    <w:rsid w:val="008F71D5"/>
    <w:rsid w:val="008F728A"/>
    <w:rsid w:val="008F738F"/>
    <w:rsid w:val="008F74AB"/>
    <w:rsid w:val="008F7675"/>
    <w:rsid w:val="008F76A4"/>
    <w:rsid w:val="008F77A6"/>
    <w:rsid w:val="008F7A7E"/>
    <w:rsid w:val="008F7AC2"/>
    <w:rsid w:val="008F7AE1"/>
    <w:rsid w:val="008F7C39"/>
    <w:rsid w:val="008F7C48"/>
    <w:rsid w:val="008F7D6C"/>
    <w:rsid w:val="008F7D89"/>
    <w:rsid w:val="008F7DC0"/>
    <w:rsid w:val="008F7DF6"/>
    <w:rsid w:val="008F7EF0"/>
    <w:rsid w:val="009003E2"/>
    <w:rsid w:val="00900600"/>
    <w:rsid w:val="00900686"/>
    <w:rsid w:val="0090074F"/>
    <w:rsid w:val="00900903"/>
    <w:rsid w:val="00900CEA"/>
    <w:rsid w:val="00900D3A"/>
    <w:rsid w:val="00900D91"/>
    <w:rsid w:val="00900DA8"/>
    <w:rsid w:val="00900E26"/>
    <w:rsid w:val="00900E4F"/>
    <w:rsid w:val="00900E54"/>
    <w:rsid w:val="00900F40"/>
    <w:rsid w:val="00901015"/>
    <w:rsid w:val="00901216"/>
    <w:rsid w:val="00901234"/>
    <w:rsid w:val="0090126E"/>
    <w:rsid w:val="009013A6"/>
    <w:rsid w:val="00901593"/>
    <w:rsid w:val="009015DE"/>
    <w:rsid w:val="009016E4"/>
    <w:rsid w:val="00901721"/>
    <w:rsid w:val="009017A9"/>
    <w:rsid w:val="00901B14"/>
    <w:rsid w:val="00901B1D"/>
    <w:rsid w:val="00901B61"/>
    <w:rsid w:val="00901D35"/>
    <w:rsid w:val="009020A8"/>
    <w:rsid w:val="00902186"/>
    <w:rsid w:val="0090223E"/>
    <w:rsid w:val="00902528"/>
    <w:rsid w:val="0090263C"/>
    <w:rsid w:val="0090267D"/>
    <w:rsid w:val="00902AB9"/>
    <w:rsid w:val="00902E53"/>
    <w:rsid w:val="0090306E"/>
    <w:rsid w:val="0090324B"/>
    <w:rsid w:val="00903262"/>
    <w:rsid w:val="009032A2"/>
    <w:rsid w:val="009032F1"/>
    <w:rsid w:val="009033CA"/>
    <w:rsid w:val="0090349F"/>
    <w:rsid w:val="009036A7"/>
    <w:rsid w:val="009036F2"/>
    <w:rsid w:val="00903717"/>
    <w:rsid w:val="009038A0"/>
    <w:rsid w:val="0090396C"/>
    <w:rsid w:val="00903970"/>
    <w:rsid w:val="0090399B"/>
    <w:rsid w:val="00903BDA"/>
    <w:rsid w:val="00903CBE"/>
    <w:rsid w:val="00903D03"/>
    <w:rsid w:val="009040D0"/>
    <w:rsid w:val="00904195"/>
    <w:rsid w:val="009041A2"/>
    <w:rsid w:val="009043E7"/>
    <w:rsid w:val="009044BC"/>
    <w:rsid w:val="009046A4"/>
    <w:rsid w:val="0090475A"/>
    <w:rsid w:val="0090475B"/>
    <w:rsid w:val="009047DD"/>
    <w:rsid w:val="00904869"/>
    <w:rsid w:val="009049CF"/>
    <w:rsid w:val="00904A5E"/>
    <w:rsid w:val="00904B31"/>
    <w:rsid w:val="00904B41"/>
    <w:rsid w:val="00904D23"/>
    <w:rsid w:val="00904D66"/>
    <w:rsid w:val="00904E9F"/>
    <w:rsid w:val="00904EF5"/>
    <w:rsid w:val="009050B1"/>
    <w:rsid w:val="0090522A"/>
    <w:rsid w:val="00905304"/>
    <w:rsid w:val="0090539D"/>
    <w:rsid w:val="00905573"/>
    <w:rsid w:val="009057C5"/>
    <w:rsid w:val="009057DB"/>
    <w:rsid w:val="009058ED"/>
    <w:rsid w:val="009059DD"/>
    <w:rsid w:val="00905AB8"/>
    <w:rsid w:val="00905B54"/>
    <w:rsid w:val="00905CB6"/>
    <w:rsid w:val="00905E44"/>
    <w:rsid w:val="00905F0C"/>
    <w:rsid w:val="00905F62"/>
    <w:rsid w:val="00905FA9"/>
    <w:rsid w:val="009062D7"/>
    <w:rsid w:val="00906948"/>
    <w:rsid w:val="0090697C"/>
    <w:rsid w:val="00906CBE"/>
    <w:rsid w:val="00906D28"/>
    <w:rsid w:val="00906E9A"/>
    <w:rsid w:val="00906F21"/>
    <w:rsid w:val="00906F4F"/>
    <w:rsid w:val="00906F84"/>
    <w:rsid w:val="009071B5"/>
    <w:rsid w:val="0090727A"/>
    <w:rsid w:val="0090742A"/>
    <w:rsid w:val="0090750F"/>
    <w:rsid w:val="00907834"/>
    <w:rsid w:val="00907889"/>
    <w:rsid w:val="00907B3F"/>
    <w:rsid w:val="00907B63"/>
    <w:rsid w:val="00907C8A"/>
    <w:rsid w:val="00907D18"/>
    <w:rsid w:val="00907DDC"/>
    <w:rsid w:val="00907E7F"/>
    <w:rsid w:val="00907F78"/>
    <w:rsid w:val="00907F82"/>
    <w:rsid w:val="009101B2"/>
    <w:rsid w:val="00910468"/>
    <w:rsid w:val="00910640"/>
    <w:rsid w:val="0091076E"/>
    <w:rsid w:val="009107BA"/>
    <w:rsid w:val="0091082C"/>
    <w:rsid w:val="009109EF"/>
    <w:rsid w:val="00910B2B"/>
    <w:rsid w:val="00910C14"/>
    <w:rsid w:val="00910CA0"/>
    <w:rsid w:val="00910E37"/>
    <w:rsid w:val="00910E8C"/>
    <w:rsid w:val="00910FEE"/>
    <w:rsid w:val="00911075"/>
    <w:rsid w:val="009111D8"/>
    <w:rsid w:val="00911363"/>
    <w:rsid w:val="009113C7"/>
    <w:rsid w:val="009113F1"/>
    <w:rsid w:val="0091149D"/>
    <w:rsid w:val="009115CF"/>
    <w:rsid w:val="0091163B"/>
    <w:rsid w:val="0091165C"/>
    <w:rsid w:val="0091189E"/>
    <w:rsid w:val="009118B3"/>
    <w:rsid w:val="009118FD"/>
    <w:rsid w:val="00911929"/>
    <w:rsid w:val="0091193D"/>
    <w:rsid w:val="009119D4"/>
    <w:rsid w:val="00911A3F"/>
    <w:rsid w:val="00911AD8"/>
    <w:rsid w:val="00911C92"/>
    <w:rsid w:val="00911CEA"/>
    <w:rsid w:val="009121AB"/>
    <w:rsid w:val="009122A9"/>
    <w:rsid w:val="009123FE"/>
    <w:rsid w:val="0091247F"/>
    <w:rsid w:val="00912576"/>
    <w:rsid w:val="00912783"/>
    <w:rsid w:val="0091280C"/>
    <w:rsid w:val="009129AC"/>
    <w:rsid w:val="009129D0"/>
    <w:rsid w:val="00912D21"/>
    <w:rsid w:val="00912DA5"/>
    <w:rsid w:val="00912DB6"/>
    <w:rsid w:val="00912F30"/>
    <w:rsid w:val="00913005"/>
    <w:rsid w:val="009131AA"/>
    <w:rsid w:val="009131C7"/>
    <w:rsid w:val="009131CE"/>
    <w:rsid w:val="009131FB"/>
    <w:rsid w:val="009132B1"/>
    <w:rsid w:val="009132C7"/>
    <w:rsid w:val="009133AB"/>
    <w:rsid w:val="009133EE"/>
    <w:rsid w:val="009135A3"/>
    <w:rsid w:val="009135ED"/>
    <w:rsid w:val="00913720"/>
    <w:rsid w:val="00913970"/>
    <w:rsid w:val="009139D4"/>
    <w:rsid w:val="009139D5"/>
    <w:rsid w:val="009139F5"/>
    <w:rsid w:val="00913B04"/>
    <w:rsid w:val="00913D61"/>
    <w:rsid w:val="00913DD2"/>
    <w:rsid w:val="00913E8C"/>
    <w:rsid w:val="00913F23"/>
    <w:rsid w:val="0091408B"/>
    <w:rsid w:val="00914176"/>
    <w:rsid w:val="009143D6"/>
    <w:rsid w:val="0091443A"/>
    <w:rsid w:val="0091454B"/>
    <w:rsid w:val="009147FC"/>
    <w:rsid w:val="0091488C"/>
    <w:rsid w:val="00914C41"/>
    <w:rsid w:val="00914D04"/>
    <w:rsid w:val="00914ED1"/>
    <w:rsid w:val="00914F79"/>
    <w:rsid w:val="00915039"/>
    <w:rsid w:val="009150A7"/>
    <w:rsid w:val="00915115"/>
    <w:rsid w:val="0091512A"/>
    <w:rsid w:val="0091524E"/>
    <w:rsid w:val="009154C1"/>
    <w:rsid w:val="0091572B"/>
    <w:rsid w:val="009159F7"/>
    <w:rsid w:val="00915E6D"/>
    <w:rsid w:val="00915F53"/>
    <w:rsid w:val="00916016"/>
    <w:rsid w:val="0091611C"/>
    <w:rsid w:val="009161A5"/>
    <w:rsid w:val="00916202"/>
    <w:rsid w:val="00916406"/>
    <w:rsid w:val="00916473"/>
    <w:rsid w:val="00916493"/>
    <w:rsid w:val="009164B4"/>
    <w:rsid w:val="00916559"/>
    <w:rsid w:val="009165A2"/>
    <w:rsid w:val="00916633"/>
    <w:rsid w:val="00916848"/>
    <w:rsid w:val="009169C8"/>
    <w:rsid w:val="00916D0C"/>
    <w:rsid w:val="00916E1C"/>
    <w:rsid w:val="00916EFE"/>
    <w:rsid w:val="00917253"/>
    <w:rsid w:val="00917355"/>
    <w:rsid w:val="009173B9"/>
    <w:rsid w:val="00917443"/>
    <w:rsid w:val="009176F0"/>
    <w:rsid w:val="00917769"/>
    <w:rsid w:val="009177AC"/>
    <w:rsid w:val="009178AA"/>
    <w:rsid w:val="0091793C"/>
    <w:rsid w:val="00917C1E"/>
    <w:rsid w:val="00917F38"/>
    <w:rsid w:val="00920003"/>
    <w:rsid w:val="00920156"/>
    <w:rsid w:val="0092027A"/>
    <w:rsid w:val="0092039C"/>
    <w:rsid w:val="009203A1"/>
    <w:rsid w:val="00920579"/>
    <w:rsid w:val="00920869"/>
    <w:rsid w:val="00920970"/>
    <w:rsid w:val="009209F9"/>
    <w:rsid w:val="00920B82"/>
    <w:rsid w:val="00920B89"/>
    <w:rsid w:val="00920D1D"/>
    <w:rsid w:val="00920DC7"/>
    <w:rsid w:val="00920ED6"/>
    <w:rsid w:val="00921056"/>
    <w:rsid w:val="00921163"/>
    <w:rsid w:val="009214D2"/>
    <w:rsid w:val="00921783"/>
    <w:rsid w:val="00921794"/>
    <w:rsid w:val="00921980"/>
    <w:rsid w:val="009219FD"/>
    <w:rsid w:val="00921B0F"/>
    <w:rsid w:val="00921CC6"/>
    <w:rsid w:val="00921DBA"/>
    <w:rsid w:val="00921FED"/>
    <w:rsid w:val="00922035"/>
    <w:rsid w:val="0092204D"/>
    <w:rsid w:val="00922166"/>
    <w:rsid w:val="009221D2"/>
    <w:rsid w:val="00922269"/>
    <w:rsid w:val="00922654"/>
    <w:rsid w:val="00922696"/>
    <w:rsid w:val="00922733"/>
    <w:rsid w:val="0092293B"/>
    <w:rsid w:val="0092294A"/>
    <w:rsid w:val="009229ED"/>
    <w:rsid w:val="00922B0C"/>
    <w:rsid w:val="00922B28"/>
    <w:rsid w:val="00922B38"/>
    <w:rsid w:val="00922C71"/>
    <w:rsid w:val="00922D1C"/>
    <w:rsid w:val="00922F22"/>
    <w:rsid w:val="00922F57"/>
    <w:rsid w:val="00922FB4"/>
    <w:rsid w:val="0092306D"/>
    <w:rsid w:val="0092318E"/>
    <w:rsid w:val="009231C2"/>
    <w:rsid w:val="00923202"/>
    <w:rsid w:val="009232A6"/>
    <w:rsid w:val="009233B2"/>
    <w:rsid w:val="00923694"/>
    <w:rsid w:val="00923744"/>
    <w:rsid w:val="00923808"/>
    <w:rsid w:val="0092385F"/>
    <w:rsid w:val="00923912"/>
    <w:rsid w:val="00923AEE"/>
    <w:rsid w:val="00923FED"/>
    <w:rsid w:val="00924047"/>
    <w:rsid w:val="00924055"/>
    <w:rsid w:val="00924115"/>
    <w:rsid w:val="0092435A"/>
    <w:rsid w:val="009245EA"/>
    <w:rsid w:val="00924698"/>
    <w:rsid w:val="009247B9"/>
    <w:rsid w:val="009247C4"/>
    <w:rsid w:val="0092481F"/>
    <w:rsid w:val="0092496C"/>
    <w:rsid w:val="00924A40"/>
    <w:rsid w:val="00924AF4"/>
    <w:rsid w:val="00924B70"/>
    <w:rsid w:val="00924BAF"/>
    <w:rsid w:val="00924C2D"/>
    <w:rsid w:val="00924C4E"/>
    <w:rsid w:val="00924CEC"/>
    <w:rsid w:val="00924D55"/>
    <w:rsid w:val="00924DF3"/>
    <w:rsid w:val="00924EB7"/>
    <w:rsid w:val="00924EC8"/>
    <w:rsid w:val="00924F48"/>
    <w:rsid w:val="009250CF"/>
    <w:rsid w:val="009250E6"/>
    <w:rsid w:val="009254E4"/>
    <w:rsid w:val="00925528"/>
    <w:rsid w:val="00925681"/>
    <w:rsid w:val="009259CD"/>
    <w:rsid w:val="00925B03"/>
    <w:rsid w:val="00925E5C"/>
    <w:rsid w:val="00925EB3"/>
    <w:rsid w:val="00926039"/>
    <w:rsid w:val="009260DE"/>
    <w:rsid w:val="00926103"/>
    <w:rsid w:val="0092627E"/>
    <w:rsid w:val="00926559"/>
    <w:rsid w:val="00926736"/>
    <w:rsid w:val="00926AC8"/>
    <w:rsid w:val="00926C1D"/>
    <w:rsid w:val="00926D7F"/>
    <w:rsid w:val="00926F5D"/>
    <w:rsid w:val="009270F3"/>
    <w:rsid w:val="00927100"/>
    <w:rsid w:val="0092715A"/>
    <w:rsid w:val="009271FE"/>
    <w:rsid w:val="0092720A"/>
    <w:rsid w:val="00927378"/>
    <w:rsid w:val="00927646"/>
    <w:rsid w:val="00927802"/>
    <w:rsid w:val="0092780B"/>
    <w:rsid w:val="0092781A"/>
    <w:rsid w:val="00927A82"/>
    <w:rsid w:val="00927D5E"/>
    <w:rsid w:val="00927F44"/>
    <w:rsid w:val="00927FC1"/>
    <w:rsid w:val="0093003F"/>
    <w:rsid w:val="00930210"/>
    <w:rsid w:val="00930496"/>
    <w:rsid w:val="00930594"/>
    <w:rsid w:val="0093065D"/>
    <w:rsid w:val="009306C2"/>
    <w:rsid w:val="00930749"/>
    <w:rsid w:val="009308E8"/>
    <w:rsid w:val="00930923"/>
    <w:rsid w:val="00930959"/>
    <w:rsid w:val="00930C4B"/>
    <w:rsid w:val="00930D1B"/>
    <w:rsid w:val="00930D9A"/>
    <w:rsid w:val="00930E6E"/>
    <w:rsid w:val="00931179"/>
    <w:rsid w:val="00931367"/>
    <w:rsid w:val="00931521"/>
    <w:rsid w:val="00931767"/>
    <w:rsid w:val="009317A8"/>
    <w:rsid w:val="00931899"/>
    <w:rsid w:val="00931AD7"/>
    <w:rsid w:val="00931B49"/>
    <w:rsid w:val="00931D12"/>
    <w:rsid w:val="00931F01"/>
    <w:rsid w:val="00931F7F"/>
    <w:rsid w:val="00931FF2"/>
    <w:rsid w:val="00932198"/>
    <w:rsid w:val="0093229E"/>
    <w:rsid w:val="009322EF"/>
    <w:rsid w:val="0093239D"/>
    <w:rsid w:val="00932427"/>
    <w:rsid w:val="009325C9"/>
    <w:rsid w:val="009325DF"/>
    <w:rsid w:val="00932879"/>
    <w:rsid w:val="009329AB"/>
    <w:rsid w:val="00932A75"/>
    <w:rsid w:val="00932C21"/>
    <w:rsid w:val="00932C4A"/>
    <w:rsid w:val="00932D74"/>
    <w:rsid w:val="00932D7D"/>
    <w:rsid w:val="00932D9E"/>
    <w:rsid w:val="00932E3C"/>
    <w:rsid w:val="0093300A"/>
    <w:rsid w:val="00933269"/>
    <w:rsid w:val="00933411"/>
    <w:rsid w:val="009335BD"/>
    <w:rsid w:val="009335C0"/>
    <w:rsid w:val="0093369C"/>
    <w:rsid w:val="009337BF"/>
    <w:rsid w:val="00933926"/>
    <w:rsid w:val="00933990"/>
    <w:rsid w:val="00933A8E"/>
    <w:rsid w:val="00933C1C"/>
    <w:rsid w:val="00933C78"/>
    <w:rsid w:val="00933DCE"/>
    <w:rsid w:val="00933E7C"/>
    <w:rsid w:val="00933EF8"/>
    <w:rsid w:val="009341C5"/>
    <w:rsid w:val="00934372"/>
    <w:rsid w:val="009344CC"/>
    <w:rsid w:val="00934722"/>
    <w:rsid w:val="00934B08"/>
    <w:rsid w:val="00934C28"/>
    <w:rsid w:val="00934DE8"/>
    <w:rsid w:val="00934EFC"/>
    <w:rsid w:val="00935007"/>
    <w:rsid w:val="009351B2"/>
    <w:rsid w:val="00935210"/>
    <w:rsid w:val="0093530B"/>
    <w:rsid w:val="0093532A"/>
    <w:rsid w:val="009355D9"/>
    <w:rsid w:val="00935640"/>
    <w:rsid w:val="0093599B"/>
    <w:rsid w:val="00935A4B"/>
    <w:rsid w:val="00935A8F"/>
    <w:rsid w:val="00935BF8"/>
    <w:rsid w:val="00935C0B"/>
    <w:rsid w:val="00935E07"/>
    <w:rsid w:val="00935EB2"/>
    <w:rsid w:val="00935F28"/>
    <w:rsid w:val="00935F7D"/>
    <w:rsid w:val="009360E4"/>
    <w:rsid w:val="00936281"/>
    <w:rsid w:val="00936291"/>
    <w:rsid w:val="0093633A"/>
    <w:rsid w:val="0093638C"/>
    <w:rsid w:val="0093641C"/>
    <w:rsid w:val="009369F5"/>
    <w:rsid w:val="00936B4C"/>
    <w:rsid w:val="00936BA4"/>
    <w:rsid w:val="00936C29"/>
    <w:rsid w:val="00936C3B"/>
    <w:rsid w:val="00936D2C"/>
    <w:rsid w:val="00936E38"/>
    <w:rsid w:val="00936FDD"/>
    <w:rsid w:val="00937091"/>
    <w:rsid w:val="009371AF"/>
    <w:rsid w:val="00937563"/>
    <w:rsid w:val="0093762C"/>
    <w:rsid w:val="00937887"/>
    <w:rsid w:val="00937B06"/>
    <w:rsid w:val="00937B9C"/>
    <w:rsid w:val="00937C66"/>
    <w:rsid w:val="00937D2D"/>
    <w:rsid w:val="00937D55"/>
    <w:rsid w:val="00937D75"/>
    <w:rsid w:val="00937FAE"/>
    <w:rsid w:val="00940095"/>
    <w:rsid w:val="009400A5"/>
    <w:rsid w:val="0094014F"/>
    <w:rsid w:val="00940225"/>
    <w:rsid w:val="00940319"/>
    <w:rsid w:val="00940327"/>
    <w:rsid w:val="0094033F"/>
    <w:rsid w:val="00940416"/>
    <w:rsid w:val="00940754"/>
    <w:rsid w:val="009408D4"/>
    <w:rsid w:val="00940919"/>
    <w:rsid w:val="00940E89"/>
    <w:rsid w:val="00940F73"/>
    <w:rsid w:val="00941077"/>
    <w:rsid w:val="00941491"/>
    <w:rsid w:val="00941598"/>
    <w:rsid w:val="009415DC"/>
    <w:rsid w:val="0094168C"/>
    <w:rsid w:val="0094177D"/>
    <w:rsid w:val="009417D4"/>
    <w:rsid w:val="009418D8"/>
    <w:rsid w:val="009419AB"/>
    <w:rsid w:val="009419E2"/>
    <w:rsid w:val="00941D03"/>
    <w:rsid w:val="00941D40"/>
    <w:rsid w:val="00942001"/>
    <w:rsid w:val="00942071"/>
    <w:rsid w:val="00942077"/>
    <w:rsid w:val="00942131"/>
    <w:rsid w:val="009422EB"/>
    <w:rsid w:val="009422FE"/>
    <w:rsid w:val="00942310"/>
    <w:rsid w:val="00942471"/>
    <w:rsid w:val="009424E1"/>
    <w:rsid w:val="0094263B"/>
    <w:rsid w:val="00942772"/>
    <w:rsid w:val="009429CE"/>
    <w:rsid w:val="00942B07"/>
    <w:rsid w:val="00942CCA"/>
    <w:rsid w:val="00942E32"/>
    <w:rsid w:val="00942EC1"/>
    <w:rsid w:val="00942F32"/>
    <w:rsid w:val="00943001"/>
    <w:rsid w:val="00943020"/>
    <w:rsid w:val="009430A6"/>
    <w:rsid w:val="0094322E"/>
    <w:rsid w:val="00943455"/>
    <w:rsid w:val="00943678"/>
    <w:rsid w:val="00943A25"/>
    <w:rsid w:val="00943B54"/>
    <w:rsid w:val="009441AF"/>
    <w:rsid w:val="0094434D"/>
    <w:rsid w:val="009443DA"/>
    <w:rsid w:val="00944617"/>
    <w:rsid w:val="009446D8"/>
    <w:rsid w:val="009447EF"/>
    <w:rsid w:val="0094485B"/>
    <w:rsid w:val="00944AB0"/>
    <w:rsid w:val="00944DC0"/>
    <w:rsid w:val="00945014"/>
    <w:rsid w:val="00945320"/>
    <w:rsid w:val="0094532D"/>
    <w:rsid w:val="009456F8"/>
    <w:rsid w:val="009459AD"/>
    <w:rsid w:val="00945AAC"/>
    <w:rsid w:val="00945C41"/>
    <w:rsid w:val="00945E5D"/>
    <w:rsid w:val="0094614F"/>
    <w:rsid w:val="009461DF"/>
    <w:rsid w:val="00946233"/>
    <w:rsid w:val="00946309"/>
    <w:rsid w:val="00946456"/>
    <w:rsid w:val="00946486"/>
    <w:rsid w:val="0094651D"/>
    <w:rsid w:val="00946534"/>
    <w:rsid w:val="0094662B"/>
    <w:rsid w:val="00946630"/>
    <w:rsid w:val="009466D8"/>
    <w:rsid w:val="00946794"/>
    <w:rsid w:val="00946875"/>
    <w:rsid w:val="00946A4F"/>
    <w:rsid w:val="00946B85"/>
    <w:rsid w:val="00946E08"/>
    <w:rsid w:val="00946E85"/>
    <w:rsid w:val="00946F2B"/>
    <w:rsid w:val="00946FF5"/>
    <w:rsid w:val="0094725A"/>
    <w:rsid w:val="00947372"/>
    <w:rsid w:val="0094739C"/>
    <w:rsid w:val="00947553"/>
    <w:rsid w:val="00947795"/>
    <w:rsid w:val="009477E5"/>
    <w:rsid w:val="0094782F"/>
    <w:rsid w:val="00947A0B"/>
    <w:rsid w:val="00947B65"/>
    <w:rsid w:val="00947B8D"/>
    <w:rsid w:val="00947BB7"/>
    <w:rsid w:val="00947BEB"/>
    <w:rsid w:val="00947C32"/>
    <w:rsid w:val="00947CAB"/>
    <w:rsid w:val="00947CC9"/>
    <w:rsid w:val="00947E30"/>
    <w:rsid w:val="00947FC2"/>
    <w:rsid w:val="00947FE4"/>
    <w:rsid w:val="009503BD"/>
    <w:rsid w:val="00950628"/>
    <w:rsid w:val="00950742"/>
    <w:rsid w:val="0095083B"/>
    <w:rsid w:val="00950944"/>
    <w:rsid w:val="00950B0F"/>
    <w:rsid w:val="00950BAA"/>
    <w:rsid w:val="00950BAB"/>
    <w:rsid w:val="00950C4B"/>
    <w:rsid w:val="00950D94"/>
    <w:rsid w:val="00950F2A"/>
    <w:rsid w:val="00951087"/>
    <w:rsid w:val="009510A9"/>
    <w:rsid w:val="00951320"/>
    <w:rsid w:val="009513C5"/>
    <w:rsid w:val="009513FE"/>
    <w:rsid w:val="0095142C"/>
    <w:rsid w:val="009514A1"/>
    <w:rsid w:val="0095162A"/>
    <w:rsid w:val="009516AC"/>
    <w:rsid w:val="009518B2"/>
    <w:rsid w:val="00951936"/>
    <w:rsid w:val="00951996"/>
    <w:rsid w:val="009519BD"/>
    <w:rsid w:val="00951AAD"/>
    <w:rsid w:val="00951DDD"/>
    <w:rsid w:val="00952093"/>
    <w:rsid w:val="009521DF"/>
    <w:rsid w:val="00952363"/>
    <w:rsid w:val="009523C4"/>
    <w:rsid w:val="009524D8"/>
    <w:rsid w:val="009527E8"/>
    <w:rsid w:val="00952884"/>
    <w:rsid w:val="0095299E"/>
    <w:rsid w:val="00952A6A"/>
    <w:rsid w:val="00952A90"/>
    <w:rsid w:val="00952F5C"/>
    <w:rsid w:val="009531D9"/>
    <w:rsid w:val="00953480"/>
    <w:rsid w:val="009534B5"/>
    <w:rsid w:val="009534F7"/>
    <w:rsid w:val="009535CE"/>
    <w:rsid w:val="00953604"/>
    <w:rsid w:val="009536B8"/>
    <w:rsid w:val="00953874"/>
    <w:rsid w:val="00953B92"/>
    <w:rsid w:val="00953C05"/>
    <w:rsid w:val="00953CC4"/>
    <w:rsid w:val="00953F61"/>
    <w:rsid w:val="00953FEF"/>
    <w:rsid w:val="0095412D"/>
    <w:rsid w:val="009541AE"/>
    <w:rsid w:val="009545CE"/>
    <w:rsid w:val="00954747"/>
    <w:rsid w:val="00954774"/>
    <w:rsid w:val="00954803"/>
    <w:rsid w:val="00954836"/>
    <w:rsid w:val="009548A8"/>
    <w:rsid w:val="0095496D"/>
    <w:rsid w:val="00954A7B"/>
    <w:rsid w:val="00954AB2"/>
    <w:rsid w:val="00954BB9"/>
    <w:rsid w:val="00954CCC"/>
    <w:rsid w:val="00954CCE"/>
    <w:rsid w:val="00954E45"/>
    <w:rsid w:val="00954FBD"/>
    <w:rsid w:val="00955159"/>
    <w:rsid w:val="00955249"/>
    <w:rsid w:val="00955279"/>
    <w:rsid w:val="00955645"/>
    <w:rsid w:val="0095566D"/>
    <w:rsid w:val="009557ED"/>
    <w:rsid w:val="009558BE"/>
    <w:rsid w:val="00955BD7"/>
    <w:rsid w:val="00956009"/>
    <w:rsid w:val="00956400"/>
    <w:rsid w:val="00956465"/>
    <w:rsid w:val="00956573"/>
    <w:rsid w:val="00956684"/>
    <w:rsid w:val="009566CB"/>
    <w:rsid w:val="00956AE8"/>
    <w:rsid w:val="00956BCE"/>
    <w:rsid w:val="00956D68"/>
    <w:rsid w:val="0095741F"/>
    <w:rsid w:val="00957547"/>
    <w:rsid w:val="00957727"/>
    <w:rsid w:val="00957799"/>
    <w:rsid w:val="00957A9F"/>
    <w:rsid w:val="00957AFF"/>
    <w:rsid w:val="00957BBE"/>
    <w:rsid w:val="00957CEE"/>
    <w:rsid w:val="00957DE6"/>
    <w:rsid w:val="00957EAE"/>
    <w:rsid w:val="00957FFE"/>
    <w:rsid w:val="00960044"/>
    <w:rsid w:val="009600B9"/>
    <w:rsid w:val="009601E0"/>
    <w:rsid w:val="009601E6"/>
    <w:rsid w:val="009602F0"/>
    <w:rsid w:val="009609AA"/>
    <w:rsid w:val="009609C9"/>
    <w:rsid w:val="00960BB8"/>
    <w:rsid w:val="00960C4B"/>
    <w:rsid w:val="00960CC2"/>
    <w:rsid w:val="00960D3D"/>
    <w:rsid w:val="00960EAF"/>
    <w:rsid w:val="00961083"/>
    <w:rsid w:val="009610FF"/>
    <w:rsid w:val="00961396"/>
    <w:rsid w:val="0096147D"/>
    <w:rsid w:val="00961527"/>
    <w:rsid w:val="00961551"/>
    <w:rsid w:val="009615EE"/>
    <w:rsid w:val="0096160C"/>
    <w:rsid w:val="009618B9"/>
    <w:rsid w:val="00961A3F"/>
    <w:rsid w:val="00961C63"/>
    <w:rsid w:val="00961C65"/>
    <w:rsid w:val="00961CA3"/>
    <w:rsid w:val="00961CFF"/>
    <w:rsid w:val="00961E3F"/>
    <w:rsid w:val="00962037"/>
    <w:rsid w:val="009620A2"/>
    <w:rsid w:val="00962126"/>
    <w:rsid w:val="0096212D"/>
    <w:rsid w:val="00962188"/>
    <w:rsid w:val="00962284"/>
    <w:rsid w:val="009622EE"/>
    <w:rsid w:val="00962341"/>
    <w:rsid w:val="00962349"/>
    <w:rsid w:val="00962373"/>
    <w:rsid w:val="0096238C"/>
    <w:rsid w:val="009624C1"/>
    <w:rsid w:val="009624CF"/>
    <w:rsid w:val="009625C4"/>
    <w:rsid w:val="009625FE"/>
    <w:rsid w:val="009627A0"/>
    <w:rsid w:val="009628A9"/>
    <w:rsid w:val="00962A18"/>
    <w:rsid w:val="00962A6B"/>
    <w:rsid w:val="00962B92"/>
    <w:rsid w:val="00962BE5"/>
    <w:rsid w:val="00962E5D"/>
    <w:rsid w:val="00963163"/>
    <w:rsid w:val="00963269"/>
    <w:rsid w:val="009632A9"/>
    <w:rsid w:val="00963301"/>
    <w:rsid w:val="00963346"/>
    <w:rsid w:val="00963378"/>
    <w:rsid w:val="009633F7"/>
    <w:rsid w:val="00963548"/>
    <w:rsid w:val="00963692"/>
    <w:rsid w:val="009637AF"/>
    <w:rsid w:val="00963833"/>
    <w:rsid w:val="009638DE"/>
    <w:rsid w:val="00963977"/>
    <w:rsid w:val="00963B07"/>
    <w:rsid w:val="00963BFE"/>
    <w:rsid w:val="00963CC3"/>
    <w:rsid w:val="00963F24"/>
    <w:rsid w:val="00963F59"/>
    <w:rsid w:val="00964108"/>
    <w:rsid w:val="0096450E"/>
    <w:rsid w:val="0096452D"/>
    <w:rsid w:val="00964651"/>
    <w:rsid w:val="009646F8"/>
    <w:rsid w:val="00964734"/>
    <w:rsid w:val="00964968"/>
    <w:rsid w:val="00964D15"/>
    <w:rsid w:val="00964D54"/>
    <w:rsid w:val="00964E5F"/>
    <w:rsid w:val="00964E9F"/>
    <w:rsid w:val="009651FA"/>
    <w:rsid w:val="00965396"/>
    <w:rsid w:val="00965472"/>
    <w:rsid w:val="00965622"/>
    <w:rsid w:val="0096587F"/>
    <w:rsid w:val="009658F7"/>
    <w:rsid w:val="00965996"/>
    <w:rsid w:val="009659AA"/>
    <w:rsid w:val="00965A81"/>
    <w:rsid w:val="00965B7A"/>
    <w:rsid w:val="00965B8E"/>
    <w:rsid w:val="00965DB1"/>
    <w:rsid w:val="00965EF4"/>
    <w:rsid w:val="009661E0"/>
    <w:rsid w:val="00966264"/>
    <w:rsid w:val="009662B0"/>
    <w:rsid w:val="0096637F"/>
    <w:rsid w:val="00966617"/>
    <w:rsid w:val="00966706"/>
    <w:rsid w:val="00966A13"/>
    <w:rsid w:val="00966A79"/>
    <w:rsid w:val="00966B23"/>
    <w:rsid w:val="00966B28"/>
    <w:rsid w:val="00966D04"/>
    <w:rsid w:val="00966F9F"/>
    <w:rsid w:val="00967129"/>
    <w:rsid w:val="0096713A"/>
    <w:rsid w:val="009673C3"/>
    <w:rsid w:val="009673DA"/>
    <w:rsid w:val="009673ED"/>
    <w:rsid w:val="00967432"/>
    <w:rsid w:val="0096749E"/>
    <w:rsid w:val="009674F9"/>
    <w:rsid w:val="009675C0"/>
    <w:rsid w:val="009675C1"/>
    <w:rsid w:val="009675FB"/>
    <w:rsid w:val="009678FC"/>
    <w:rsid w:val="00967A1D"/>
    <w:rsid w:val="00967A1E"/>
    <w:rsid w:val="00967A34"/>
    <w:rsid w:val="00967C91"/>
    <w:rsid w:val="00967D0C"/>
    <w:rsid w:val="00967D20"/>
    <w:rsid w:val="00967EE8"/>
    <w:rsid w:val="009702D3"/>
    <w:rsid w:val="009703A8"/>
    <w:rsid w:val="009703F0"/>
    <w:rsid w:val="00970503"/>
    <w:rsid w:val="0097056A"/>
    <w:rsid w:val="009705D4"/>
    <w:rsid w:val="009706CE"/>
    <w:rsid w:val="009706EB"/>
    <w:rsid w:val="00970B78"/>
    <w:rsid w:val="00970BDE"/>
    <w:rsid w:val="00970BFF"/>
    <w:rsid w:val="00970C93"/>
    <w:rsid w:val="00970CFA"/>
    <w:rsid w:val="00970D00"/>
    <w:rsid w:val="00970FFF"/>
    <w:rsid w:val="009712FD"/>
    <w:rsid w:val="0097133D"/>
    <w:rsid w:val="00971415"/>
    <w:rsid w:val="00971580"/>
    <w:rsid w:val="009715AE"/>
    <w:rsid w:val="009715F3"/>
    <w:rsid w:val="00971697"/>
    <w:rsid w:val="009718AE"/>
    <w:rsid w:val="0097199B"/>
    <w:rsid w:val="00971DA0"/>
    <w:rsid w:val="00971E5F"/>
    <w:rsid w:val="00971F5D"/>
    <w:rsid w:val="009721EA"/>
    <w:rsid w:val="00972264"/>
    <w:rsid w:val="0097249E"/>
    <w:rsid w:val="0097272C"/>
    <w:rsid w:val="0097274E"/>
    <w:rsid w:val="009729F2"/>
    <w:rsid w:val="00972A22"/>
    <w:rsid w:val="00972D61"/>
    <w:rsid w:val="0097321D"/>
    <w:rsid w:val="00973224"/>
    <w:rsid w:val="00973350"/>
    <w:rsid w:val="00973440"/>
    <w:rsid w:val="0097344F"/>
    <w:rsid w:val="0097348A"/>
    <w:rsid w:val="009734A5"/>
    <w:rsid w:val="00973574"/>
    <w:rsid w:val="00973764"/>
    <w:rsid w:val="0097391A"/>
    <w:rsid w:val="00973BB2"/>
    <w:rsid w:val="00973C67"/>
    <w:rsid w:val="00973FAC"/>
    <w:rsid w:val="009741BC"/>
    <w:rsid w:val="009741D6"/>
    <w:rsid w:val="0097428D"/>
    <w:rsid w:val="00974325"/>
    <w:rsid w:val="009744E2"/>
    <w:rsid w:val="00974542"/>
    <w:rsid w:val="0097461A"/>
    <w:rsid w:val="009746BB"/>
    <w:rsid w:val="0097472B"/>
    <w:rsid w:val="009747BE"/>
    <w:rsid w:val="009748F7"/>
    <w:rsid w:val="00974936"/>
    <w:rsid w:val="00974BCB"/>
    <w:rsid w:val="00974DFC"/>
    <w:rsid w:val="00974F00"/>
    <w:rsid w:val="00974FD2"/>
    <w:rsid w:val="009750F1"/>
    <w:rsid w:val="009750F8"/>
    <w:rsid w:val="009752B5"/>
    <w:rsid w:val="00975514"/>
    <w:rsid w:val="00975538"/>
    <w:rsid w:val="00975703"/>
    <w:rsid w:val="0097589B"/>
    <w:rsid w:val="0097596A"/>
    <w:rsid w:val="00975992"/>
    <w:rsid w:val="009759D9"/>
    <w:rsid w:val="00975E80"/>
    <w:rsid w:val="0097628F"/>
    <w:rsid w:val="00976334"/>
    <w:rsid w:val="00976388"/>
    <w:rsid w:val="009765B7"/>
    <w:rsid w:val="0097687B"/>
    <w:rsid w:val="00976A0E"/>
    <w:rsid w:val="00976BC6"/>
    <w:rsid w:val="00976DAF"/>
    <w:rsid w:val="00977081"/>
    <w:rsid w:val="00977082"/>
    <w:rsid w:val="009770C4"/>
    <w:rsid w:val="00977151"/>
    <w:rsid w:val="00977181"/>
    <w:rsid w:val="00977195"/>
    <w:rsid w:val="009771C6"/>
    <w:rsid w:val="0097732B"/>
    <w:rsid w:val="00977343"/>
    <w:rsid w:val="009773AB"/>
    <w:rsid w:val="009774BE"/>
    <w:rsid w:val="009774F9"/>
    <w:rsid w:val="00977511"/>
    <w:rsid w:val="00977631"/>
    <w:rsid w:val="00977644"/>
    <w:rsid w:val="00977661"/>
    <w:rsid w:val="00977AAD"/>
    <w:rsid w:val="00977D45"/>
    <w:rsid w:val="00977D79"/>
    <w:rsid w:val="00977E5D"/>
    <w:rsid w:val="00977E99"/>
    <w:rsid w:val="00977EC1"/>
    <w:rsid w:val="00977F70"/>
    <w:rsid w:val="00977F92"/>
    <w:rsid w:val="009800D9"/>
    <w:rsid w:val="0098012D"/>
    <w:rsid w:val="0098017E"/>
    <w:rsid w:val="00980190"/>
    <w:rsid w:val="0098022D"/>
    <w:rsid w:val="0098035A"/>
    <w:rsid w:val="009803FE"/>
    <w:rsid w:val="00980683"/>
    <w:rsid w:val="0098071B"/>
    <w:rsid w:val="00980917"/>
    <w:rsid w:val="009809EA"/>
    <w:rsid w:val="00980B0F"/>
    <w:rsid w:val="00980E6C"/>
    <w:rsid w:val="00980E7B"/>
    <w:rsid w:val="00980E82"/>
    <w:rsid w:val="00980EDE"/>
    <w:rsid w:val="0098116D"/>
    <w:rsid w:val="009811A7"/>
    <w:rsid w:val="00981268"/>
    <w:rsid w:val="00981501"/>
    <w:rsid w:val="0098163E"/>
    <w:rsid w:val="00981689"/>
    <w:rsid w:val="00981C15"/>
    <w:rsid w:val="00981D44"/>
    <w:rsid w:val="00981D91"/>
    <w:rsid w:val="00981DE9"/>
    <w:rsid w:val="00981E24"/>
    <w:rsid w:val="0098204B"/>
    <w:rsid w:val="009821C3"/>
    <w:rsid w:val="009821F5"/>
    <w:rsid w:val="009824E9"/>
    <w:rsid w:val="0098265B"/>
    <w:rsid w:val="009826DA"/>
    <w:rsid w:val="00982830"/>
    <w:rsid w:val="00982912"/>
    <w:rsid w:val="009829C7"/>
    <w:rsid w:val="009829FA"/>
    <w:rsid w:val="00982B88"/>
    <w:rsid w:val="00982CE3"/>
    <w:rsid w:val="00982DC7"/>
    <w:rsid w:val="00982E7E"/>
    <w:rsid w:val="00982FCD"/>
    <w:rsid w:val="0098300D"/>
    <w:rsid w:val="0098305A"/>
    <w:rsid w:val="00983571"/>
    <w:rsid w:val="009837C6"/>
    <w:rsid w:val="009838B3"/>
    <w:rsid w:val="00983E08"/>
    <w:rsid w:val="00983E2B"/>
    <w:rsid w:val="00983E31"/>
    <w:rsid w:val="00983E45"/>
    <w:rsid w:val="00984224"/>
    <w:rsid w:val="00984289"/>
    <w:rsid w:val="009843CB"/>
    <w:rsid w:val="00984481"/>
    <w:rsid w:val="00984523"/>
    <w:rsid w:val="009847BE"/>
    <w:rsid w:val="009848A1"/>
    <w:rsid w:val="00984970"/>
    <w:rsid w:val="00984A57"/>
    <w:rsid w:val="00984B76"/>
    <w:rsid w:val="00984B8F"/>
    <w:rsid w:val="00984BF8"/>
    <w:rsid w:val="00984C35"/>
    <w:rsid w:val="00984D9E"/>
    <w:rsid w:val="00984E28"/>
    <w:rsid w:val="00984F40"/>
    <w:rsid w:val="00984F5C"/>
    <w:rsid w:val="0098500C"/>
    <w:rsid w:val="00985129"/>
    <w:rsid w:val="00985226"/>
    <w:rsid w:val="009854EA"/>
    <w:rsid w:val="0098564C"/>
    <w:rsid w:val="0098570C"/>
    <w:rsid w:val="0098583C"/>
    <w:rsid w:val="00985ABF"/>
    <w:rsid w:val="00985BA8"/>
    <w:rsid w:val="00985D6E"/>
    <w:rsid w:val="00986108"/>
    <w:rsid w:val="009861F7"/>
    <w:rsid w:val="00986779"/>
    <w:rsid w:val="009867CD"/>
    <w:rsid w:val="0098683F"/>
    <w:rsid w:val="00986DE8"/>
    <w:rsid w:val="00987008"/>
    <w:rsid w:val="009871B3"/>
    <w:rsid w:val="009872B9"/>
    <w:rsid w:val="009873F4"/>
    <w:rsid w:val="009874E7"/>
    <w:rsid w:val="0098751C"/>
    <w:rsid w:val="00987624"/>
    <w:rsid w:val="00987748"/>
    <w:rsid w:val="00987754"/>
    <w:rsid w:val="00987973"/>
    <w:rsid w:val="009879D2"/>
    <w:rsid w:val="00987A0C"/>
    <w:rsid w:val="00987A93"/>
    <w:rsid w:val="00987B5E"/>
    <w:rsid w:val="00987CC8"/>
    <w:rsid w:val="00987EC0"/>
    <w:rsid w:val="00990186"/>
    <w:rsid w:val="0099035A"/>
    <w:rsid w:val="00990456"/>
    <w:rsid w:val="00990483"/>
    <w:rsid w:val="00990583"/>
    <w:rsid w:val="009905BD"/>
    <w:rsid w:val="00990C93"/>
    <w:rsid w:val="00991006"/>
    <w:rsid w:val="009910C8"/>
    <w:rsid w:val="00991200"/>
    <w:rsid w:val="00991263"/>
    <w:rsid w:val="0099164A"/>
    <w:rsid w:val="009916C9"/>
    <w:rsid w:val="00991A42"/>
    <w:rsid w:val="00991C98"/>
    <w:rsid w:val="00991F13"/>
    <w:rsid w:val="00991F55"/>
    <w:rsid w:val="00992043"/>
    <w:rsid w:val="00992266"/>
    <w:rsid w:val="0099230B"/>
    <w:rsid w:val="00992387"/>
    <w:rsid w:val="0099243E"/>
    <w:rsid w:val="00992481"/>
    <w:rsid w:val="0099249B"/>
    <w:rsid w:val="009924A8"/>
    <w:rsid w:val="0099258D"/>
    <w:rsid w:val="009925CD"/>
    <w:rsid w:val="009926AA"/>
    <w:rsid w:val="0099284D"/>
    <w:rsid w:val="0099291F"/>
    <w:rsid w:val="009929D3"/>
    <w:rsid w:val="00992C1C"/>
    <w:rsid w:val="00992CA8"/>
    <w:rsid w:val="00992CDD"/>
    <w:rsid w:val="00992D47"/>
    <w:rsid w:val="00992E4C"/>
    <w:rsid w:val="00992EED"/>
    <w:rsid w:val="00992F03"/>
    <w:rsid w:val="00992F30"/>
    <w:rsid w:val="00992F3E"/>
    <w:rsid w:val="00992F6A"/>
    <w:rsid w:val="00992FA7"/>
    <w:rsid w:val="00992FD2"/>
    <w:rsid w:val="00993363"/>
    <w:rsid w:val="009933C3"/>
    <w:rsid w:val="009933D3"/>
    <w:rsid w:val="00993625"/>
    <w:rsid w:val="00993CB5"/>
    <w:rsid w:val="00993D7A"/>
    <w:rsid w:val="00993ED2"/>
    <w:rsid w:val="00993F5E"/>
    <w:rsid w:val="00994244"/>
    <w:rsid w:val="00994281"/>
    <w:rsid w:val="00994444"/>
    <w:rsid w:val="009944DD"/>
    <w:rsid w:val="00994576"/>
    <w:rsid w:val="0099458E"/>
    <w:rsid w:val="009945DA"/>
    <w:rsid w:val="00994652"/>
    <w:rsid w:val="009946FF"/>
    <w:rsid w:val="0099498F"/>
    <w:rsid w:val="00994EB2"/>
    <w:rsid w:val="00994EFA"/>
    <w:rsid w:val="00995004"/>
    <w:rsid w:val="00995097"/>
    <w:rsid w:val="00995174"/>
    <w:rsid w:val="00995431"/>
    <w:rsid w:val="0099580D"/>
    <w:rsid w:val="0099588A"/>
    <w:rsid w:val="009958D6"/>
    <w:rsid w:val="0099599B"/>
    <w:rsid w:val="00995A09"/>
    <w:rsid w:val="00995BF6"/>
    <w:rsid w:val="00995E6D"/>
    <w:rsid w:val="00995EF8"/>
    <w:rsid w:val="00996161"/>
    <w:rsid w:val="009961C4"/>
    <w:rsid w:val="0099645A"/>
    <w:rsid w:val="00996613"/>
    <w:rsid w:val="0099669F"/>
    <w:rsid w:val="009967D6"/>
    <w:rsid w:val="00996A2F"/>
    <w:rsid w:val="00996B2E"/>
    <w:rsid w:val="00996C87"/>
    <w:rsid w:val="00996CE6"/>
    <w:rsid w:val="00996CF3"/>
    <w:rsid w:val="00996DE7"/>
    <w:rsid w:val="0099700C"/>
    <w:rsid w:val="009972DB"/>
    <w:rsid w:val="00997325"/>
    <w:rsid w:val="009974AF"/>
    <w:rsid w:val="00997588"/>
    <w:rsid w:val="009975D7"/>
    <w:rsid w:val="00997A15"/>
    <w:rsid w:val="00997B0A"/>
    <w:rsid w:val="00997DB4"/>
    <w:rsid w:val="00997E58"/>
    <w:rsid w:val="00997E9B"/>
    <w:rsid w:val="00997F05"/>
    <w:rsid w:val="00997FA7"/>
    <w:rsid w:val="009A0098"/>
    <w:rsid w:val="009A039B"/>
    <w:rsid w:val="009A0448"/>
    <w:rsid w:val="009A05A9"/>
    <w:rsid w:val="009A05D3"/>
    <w:rsid w:val="009A060B"/>
    <w:rsid w:val="009A0672"/>
    <w:rsid w:val="009A06F1"/>
    <w:rsid w:val="009A075D"/>
    <w:rsid w:val="009A0771"/>
    <w:rsid w:val="009A07A2"/>
    <w:rsid w:val="009A0A01"/>
    <w:rsid w:val="009A0C37"/>
    <w:rsid w:val="009A0C88"/>
    <w:rsid w:val="009A0D5D"/>
    <w:rsid w:val="009A0DED"/>
    <w:rsid w:val="009A0E6A"/>
    <w:rsid w:val="009A1317"/>
    <w:rsid w:val="009A138B"/>
    <w:rsid w:val="009A167C"/>
    <w:rsid w:val="009A1829"/>
    <w:rsid w:val="009A18BD"/>
    <w:rsid w:val="009A190E"/>
    <w:rsid w:val="009A1935"/>
    <w:rsid w:val="009A1950"/>
    <w:rsid w:val="009A19F0"/>
    <w:rsid w:val="009A1ACB"/>
    <w:rsid w:val="009A1B10"/>
    <w:rsid w:val="009A1B23"/>
    <w:rsid w:val="009A1B60"/>
    <w:rsid w:val="009A1D5D"/>
    <w:rsid w:val="009A1EA6"/>
    <w:rsid w:val="009A1EF0"/>
    <w:rsid w:val="009A1FE8"/>
    <w:rsid w:val="009A2109"/>
    <w:rsid w:val="009A228F"/>
    <w:rsid w:val="009A22D0"/>
    <w:rsid w:val="009A2339"/>
    <w:rsid w:val="009A273E"/>
    <w:rsid w:val="009A2749"/>
    <w:rsid w:val="009A27D6"/>
    <w:rsid w:val="009A2AA3"/>
    <w:rsid w:val="009A30B4"/>
    <w:rsid w:val="009A3109"/>
    <w:rsid w:val="009A314F"/>
    <w:rsid w:val="009A32FC"/>
    <w:rsid w:val="009A336E"/>
    <w:rsid w:val="009A346B"/>
    <w:rsid w:val="009A34DA"/>
    <w:rsid w:val="009A353E"/>
    <w:rsid w:val="009A365F"/>
    <w:rsid w:val="009A3730"/>
    <w:rsid w:val="009A3742"/>
    <w:rsid w:val="009A39C6"/>
    <w:rsid w:val="009A3A53"/>
    <w:rsid w:val="009A3A59"/>
    <w:rsid w:val="009A3CE0"/>
    <w:rsid w:val="009A3D91"/>
    <w:rsid w:val="009A3DD2"/>
    <w:rsid w:val="009A3EAF"/>
    <w:rsid w:val="009A3F39"/>
    <w:rsid w:val="009A40DC"/>
    <w:rsid w:val="009A43D8"/>
    <w:rsid w:val="009A4419"/>
    <w:rsid w:val="009A46FE"/>
    <w:rsid w:val="009A4AA1"/>
    <w:rsid w:val="009A4AF0"/>
    <w:rsid w:val="009A4B1E"/>
    <w:rsid w:val="009A4F31"/>
    <w:rsid w:val="009A4F4B"/>
    <w:rsid w:val="009A51CF"/>
    <w:rsid w:val="009A51E7"/>
    <w:rsid w:val="009A53DB"/>
    <w:rsid w:val="009A556B"/>
    <w:rsid w:val="009A558D"/>
    <w:rsid w:val="009A582B"/>
    <w:rsid w:val="009A58B8"/>
    <w:rsid w:val="009A5990"/>
    <w:rsid w:val="009A5A65"/>
    <w:rsid w:val="009A5C27"/>
    <w:rsid w:val="009A5D2B"/>
    <w:rsid w:val="009A62AD"/>
    <w:rsid w:val="009A64E3"/>
    <w:rsid w:val="009A65D6"/>
    <w:rsid w:val="009A66D2"/>
    <w:rsid w:val="009A6732"/>
    <w:rsid w:val="009A6822"/>
    <w:rsid w:val="009A6853"/>
    <w:rsid w:val="009A6B2D"/>
    <w:rsid w:val="009A6B9E"/>
    <w:rsid w:val="009A6C0F"/>
    <w:rsid w:val="009A6C8E"/>
    <w:rsid w:val="009A6D54"/>
    <w:rsid w:val="009A6D7C"/>
    <w:rsid w:val="009A6D9A"/>
    <w:rsid w:val="009A6E73"/>
    <w:rsid w:val="009A7077"/>
    <w:rsid w:val="009A7180"/>
    <w:rsid w:val="009A7245"/>
    <w:rsid w:val="009A726B"/>
    <w:rsid w:val="009A7289"/>
    <w:rsid w:val="009A743E"/>
    <w:rsid w:val="009A7865"/>
    <w:rsid w:val="009A7A20"/>
    <w:rsid w:val="009A7B3D"/>
    <w:rsid w:val="009A7C21"/>
    <w:rsid w:val="009A7C44"/>
    <w:rsid w:val="009A7CE2"/>
    <w:rsid w:val="009A7DE0"/>
    <w:rsid w:val="009A7DF3"/>
    <w:rsid w:val="009A7E14"/>
    <w:rsid w:val="009A7EFE"/>
    <w:rsid w:val="009B0032"/>
    <w:rsid w:val="009B0052"/>
    <w:rsid w:val="009B019E"/>
    <w:rsid w:val="009B053E"/>
    <w:rsid w:val="009B068F"/>
    <w:rsid w:val="009B07B3"/>
    <w:rsid w:val="009B08E6"/>
    <w:rsid w:val="009B0B7F"/>
    <w:rsid w:val="009B0BDE"/>
    <w:rsid w:val="009B0C5D"/>
    <w:rsid w:val="009B0CC6"/>
    <w:rsid w:val="009B0D4C"/>
    <w:rsid w:val="009B0F59"/>
    <w:rsid w:val="009B1321"/>
    <w:rsid w:val="009B1364"/>
    <w:rsid w:val="009B1366"/>
    <w:rsid w:val="009B136C"/>
    <w:rsid w:val="009B16C4"/>
    <w:rsid w:val="009B179D"/>
    <w:rsid w:val="009B17CD"/>
    <w:rsid w:val="009B1831"/>
    <w:rsid w:val="009B1951"/>
    <w:rsid w:val="009B1AF5"/>
    <w:rsid w:val="009B1BF2"/>
    <w:rsid w:val="009B1C2D"/>
    <w:rsid w:val="009B1D4A"/>
    <w:rsid w:val="009B1D4F"/>
    <w:rsid w:val="009B1F15"/>
    <w:rsid w:val="009B1F9C"/>
    <w:rsid w:val="009B1FD8"/>
    <w:rsid w:val="009B22DE"/>
    <w:rsid w:val="009B23C6"/>
    <w:rsid w:val="009B27FD"/>
    <w:rsid w:val="009B2B6E"/>
    <w:rsid w:val="009B2DCA"/>
    <w:rsid w:val="009B2E53"/>
    <w:rsid w:val="009B3286"/>
    <w:rsid w:val="009B337D"/>
    <w:rsid w:val="009B3475"/>
    <w:rsid w:val="009B349B"/>
    <w:rsid w:val="009B35D2"/>
    <w:rsid w:val="009B35E7"/>
    <w:rsid w:val="009B3618"/>
    <w:rsid w:val="009B36BD"/>
    <w:rsid w:val="009B36F5"/>
    <w:rsid w:val="009B375F"/>
    <w:rsid w:val="009B37F6"/>
    <w:rsid w:val="009B3AD5"/>
    <w:rsid w:val="009B3B66"/>
    <w:rsid w:val="009B3B94"/>
    <w:rsid w:val="009B3C3F"/>
    <w:rsid w:val="009B3CD4"/>
    <w:rsid w:val="009B3DD6"/>
    <w:rsid w:val="009B3FC6"/>
    <w:rsid w:val="009B3FCA"/>
    <w:rsid w:val="009B3FDB"/>
    <w:rsid w:val="009B4111"/>
    <w:rsid w:val="009B41E1"/>
    <w:rsid w:val="009B41F8"/>
    <w:rsid w:val="009B42F6"/>
    <w:rsid w:val="009B4336"/>
    <w:rsid w:val="009B439D"/>
    <w:rsid w:val="009B4476"/>
    <w:rsid w:val="009B4502"/>
    <w:rsid w:val="009B45D6"/>
    <w:rsid w:val="009B4883"/>
    <w:rsid w:val="009B4A41"/>
    <w:rsid w:val="009B4A6E"/>
    <w:rsid w:val="009B4A76"/>
    <w:rsid w:val="009B4B01"/>
    <w:rsid w:val="009B4BE8"/>
    <w:rsid w:val="009B4D1C"/>
    <w:rsid w:val="009B4EDF"/>
    <w:rsid w:val="009B4F42"/>
    <w:rsid w:val="009B4F4B"/>
    <w:rsid w:val="009B4FA3"/>
    <w:rsid w:val="009B4FE2"/>
    <w:rsid w:val="009B508B"/>
    <w:rsid w:val="009B5094"/>
    <w:rsid w:val="009B51E0"/>
    <w:rsid w:val="009B53AA"/>
    <w:rsid w:val="009B5545"/>
    <w:rsid w:val="009B5643"/>
    <w:rsid w:val="009B5672"/>
    <w:rsid w:val="009B57DC"/>
    <w:rsid w:val="009B595A"/>
    <w:rsid w:val="009B5AF0"/>
    <w:rsid w:val="009B5BD3"/>
    <w:rsid w:val="009B5EC2"/>
    <w:rsid w:val="009B5F56"/>
    <w:rsid w:val="009B5F62"/>
    <w:rsid w:val="009B5FAB"/>
    <w:rsid w:val="009B6091"/>
    <w:rsid w:val="009B616F"/>
    <w:rsid w:val="009B6269"/>
    <w:rsid w:val="009B6355"/>
    <w:rsid w:val="009B6368"/>
    <w:rsid w:val="009B63ED"/>
    <w:rsid w:val="009B6406"/>
    <w:rsid w:val="009B640E"/>
    <w:rsid w:val="009B65C9"/>
    <w:rsid w:val="009B66E7"/>
    <w:rsid w:val="009B674E"/>
    <w:rsid w:val="009B6A53"/>
    <w:rsid w:val="009B6B2D"/>
    <w:rsid w:val="009B6BC9"/>
    <w:rsid w:val="009B6DFC"/>
    <w:rsid w:val="009B6EC9"/>
    <w:rsid w:val="009B6F58"/>
    <w:rsid w:val="009B7130"/>
    <w:rsid w:val="009B7233"/>
    <w:rsid w:val="009B73C7"/>
    <w:rsid w:val="009B73CA"/>
    <w:rsid w:val="009B7485"/>
    <w:rsid w:val="009B75FC"/>
    <w:rsid w:val="009B777D"/>
    <w:rsid w:val="009B77C7"/>
    <w:rsid w:val="009B78BC"/>
    <w:rsid w:val="009B7B3F"/>
    <w:rsid w:val="009B7BB6"/>
    <w:rsid w:val="009B7D05"/>
    <w:rsid w:val="009B7E0F"/>
    <w:rsid w:val="009B7EA6"/>
    <w:rsid w:val="009B7F30"/>
    <w:rsid w:val="009C008F"/>
    <w:rsid w:val="009C00FF"/>
    <w:rsid w:val="009C018B"/>
    <w:rsid w:val="009C01E4"/>
    <w:rsid w:val="009C0295"/>
    <w:rsid w:val="009C03F3"/>
    <w:rsid w:val="009C04BD"/>
    <w:rsid w:val="009C0617"/>
    <w:rsid w:val="009C084B"/>
    <w:rsid w:val="009C0869"/>
    <w:rsid w:val="009C0B79"/>
    <w:rsid w:val="009C0FD3"/>
    <w:rsid w:val="009C0FEF"/>
    <w:rsid w:val="009C10BF"/>
    <w:rsid w:val="009C1133"/>
    <w:rsid w:val="009C1184"/>
    <w:rsid w:val="009C124B"/>
    <w:rsid w:val="009C1265"/>
    <w:rsid w:val="009C13A1"/>
    <w:rsid w:val="009C156A"/>
    <w:rsid w:val="009C15C7"/>
    <w:rsid w:val="009C1782"/>
    <w:rsid w:val="009C18EB"/>
    <w:rsid w:val="009C1960"/>
    <w:rsid w:val="009C1C5B"/>
    <w:rsid w:val="009C1E21"/>
    <w:rsid w:val="009C2035"/>
    <w:rsid w:val="009C2342"/>
    <w:rsid w:val="009C2374"/>
    <w:rsid w:val="009C23F2"/>
    <w:rsid w:val="009C25C1"/>
    <w:rsid w:val="009C2877"/>
    <w:rsid w:val="009C296C"/>
    <w:rsid w:val="009C2B23"/>
    <w:rsid w:val="009C2B52"/>
    <w:rsid w:val="009C2C03"/>
    <w:rsid w:val="009C2C4B"/>
    <w:rsid w:val="009C2D1B"/>
    <w:rsid w:val="009C2D9F"/>
    <w:rsid w:val="009C2EAE"/>
    <w:rsid w:val="009C2F11"/>
    <w:rsid w:val="009C2F3F"/>
    <w:rsid w:val="009C30DD"/>
    <w:rsid w:val="009C3235"/>
    <w:rsid w:val="009C338E"/>
    <w:rsid w:val="009C3449"/>
    <w:rsid w:val="009C3452"/>
    <w:rsid w:val="009C3677"/>
    <w:rsid w:val="009C3795"/>
    <w:rsid w:val="009C3973"/>
    <w:rsid w:val="009C3A08"/>
    <w:rsid w:val="009C3AAD"/>
    <w:rsid w:val="009C3C3D"/>
    <w:rsid w:val="009C3D26"/>
    <w:rsid w:val="009C3DC6"/>
    <w:rsid w:val="009C4163"/>
    <w:rsid w:val="009C42DC"/>
    <w:rsid w:val="009C48A0"/>
    <w:rsid w:val="009C48A9"/>
    <w:rsid w:val="009C4A7D"/>
    <w:rsid w:val="009C4BC3"/>
    <w:rsid w:val="009C4C77"/>
    <w:rsid w:val="009C4CE8"/>
    <w:rsid w:val="009C4CF9"/>
    <w:rsid w:val="009C4DBF"/>
    <w:rsid w:val="009C4DE1"/>
    <w:rsid w:val="009C50E7"/>
    <w:rsid w:val="009C50E8"/>
    <w:rsid w:val="009C50EA"/>
    <w:rsid w:val="009C52AA"/>
    <w:rsid w:val="009C543E"/>
    <w:rsid w:val="009C5447"/>
    <w:rsid w:val="009C5705"/>
    <w:rsid w:val="009C57A1"/>
    <w:rsid w:val="009C57CD"/>
    <w:rsid w:val="009C5917"/>
    <w:rsid w:val="009C5998"/>
    <w:rsid w:val="009C5A10"/>
    <w:rsid w:val="009C5AB5"/>
    <w:rsid w:val="009C5AEE"/>
    <w:rsid w:val="009C5C78"/>
    <w:rsid w:val="009C5DE4"/>
    <w:rsid w:val="009C619C"/>
    <w:rsid w:val="009C6232"/>
    <w:rsid w:val="009C62CB"/>
    <w:rsid w:val="009C6356"/>
    <w:rsid w:val="009C6374"/>
    <w:rsid w:val="009C650D"/>
    <w:rsid w:val="009C6574"/>
    <w:rsid w:val="009C6A3A"/>
    <w:rsid w:val="009C6FCC"/>
    <w:rsid w:val="009C7072"/>
    <w:rsid w:val="009C7087"/>
    <w:rsid w:val="009C711B"/>
    <w:rsid w:val="009C7159"/>
    <w:rsid w:val="009C7219"/>
    <w:rsid w:val="009C72E9"/>
    <w:rsid w:val="009C73E7"/>
    <w:rsid w:val="009C741D"/>
    <w:rsid w:val="009C74A0"/>
    <w:rsid w:val="009C7741"/>
    <w:rsid w:val="009C778A"/>
    <w:rsid w:val="009C7854"/>
    <w:rsid w:val="009C7946"/>
    <w:rsid w:val="009C7A7C"/>
    <w:rsid w:val="009C7E05"/>
    <w:rsid w:val="009C7FDA"/>
    <w:rsid w:val="009D016D"/>
    <w:rsid w:val="009D0399"/>
    <w:rsid w:val="009D0593"/>
    <w:rsid w:val="009D05CB"/>
    <w:rsid w:val="009D062A"/>
    <w:rsid w:val="009D08C9"/>
    <w:rsid w:val="009D08DC"/>
    <w:rsid w:val="009D0A2A"/>
    <w:rsid w:val="009D0C3B"/>
    <w:rsid w:val="009D0CAE"/>
    <w:rsid w:val="009D0EBF"/>
    <w:rsid w:val="009D0ECF"/>
    <w:rsid w:val="009D12E4"/>
    <w:rsid w:val="009D14B1"/>
    <w:rsid w:val="009D155E"/>
    <w:rsid w:val="009D15DE"/>
    <w:rsid w:val="009D16BE"/>
    <w:rsid w:val="009D16E7"/>
    <w:rsid w:val="009D18A0"/>
    <w:rsid w:val="009D1910"/>
    <w:rsid w:val="009D19B9"/>
    <w:rsid w:val="009D1B0F"/>
    <w:rsid w:val="009D1BB3"/>
    <w:rsid w:val="009D1C19"/>
    <w:rsid w:val="009D1E39"/>
    <w:rsid w:val="009D1EDB"/>
    <w:rsid w:val="009D1F75"/>
    <w:rsid w:val="009D22A0"/>
    <w:rsid w:val="009D2388"/>
    <w:rsid w:val="009D2630"/>
    <w:rsid w:val="009D26A7"/>
    <w:rsid w:val="009D2808"/>
    <w:rsid w:val="009D2968"/>
    <w:rsid w:val="009D2989"/>
    <w:rsid w:val="009D29EE"/>
    <w:rsid w:val="009D2C7D"/>
    <w:rsid w:val="009D2CC0"/>
    <w:rsid w:val="009D2D64"/>
    <w:rsid w:val="009D2ECA"/>
    <w:rsid w:val="009D2FD9"/>
    <w:rsid w:val="009D3044"/>
    <w:rsid w:val="009D3225"/>
    <w:rsid w:val="009D3273"/>
    <w:rsid w:val="009D3330"/>
    <w:rsid w:val="009D339B"/>
    <w:rsid w:val="009D366C"/>
    <w:rsid w:val="009D368F"/>
    <w:rsid w:val="009D3765"/>
    <w:rsid w:val="009D37BE"/>
    <w:rsid w:val="009D3932"/>
    <w:rsid w:val="009D39E7"/>
    <w:rsid w:val="009D3AD9"/>
    <w:rsid w:val="009D3B21"/>
    <w:rsid w:val="009D3B32"/>
    <w:rsid w:val="009D3F60"/>
    <w:rsid w:val="009D3FF9"/>
    <w:rsid w:val="009D414B"/>
    <w:rsid w:val="009D419C"/>
    <w:rsid w:val="009D4378"/>
    <w:rsid w:val="009D4434"/>
    <w:rsid w:val="009D44A6"/>
    <w:rsid w:val="009D44C9"/>
    <w:rsid w:val="009D45C5"/>
    <w:rsid w:val="009D46C7"/>
    <w:rsid w:val="009D48D0"/>
    <w:rsid w:val="009D48DF"/>
    <w:rsid w:val="009D49A3"/>
    <w:rsid w:val="009D4B0A"/>
    <w:rsid w:val="009D4B16"/>
    <w:rsid w:val="009D4BDE"/>
    <w:rsid w:val="009D4CCE"/>
    <w:rsid w:val="009D4DA7"/>
    <w:rsid w:val="009D4E5D"/>
    <w:rsid w:val="009D5003"/>
    <w:rsid w:val="009D5038"/>
    <w:rsid w:val="009D5527"/>
    <w:rsid w:val="009D55F3"/>
    <w:rsid w:val="009D578D"/>
    <w:rsid w:val="009D5996"/>
    <w:rsid w:val="009D5A60"/>
    <w:rsid w:val="009D5B2E"/>
    <w:rsid w:val="009D5BBE"/>
    <w:rsid w:val="009D5D84"/>
    <w:rsid w:val="009D5DF4"/>
    <w:rsid w:val="009D5EAB"/>
    <w:rsid w:val="009D60F1"/>
    <w:rsid w:val="009D61A7"/>
    <w:rsid w:val="009D620D"/>
    <w:rsid w:val="009D62A5"/>
    <w:rsid w:val="009D62FE"/>
    <w:rsid w:val="009D636A"/>
    <w:rsid w:val="009D658A"/>
    <w:rsid w:val="009D6991"/>
    <w:rsid w:val="009D6C59"/>
    <w:rsid w:val="009D6CEC"/>
    <w:rsid w:val="009D6D9B"/>
    <w:rsid w:val="009D6DF0"/>
    <w:rsid w:val="009D7040"/>
    <w:rsid w:val="009D70FD"/>
    <w:rsid w:val="009D710D"/>
    <w:rsid w:val="009D7470"/>
    <w:rsid w:val="009D7480"/>
    <w:rsid w:val="009D7636"/>
    <w:rsid w:val="009D7692"/>
    <w:rsid w:val="009D7728"/>
    <w:rsid w:val="009D7751"/>
    <w:rsid w:val="009D794A"/>
    <w:rsid w:val="009D7B42"/>
    <w:rsid w:val="009D7CE0"/>
    <w:rsid w:val="009D7D55"/>
    <w:rsid w:val="009D7E6A"/>
    <w:rsid w:val="009D7E9C"/>
    <w:rsid w:val="009D7F2F"/>
    <w:rsid w:val="009E0147"/>
    <w:rsid w:val="009E0175"/>
    <w:rsid w:val="009E031E"/>
    <w:rsid w:val="009E047D"/>
    <w:rsid w:val="009E0961"/>
    <w:rsid w:val="009E0D94"/>
    <w:rsid w:val="009E0E24"/>
    <w:rsid w:val="009E0E60"/>
    <w:rsid w:val="009E0F14"/>
    <w:rsid w:val="009E0FB2"/>
    <w:rsid w:val="009E11B1"/>
    <w:rsid w:val="009E125D"/>
    <w:rsid w:val="009E1424"/>
    <w:rsid w:val="009E14C1"/>
    <w:rsid w:val="009E15FC"/>
    <w:rsid w:val="009E1633"/>
    <w:rsid w:val="009E16B3"/>
    <w:rsid w:val="009E1872"/>
    <w:rsid w:val="009E1E06"/>
    <w:rsid w:val="009E1FF9"/>
    <w:rsid w:val="009E2136"/>
    <w:rsid w:val="009E221C"/>
    <w:rsid w:val="009E27B8"/>
    <w:rsid w:val="009E2828"/>
    <w:rsid w:val="009E2849"/>
    <w:rsid w:val="009E2D9F"/>
    <w:rsid w:val="009E3375"/>
    <w:rsid w:val="009E3486"/>
    <w:rsid w:val="009E372D"/>
    <w:rsid w:val="009E37A0"/>
    <w:rsid w:val="009E38AC"/>
    <w:rsid w:val="009E390E"/>
    <w:rsid w:val="009E3A92"/>
    <w:rsid w:val="009E4012"/>
    <w:rsid w:val="009E4057"/>
    <w:rsid w:val="009E41BB"/>
    <w:rsid w:val="009E41FE"/>
    <w:rsid w:val="009E42DA"/>
    <w:rsid w:val="009E45B8"/>
    <w:rsid w:val="009E4606"/>
    <w:rsid w:val="009E46D6"/>
    <w:rsid w:val="009E4741"/>
    <w:rsid w:val="009E476F"/>
    <w:rsid w:val="009E478E"/>
    <w:rsid w:val="009E47C7"/>
    <w:rsid w:val="009E47D3"/>
    <w:rsid w:val="009E4A65"/>
    <w:rsid w:val="009E4AF1"/>
    <w:rsid w:val="009E4BD0"/>
    <w:rsid w:val="009E4C0B"/>
    <w:rsid w:val="009E4C7C"/>
    <w:rsid w:val="009E4D8E"/>
    <w:rsid w:val="009E4DC1"/>
    <w:rsid w:val="009E5064"/>
    <w:rsid w:val="009E5075"/>
    <w:rsid w:val="009E52B3"/>
    <w:rsid w:val="009E5300"/>
    <w:rsid w:val="009E55AD"/>
    <w:rsid w:val="009E5844"/>
    <w:rsid w:val="009E5988"/>
    <w:rsid w:val="009E5A80"/>
    <w:rsid w:val="009E5AF0"/>
    <w:rsid w:val="009E5B57"/>
    <w:rsid w:val="009E5B69"/>
    <w:rsid w:val="009E5BE9"/>
    <w:rsid w:val="009E5D12"/>
    <w:rsid w:val="009E5F30"/>
    <w:rsid w:val="009E5F4A"/>
    <w:rsid w:val="009E5FA2"/>
    <w:rsid w:val="009E6020"/>
    <w:rsid w:val="009E60C7"/>
    <w:rsid w:val="009E61C6"/>
    <w:rsid w:val="009E635E"/>
    <w:rsid w:val="009E6598"/>
    <w:rsid w:val="009E65A9"/>
    <w:rsid w:val="009E6755"/>
    <w:rsid w:val="009E69C9"/>
    <w:rsid w:val="009E6A9D"/>
    <w:rsid w:val="009E6D50"/>
    <w:rsid w:val="009E6E41"/>
    <w:rsid w:val="009E6F16"/>
    <w:rsid w:val="009E6FEC"/>
    <w:rsid w:val="009E7428"/>
    <w:rsid w:val="009E761A"/>
    <w:rsid w:val="009E76B1"/>
    <w:rsid w:val="009E7866"/>
    <w:rsid w:val="009E7A95"/>
    <w:rsid w:val="009E7BB9"/>
    <w:rsid w:val="009E7CA2"/>
    <w:rsid w:val="009F00A1"/>
    <w:rsid w:val="009F0131"/>
    <w:rsid w:val="009F0254"/>
    <w:rsid w:val="009F033D"/>
    <w:rsid w:val="009F0429"/>
    <w:rsid w:val="009F05B7"/>
    <w:rsid w:val="009F0796"/>
    <w:rsid w:val="009F0891"/>
    <w:rsid w:val="009F08F2"/>
    <w:rsid w:val="009F0B02"/>
    <w:rsid w:val="009F0BB2"/>
    <w:rsid w:val="009F0C5A"/>
    <w:rsid w:val="009F0D0A"/>
    <w:rsid w:val="009F10D7"/>
    <w:rsid w:val="009F1243"/>
    <w:rsid w:val="009F12AE"/>
    <w:rsid w:val="009F1684"/>
    <w:rsid w:val="009F16CA"/>
    <w:rsid w:val="009F1749"/>
    <w:rsid w:val="009F1784"/>
    <w:rsid w:val="009F1891"/>
    <w:rsid w:val="009F190F"/>
    <w:rsid w:val="009F1C58"/>
    <w:rsid w:val="009F1EA6"/>
    <w:rsid w:val="009F1EE3"/>
    <w:rsid w:val="009F2195"/>
    <w:rsid w:val="009F21CA"/>
    <w:rsid w:val="009F233B"/>
    <w:rsid w:val="009F247B"/>
    <w:rsid w:val="009F2483"/>
    <w:rsid w:val="009F2689"/>
    <w:rsid w:val="009F2986"/>
    <w:rsid w:val="009F29C7"/>
    <w:rsid w:val="009F2A60"/>
    <w:rsid w:val="009F2C89"/>
    <w:rsid w:val="009F2CA2"/>
    <w:rsid w:val="009F2CCC"/>
    <w:rsid w:val="009F2CDD"/>
    <w:rsid w:val="009F2DCB"/>
    <w:rsid w:val="009F2F1C"/>
    <w:rsid w:val="009F30AA"/>
    <w:rsid w:val="009F30F6"/>
    <w:rsid w:val="009F33AF"/>
    <w:rsid w:val="009F341F"/>
    <w:rsid w:val="009F3677"/>
    <w:rsid w:val="009F37F9"/>
    <w:rsid w:val="009F38BB"/>
    <w:rsid w:val="009F3D29"/>
    <w:rsid w:val="009F3D40"/>
    <w:rsid w:val="009F3E59"/>
    <w:rsid w:val="009F3E8E"/>
    <w:rsid w:val="009F404A"/>
    <w:rsid w:val="009F42D0"/>
    <w:rsid w:val="009F42EE"/>
    <w:rsid w:val="009F4414"/>
    <w:rsid w:val="009F44F6"/>
    <w:rsid w:val="009F4542"/>
    <w:rsid w:val="009F4569"/>
    <w:rsid w:val="009F477A"/>
    <w:rsid w:val="009F479F"/>
    <w:rsid w:val="009F4C1F"/>
    <w:rsid w:val="009F4CB2"/>
    <w:rsid w:val="009F4CD4"/>
    <w:rsid w:val="009F4D0A"/>
    <w:rsid w:val="009F4E7F"/>
    <w:rsid w:val="009F4F91"/>
    <w:rsid w:val="009F4FDA"/>
    <w:rsid w:val="009F51DF"/>
    <w:rsid w:val="009F5296"/>
    <w:rsid w:val="009F55E1"/>
    <w:rsid w:val="009F55FE"/>
    <w:rsid w:val="009F565B"/>
    <w:rsid w:val="009F5812"/>
    <w:rsid w:val="009F58C8"/>
    <w:rsid w:val="009F58F8"/>
    <w:rsid w:val="009F5CE6"/>
    <w:rsid w:val="009F6001"/>
    <w:rsid w:val="009F611E"/>
    <w:rsid w:val="009F6137"/>
    <w:rsid w:val="009F63FC"/>
    <w:rsid w:val="009F64F3"/>
    <w:rsid w:val="009F6577"/>
    <w:rsid w:val="009F66A1"/>
    <w:rsid w:val="009F6759"/>
    <w:rsid w:val="009F6AB3"/>
    <w:rsid w:val="009F7119"/>
    <w:rsid w:val="009F71D2"/>
    <w:rsid w:val="009F7422"/>
    <w:rsid w:val="009F746C"/>
    <w:rsid w:val="009F76CB"/>
    <w:rsid w:val="009F7755"/>
    <w:rsid w:val="009F7A0C"/>
    <w:rsid w:val="009F7B14"/>
    <w:rsid w:val="009F7BFF"/>
    <w:rsid w:val="009F7CA5"/>
    <w:rsid w:val="009F7D14"/>
    <w:rsid w:val="009F7E61"/>
    <w:rsid w:val="009F7EC3"/>
    <w:rsid w:val="009F7EF5"/>
    <w:rsid w:val="00A00194"/>
    <w:rsid w:val="00A001CB"/>
    <w:rsid w:val="00A001CD"/>
    <w:rsid w:val="00A003A1"/>
    <w:rsid w:val="00A00465"/>
    <w:rsid w:val="00A004D5"/>
    <w:rsid w:val="00A0052C"/>
    <w:rsid w:val="00A006BF"/>
    <w:rsid w:val="00A00802"/>
    <w:rsid w:val="00A008B4"/>
    <w:rsid w:val="00A00A3F"/>
    <w:rsid w:val="00A00B48"/>
    <w:rsid w:val="00A00B53"/>
    <w:rsid w:val="00A00D29"/>
    <w:rsid w:val="00A00E96"/>
    <w:rsid w:val="00A00EF0"/>
    <w:rsid w:val="00A01077"/>
    <w:rsid w:val="00A010F1"/>
    <w:rsid w:val="00A017EF"/>
    <w:rsid w:val="00A018E5"/>
    <w:rsid w:val="00A01A05"/>
    <w:rsid w:val="00A01AAA"/>
    <w:rsid w:val="00A01CFF"/>
    <w:rsid w:val="00A01D95"/>
    <w:rsid w:val="00A01E71"/>
    <w:rsid w:val="00A01F87"/>
    <w:rsid w:val="00A020E1"/>
    <w:rsid w:val="00A023B7"/>
    <w:rsid w:val="00A0240A"/>
    <w:rsid w:val="00A02594"/>
    <w:rsid w:val="00A025C2"/>
    <w:rsid w:val="00A02670"/>
    <w:rsid w:val="00A0285A"/>
    <w:rsid w:val="00A028BD"/>
    <w:rsid w:val="00A0294C"/>
    <w:rsid w:val="00A02AC1"/>
    <w:rsid w:val="00A02B0F"/>
    <w:rsid w:val="00A02BA5"/>
    <w:rsid w:val="00A02C6E"/>
    <w:rsid w:val="00A02D00"/>
    <w:rsid w:val="00A030FC"/>
    <w:rsid w:val="00A03100"/>
    <w:rsid w:val="00A03179"/>
    <w:rsid w:val="00A032BE"/>
    <w:rsid w:val="00A033E7"/>
    <w:rsid w:val="00A03406"/>
    <w:rsid w:val="00A0341C"/>
    <w:rsid w:val="00A03471"/>
    <w:rsid w:val="00A034C6"/>
    <w:rsid w:val="00A034F0"/>
    <w:rsid w:val="00A03517"/>
    <w:rsid w:val="00A037A9"/>
    <w:rsid w:val="00A0383F"/>
    <w:rsid w:val="00A03870"/>
    <w:rsid w:val="00A03AC7"/>
    <w:rsid w:val="00A03CFC"/>
    <w:rsid w:val="00A03DF1"/>
    <w:rsid w:val="00A03E1B"/>
    <w:rsid w:val="00A03F2A"/>
    <w:rsid w:val="00A04080"/>
    <w:rsid w:val="00A040A8"/>
    <w:rsid w:val="00A041CE"/>
    <w:rsid w:val="00A04380"/>
    <w:rsid w:val="00A047B8"/>
    <w:rsid w:val="00A048C1"/>
    <w:rsid w:val="00A04C02"/>
    <w:rsid w:val="00A04C24"/>
    <w:rsid w:val="00A050B6"/>
    <w:rsid w:val="00A05186"/>
    <w:rsid w:val="00A0523F"/>
    <w:rsid w:val="00A05291"/>
    <w:rsid w:val="00A0529B"/>
    <w:rsid w:val="00A053B0"/>
    <w:rsid w:val="00A05723"/>
    <w:rsid w:val="00A0593C"/>
    <w:rsid w:val="00A05D62"/>
    <w:rsid w:val="00A06232"/>
    <w:rsid w:val="00A0636D"/>
    <w:rsid w:val="00A06371"/>
    <w:rsid w:val="00A063C5"/>
    <w:rsid w:val="00A0661F"/>
    <w:rsid w:val="00A0673C"/>
    <w:rsid w:val="00A06888"/>
    <w:rsid w:val="00A068F1"/>
    <w:rsid w:val="00A06A35"/>
    <w:rsid w:val="00A06B4D"/>
    <w:rsid w:val="00A06D21"/>
    <w:rsid w:val="00A070A3"/>
    <w:rsid w:val="00A070DB"/>
    <w:rsid w:val="00A07140"/>
    <w:rsid w:val="00A07201"/>
    <w:rsid w:val="00A0736A"/>
    <w:rsid w:val="00A07597"/>
    <w:rsid w:val="00A0776B"/>
    <w:rsid w:val="00A0782D"/>
    <w:rsid w:val="00A079CA"/>
    <w:rsid w:val="00A079D6"/>
    <w:rsid w:val="00A07AB2"/>
    <w:rsid w:val="00A07BB7"/>
    <w:rsid w:val="00A07CA5"/>
    <w:rsid w:val="00A07CEE"/>
    <w:rsid w:val="00A103F4"/>
    <w:rsid w:val="00A105E5"/>
    <w:rsid w:val="00A1062C"/>
    <w:rsid w:val="00A1071C"/>
    <w:rsid w:val="00A1097C"/>
    <w:rsid w:val="00A10996"/>
    <w:rsid w:val="00A10B50"/>
    <w:rsid w:val="00A10CF0"/>
    <w:rsid w:val="00A10E9B"/>
    <w:rsid w:val="00A10F79"/>
    <w:rsid w:val="00A10FB3"/>
    <w:rsid w:val="00A11156"/>
    <w:rsid w:val="00A111EA"/>
    <w:rsid w:val="00A11217"/>
    <w:rsid w:val="00A11234"/>
    <w:rsid w:val="00A11294"/>
    <w:rsid w:val="00A11440"/>
    <w:rsid w:val="00A11471"/>
    <w:rsid w:val="00A11496"/>
    <w:rsid w:val="00A114B2"/>
    <w:rsid w:val="00A1158A"/>
    <w:rsid w:val="00A118C9"/>
    <w:rsid w:val="00A118DA"/>
    <w:rsid w:val="00A11998"/>
    <w:rsid w:val="00A11A3A"/>
    <w:rsid w:val="00A11AF4"/>
    <w:rsid w:val="00A11E1B"/>
    <w:rsid w:val="00A11E98"/>
    <w:rsid w:val="00A11EA2"/>
    <w:rsid w:val="00A11FE4"/>
    <w:rsid w:val="00A1200B"/>
    <w:rsid w:val="00A12129"/>
    <w:rsid w:val="00A1212D"/>
    <w:rsid w:val="00A122C9"/>
    <w:rsid w:val="00A123BC"/>
    <w:rsid w:val="00A127B0"/>
    <w:rsid w:val="00A128C8"/>
    <w:rsid w:val="00A12BDD"/>
    <w:rsid w:val="00A12C9C"/>
    <w:rsid w:val="00A13072"/>
    <w:rsid w:val="00A13339"/>
    <w:rsid w:val="00A134BD"/>
    <w:rsid w:val="00A13684"/>
    <w:rsid w:val="00A13785"/>
    <w:rsid w:val="00A13799"/>
    <w:rsid w:val="00A13966"/>
    <w:rsid w:val="00A13C97"/>
    <w:rsid w:val="00A13CE4"/>
    <w:rsid w:val="00A13D8C"/>
    <w:rsid w:val="00A13FF5"/>
    <w:rsid w:val="00A13FFA"/>
    <w:rsid w:val="00A141E5"/>
    <w:rsid w:val="00A141F8"/>
    <w:rsid w:val="00A142CC"/>
    <w:rsid w:val="00A142E4"/>
    <w:rsid w:val="00A14377"/>
    <w:rsid w:val="00A14546"/>
    <w:rsid w:val="00A146BD"/>
    <w:rsid w:val="00A14C00"/>
    <w:rsid w:val="00A14F57"/>
    <w:rsid w:val="00A14F68"/>
    <w:rsid w:val="00A1501B"/>
    <w:rsid w:val="00A1502D"/>
    <w:rsid w:val="00A15097"/>
    <w:rsid w:val="00A1522C"/>
    <w:rsid w:val="00A15328"/>
    <w:rsid w:val="00A153DD"/>
    <w:rsid w:val="00A154B2"/>
    <w:rsid w:val="00A15577"/>
    <w:rsid w:val="00A15809"/>
    <w:rsid w:val="00A15818"/>
    <w:rsid w:val="00A15900"/>
    <w:rsid w:val="00A15954"/>
    <w:rsid w:val="00A15958"/>
    <w:rsid w:val="00A15962"/>
    <w:rsid w:val="00A159EC"/>
    <w:rsid w:val="00A159F1"/>
    <w:rsid w:val="00A15DB1"/>
    <w:rsid w:val="00A15E91"/>
    <w:rsid w:val="00A15EF1"/>
    <w:rsid w:val="00A15F82"/>
    <w:rsid w:val="00A16008"/>
    <w:rsid w:val="00A16026"/>
    <w:rsid w:val="00A1625A"/>
    <w:rsid w:val="00A1629A"/>
    <w:rsid w:val="00A16319"/>
    <w:rsid w:val="00A16477"/>
    <w:rsid w:val="00A1676E"/>
    <w:rsid w:val="00A16835"/>
    <w:rsid w:val="00A16880"/>
    <w:rsid w:val="00A16A20"/>
    <w:rsid w:val="00A16AD1"/>
    <w:rsid w:val="00A16CAF"/>
    <w:rsid w:val="00A16CF6"/>
    <w:rsid w:val="00A16D56"/>
    <w:rsid w:val="00A16D6C"/>
    <w:rsid w:val="00A16DBC"/>
    <w:rsid w:val="00A16F6C"/>
    <w:rsid w:val="00A1715B"/>
    <w:rsid w:val="00A172C4"/>
    <w:rsid w:val="00A1744A"/>
    <w:rsid w:val="00A17595"/>
    <w:rsid w:val="00A176AA"/>
    <w:rsid w:val="00A17AAC"/>
    <w:rsid w:val="00A17CB0"/>
    <w:rsid w:val="00A17CD0"/>
    <w:rsid w:val="00A17D1F"/>
    <w:rsid w:val="00A17E69"/>
    <w:rsid w:val="00A17FBB"/>
    <w:rsid w:val="00A2017F"/>
    <w:rsid w:val="00A20254"/>
    <w:rsid w:val="00A2029A"/>
    <w:rsid w:val="00A20313"/>
    <w:rsid w:val="00A203DF"/>
    <w:rsid w:val="00A20470"/>
    <w:rsid w:val="00A20478"/>
    <w:rsid w:val="00A20706"/>
    <w:rsid w:val="00A20813"/>
    <w:rsid w:val="00A2091B"/>
    <w:rsid w:val="00A20DB8"/>
    <w:rsid w:val="00A20F9D"/>
    <w:rsid w:val="00A20FF3"/>
    <w:rsid w:val="00A210F5"/>
    <w:rsid w:val="00A210FC"/>
    <w:rsid w:val="00A2114D"/>
    <w:rsid w:val="00A21173"/>
    <w:rsid w:val="00A211E4"/>
    <w:rsid w:val="00A212D6"/>
    <w:rsid w:val="00A212DA"/>
    <w:rsid w:val="00A2153D"/>
    <w:rsid w:val="00A216EC"/>
    <w:rsid w:val="00A217D9"/>
    <w:rsid w:val="00A2188B"/>
    <w:rsid w:val="00A21990"/>
    <w:rsid w:val="00A21B66"/>
    <w:rsid w:val="00A21D74"/>
    <w:rsid w:val="00A21D76"/>
    <w:rsid w:val="00A21E4D"/>
    <w:rsid w:val="00A22139"/>
    <w:rsid w:val="00A222B2"/>
    <w:rsid w:val="00A222B5"/>
    <w:rsid w:val="00A22362"/>
    <w:rsid w:val="00A2264F"/>
    <w:rsid w:val="00A2266A"/>
    <w:rsid w:val="00A22724"/>
    <w:rsid w:val="00A22766"/>
    <w:rsid w:val="00A228AA"/>
    <w:rsid w:val="00A22AD9"/>
    <w:rsid w:val="00A22B57"/>
    <w:rsid w:val="00A22B79"/>
    <w:rsid w:val="00A22BC3"/>
    <w:rsid w:val="00A22DF1"/>
    <w:rsid w:val="00A22E5E"/>
    <w:rsid w:val="00A23049"/>
    <w:rsid w:val="00A232FD"/>
    <w:rsid w:val="00A233E7"/>
    <w:rsid w:val="00A23656"/>
    <w:rsid w:val="00A2374A"/>
    <w:rsid w:val="00A237BE"/>
    <w:rsid w:val="00A23944"/>
    <w:rsid w:val="00A239AD"/>
    <w:rsid w:val="00A23AD0"/>
    <w:rsid w:val="00A23BDC"/>
    <w:rsid w:val="00A24131"/>
    <w:rsid w:val="00A2413C"/>
    <w:rsid w:val="00A2419F"/>
    <w:rsid w:val="00A242AB"/>
    <w:rsid w:val="00A242F4"/>
    <w:rsid w:val="00A242FF"/>
    <w:rsid w:val="00A245BB"/>
    <w:rsid w:val="00A247F6"/>
    <w:rsid w:val="00A248B3"/>
    <w:rsid w:val="00A24B63"/>
    <w:rsid w:val="00A24C2C"/>
    <w:rsid w:val="00A24ECD"/>
    <w:rsid w:val="00A24FBD"/>
    <w:rsid w:val="00A250C3"/>
    <w:rsid w:val="00A251CB"/>
    <w:rsid w:val="00A25268"/>
    <w:rsid w:val="00A25479"/>
    <w:rsid w:val="00A254DB"/>
    <w:rsid w:val="00A255D3"/>
    <w:rsid w:val="00A2564B"/>
    <w:rsid w:val="00A25688"/>
    <w:rsid w:val="00A25955"/>
    <w:rsid w:val="00A25B9C"/>
    <w:rsid w:val="00A25CD2"/>
    <w:rsid w:val="00A25E03"/>
    <w:rsid w:val="00A25F48"/>
    <w:rsid w:val="00A25FC5"/>
    <w:rsid w:val="00A260DA"/>
    <w:rsid w:val="00A26207"/>
    <w:rsid w:val="00A2627E"/>
    <w:rsid w:val="00A263DA"/>
    <w:rsid w:val="00A26418"/>
    <w:rsid w:val="00A2653E"/>
    <w:rsid w:val="00A265D2"/>
    <w:rsid w:val="00A26659"/>
    <w:rsid w:val="00A266FB"/>
    <w:rsid w:val="00A267E1"/>
    <w:rsid w:val="00A26852"/>
    <w:rsid w:val="00A268B6"/>
    <w:rsid w:val="00A268C7"/>
    <w:rsid w:val="00A2698C"/>
    <w:rsid w:val="00A26A81"/>
    <w:rsid w:val="00A26BEB"/>
    <w:rsid w:val="00A26BFF"/>
    <w:rsid w:val="00A26C0A"/>
    <w:rsid w:val="00A26CFC"/>
    <w:rsid w:val="00A26F02"/>
    <w:rsid w:val="00A26F48"/>
    <w:rsid w:val="00A26F68"/>
    <w:rsid w:val="00A2708E"/>
    <w:rsid w:val="00A271F6"/>
    <w:rsid w:val="00A2733C"/>
    <w:rsid w:val="00A27630"/>
    <w:rsid w:val="00A277D9"/>
    <w:rsid w:val="00A2782C"/>
    <w:rsid w:val="00A27991"/>
    <w:rsid w:val="00A27B5E"/>
    <w:rsid w:val="00A27F45"/>
    <w:rsid w:val="00A27F9E"/>
    <w:rsid w:val="00A30208"/>
    <w:rsid w:val="00A304F1"/>
    <w:rsid w:val="00A30523"/>
    <w:rsid w:val="00A3059D"/>
    <w:rsid w:val="00A305A6"/>
    <w:rsid w:val="00A305B3"/>
    <w:rsid w:val="00A306F2"/>
    <w:rsid w:val="00A3070B"/>
    <w:rsid w:val="00A308AC"/>
    <w:rsid w:val="00A3099E"/>
    <w:rsid w:val="00A309E8"/>
    <w:rsid w:val="00A30AE9"/>
    <w:rsid w:val="00A30B00"/>
    <w:rsid w:val="00A30D24"/>
    <w:rsid w:val="00A30FF6"/>
    <w:rsid w:val="00A31219"/>
    <w:rsid w:val="00A31303"/>
    <w:rsid w:val="00A3153B"/>
    <w:rsid w:val="00A3165E"/>
    <w:rsid w:val="00A31825"/>
    <w:rsid w:val="00A3185F"/>
    <w:rsid w:val="00A31A59"/>
    <w:rsid w:val="00A31A91"/>
    <w:rsid w:val="00A31B85"/>
    <w:rsid w:val="00A31BD1"/>
    <w:rsid w:val="00A31C06"/>
    <w:rsid w:val="00A3216C"/>
    <w:rsid w:val="00A323F9"/>
    <w:rsid w:val="00A324C4"/>
    <w:rsid w:val="00A3250A"/>
    <w:rsid w:val="00A32515"/>
    <w:rsid w:val="00A325A2"/>
    <w:rsid w:val="00A325F5"/>
    <w:rsid w:val="00A32734"/>
    <w:rsid w:val="00A327F4"/>
    <w:rsid w:val="00A3281E"/>
    <w:rsid w:val="00A3299A"/>
    <w:rsid w:val="00A329FA"/>
    <w:rsid w:val="00A32AE7"/>
    <w:rsid w:val="00A32BAE"/>
    <w:rsid w:val="00A32BE7"/>
    <w:rsid w:val="00A32C28"/>
    <w:rsid w:val="00A32E42"/>
    <w:rsid w:val="00A32F85"/>
    <w:rsid w:val="00A32FB0"/>
    <w:rsid w:val="00A330DA"/>
    <w:rsid w:val="00A33100"/>
    <w:rsid w:val="00A3317E"/>
    <w:rsid w:val="00A331B0"/>
    <w:rsid w:val="00A3396A"/>
    <w:rsid w:val="00A3396F"/>
    <w:rsid w:val="00A339F2"/>
    <w:rsid w:val="00A33AE4"/>
    <w:rsid w:val="00A33AE9"/>
    <w:rsid w:val="00A33C56"/>
    <w:rsid w:val="00A33FEA"/>
    <w:rsid w:val="00A3416F"/>
    <w:rsid w:val="00A3430A"/>
    <w:rsid w:val="00A344EB"/>
    <w:rsid w:val="00A34532"/>
    <w:rsid w:val="00A34555"/>
    <w:rsid w:val="00A3499B"/>
    <w:rsid w:val="00A34A1C"/>
    <w:rsid w:val="00A34B46"/>
    <w:rsid w:val="00A34E0F"/>
    <w:rsid w:val="00A35141"/>
    <w:rsid w:val="00A35297"/>
    <w:rsid w:val="00A354EB"/>
    <w:rsid w:val="00A356B5"/>
    <w:rsid w:val="00A35761"/>
    <w:rsid w:val="00A358E5"/>
    <w:rsid w:val="00A3599F"/>
    <w:rsid w:val="00A359FB"/>
    <w:rsid w:val="00A35AB7"/>
    <w:rsid w:val="00A35C7F"/>
    <w:rsid w:val="00A35CDB"/>
    <w:rsid w:val="00A35D1B"/>
    <w:rsid w:val="00A35D86"/>
    <w:rsid w:val="00A36237"/>
    <w:rsid w:val="00A36255"/>
    <w:rsid w:val="00A36412"/>
    <w:rsid w:val="00A3664E"/>
    <w:rsid w:val="00A368B9"/>
    <w:rsid w:val="00A3696E"/>
    <w:rsid w:val="00A36BB5"/>
    <w:rsid w:val="00A36EDA"/>
    <w:rsid w:val="00A36F46"/>
    <w:rsid w:val="00A37207"/>
    <w:rsid w:val="00A37441"/>
    <w:rsid w:val="00A37447"/>
    <w:rsid w:val="00A374BD"/>
    <w:rsid w:val="00A37509"/>
    <w:rsid w:val="00A37AA1"/>
    <w:rsid w:val="00A37B43"/>
    <w:rsid w:val="00A37D9F"/>
    <w:rsid w:val="00A37E0E"/>
    <w:rsid w:val="00A40091"/>
    <w:rsid w:val="00A40175"/>
    <w:rsid w:val="00A401E4"/>
    <w:rsid w:val="00A40252"/>
    <w:rsid w:val="00A404C8"/>
    <w:rsid w:val="00A40565"/>
    <w:rsid w:val="00A406CC"/>
    <w:rsid w:val="00A40792"/>
    <w:rsid w:val="00A407D5"/>
    <w:rsid w:val="00A407E5"/>
    <w:rsid w:val="00A408B5"/>
    <w:rsid w:val="00A40ABB"/>
    <w:rsid w:val="00A40AF9"/>
    <w:rsid w:val="00A40B6F"/>
    <w:rsid w:val="00A40CF0"/>
    <w:rsid w:val="00A40F68"/>
    <w:rsid w:val="00A410FC"/>
    <w:rsid w:val="00A41149"/>
    <w:rsid w:val="00A41220"/>
    <w:rsid w:val="00A41255"/>
    <w:rsid w:val="00A413EB"/>
    <w:rsid w:val="00A414F3"/>
    <w:rsid w:val="00A415F1"/>
    <w:rsid w:val="00A416C0"/>
    <w:rsid w:val="00A417D9"/>
    <w:rsid w:val="00A41A73"/>
    <w:rsid w:val="00A41D53"/>
    <w:rsid w:val="00A41DC4"/>
    <w:rsid w:val="00A4205E"/>
    <w:rsid w:val="00A42226"/>
    <w:rsid w:val="00A4232D"/>
    <w:rsid w:val="00A42350"/>
    <w:rsid w:val="00A428B2"/>
    <w:rsid w:val="00A4299C"/>
    <w:rsid w:val="00A429AC"/>
    <w:rsid w:val="00A42A46"/>
    <w:rsid w:val="00A42C04"/>
    <w:rsid w:val="00A42E07"/>
    <w:rsid w:val="00A42E34"/>
    <w:rsid w:val="00A42F14"/>
    <w:rsid w:val="00A4300C"/>
    <w:rsid w:val="00A430C4"/>
    <w:rsid w:val="00A43106"/>
    <w:rsid w:val="00A4316B"/>
    <w:rsid w:val="00A4334C"/>
    <w:rsid w:val="00A433C7"/>
    <w:rsid w:val="00A434B9"/>
    <w:rsid w:val="00A43823"/>
    <w:rsid w:val="00A438DC"/>
    <w:rsid w:val="00A43A40"/>
    <w:rsid w:val="00A43E95"/>
    <w:rsid w:val="00A43EA1"/>
    <w:rsid w:val="00A4404F"/>
    <w:rsid w:val="00A4412F"/>
    <w:rsid w:val="00A44177"/>
    <w:rsid w:val="00A44333"/>
    <w:rsid w:val="00A444CC"/>
    <w:rsid w:val="00A444DF"/>
    <w:rsid w:val="00A445E8"/>
    <w:rsid w:val="00A448B3"/>
    <w:rsid w:val="00A44AE0"/>
    <w:rsid w:val="00A44AF5"/>
    <w:rsid w:val="00A451D1"/>
    <w:rsid w:val="00A45225"/>
    <w:rsid w:val="00A4523A"/>
    <w:rsid w:val="00A45271"/>
    <w:rsid w:val="00A453C7"/>
    <w:rsid w:val="00A4553A"/>
    <w:rsid w:val="00A4557E"/>
    <w:rsid w:val="00A455C2"/>
    <w:rsid w:val="00A45634"/>
    <w:rsid w:val="00A4564F"/>
    <w:rsid w:val="00A45706"/>
    <w:rsid w:val="00A457C6"/>
    <w:rsid w:val="00A458F8"/>
    <w:rsid w:val="00A459DE"/>
    <w:rsid w:val="00A45AFA"/>
    <w:rsid w:val="00A45B9F"/>
    <w:rsid w:val="00A45BA5"/>
    <w:rsid w:val="00A45C85"/>
    <w:rsid w:val="00A45D1A"/>
    <w:rsid w:val="00A45D1E"/>
    <w:rsid w:val="00A45D27"/>
    <w:rsid w:val="00A45D69"/>
    <w:rsid w:val="00A45ED2"/>
    <w:rsid w:val="00A46032"/>
    <w:rsid w:val="00A460E9"/>
    <w:rsid w:val="00A464CC"/>
    <w:rsid w:val="00A466F2"/>
    <w:rsid w:val="00A4671D"/>
    <w:rsid w:val="00A468EF"/>
    <w:rsid w:val="00A46A14"/>
    <w:rsid w:val="00A46A72"/>
    <w:rsid w:val="00A46E20"/>
    <w:rsid w:val="00A46F8C"/>
    <w:rsid w:val="00A47442"/>
    <w:rsid w:val="00A47497"/>
    <w:rsid w:val="00A47555"/>
    <w:rsid w:val="00A476E4"/>
    <w:rsid w:val="00A4770B"/>
    <w:rsid w:val="00A4787B"/>
    <w:rsid w:val="00A47BB5"/>
    <w:rsid w:val="00A47CD0"/>
    <w:rsid w:val="00A47CF6"/>
    <w:rsid w:val="00A47DBA"/>
    <w:rsid w:val="00A47F30"/>
    <w:rsid w:val="00A5009D"/>
    <w:rsid w:val="00A500A2"/>
    <w:rsid w:val="00A500A6"/>
    <w:rsid w:val="00A50521"/>
    <w:rsid w:val="00A505B1"/>
    <w:rsid w:val="00A505B9"/>
    <w:rsid w:val="00A5066C"/>
    <w:rsid w:val="00A50692"/>
    <w:rsid w:val="00A509D4"/>
    <w:rsid w:val="00A50B58"/>
    <w:rsid w:val="00A50CA4"/>
    <w:rsid w:val="00A50DC7"/>
    <w:rsid w:val="00A50EA9"/>
    <w:rsid w:val="00A511ED"/>
    <w:rsid w:val="00A51238"/>
    <w:rsid w:val="00A5139D"/>
    <w:rsid w:val="00A51585"/>
    <w:rsid w:val="00A51700"/>
    <w:rsid w:val="00A5180D"/>
    <w:rsid w:val="00A51939"/>
    <w:rsid w:val="00A5196D"/>
    <w:rsid w:val="00A51B24"/>
    <w:rsid w:val="00A51CE7"/>
    <w:rsid w:val="00A51CFC"/>
    <w:rsid w:val="00A51E8A"/>
    <w:rsid w:val="00A51F00"/>
    <w:rsid w:val="00A51FF7"/>
    <w:rsid w:val="00A521C3"/>
    <w:rsid w:val="00A525E0"/>
    <w:rsid w:val="00A528BC"/>
    <w:rsid w:val="00A52B4E"/>
    <w:rsid w:val="00A52C01"/>
    <w:rsid w:val="00A52C8A"/>
    <w:rsid w:val="00A52CF9"/>
    <w:rsid w:val="00A52FC0"/>
    <w:rsid w:val="00A5307D"/>
    <w:rsid w:val="00A53399"/>
    <w:rsid w:val="00A53568"/>
    <w:rsid w:val="00A53877"/>
    <w:rsid w:val="00A53908"/>
    <w:rsid w:val="00A53990"/>
    <w:rsid w:val="00A53A88"/>
    <w:rsid w:val="00A53BE7"/>
    <w:rsid w:val="00A53CFE"/>
    <w:rsid w:val="00A53E01"/>
    <w:rsid w:val="00A53E93"/>
    <w:rsid w:val="00A542D7"/>
    <w:rsid w:val="00A54705"/>
    <w:rsid w:val="00A547C2"/>
    <w:rsid w:val="00A54877"/>
    <w:rsid w:val="00A54896"/>
    <w:rsid w:val="00A54A1A"/>
    <w:rsid w:val="00A54AA1"/>
    <w:rsid w:val="00A54ADF"/>
    <w:rsid w:val="00A54C23"/>
    <w:rsid w:val="00A54C3B"/>
    <w:rsid w:val="00A54D37"/>
    <w:rsid w:val="00A54EB1"/>
    <w:rsid w:val="00A54FF2"/>
    <w:rsid w:val="00A55018"/>
    <w:rsid w:val="00A550CA"/>
    <w:rsid w:val="00A55109"/>
    <w:rsid w:val="00A552A8"/>
    <w:rsid w:val="00A5534B"/>
    <w:rsid w:val="00A55390"/>
    <w:rsid w:val="00A55636"/>
    <w:rsid w:val="00A5565E"/>
    <w:rsid w:val="00A5585A"/>
    <w:rsid w:val="00A558BE"/>
    <w:rsid w:val="00A55935"/>
    <w:rsid w:val="00A55956"/>
    <w:rsid w:val="00A55963"/>
    <w:rsid w:val="00A55B76"/>
    <w:rsid w:val="00A55BDC"/>
    <w:rsid w:val="00A55C83"/>
    <w:rsid w:val="00A56020"/>
    <w:rsid w:val="00A560EB"/>
    <w:rsid w:val="00A56198"/>
    <w:rsid w:val="00A562CE"/>
    <w:rsid w:val="00A562DD"/>
    <w:rsid w:val="00A56379"/>
    <w:rsid w:val="00A563E5"/>
    <w:rsid w:val="00A56A38"/>
    <w:rsid w:val="00A56CB7"/>
    <w:rsid w:val="00A56D0A"/>
    <w:rsid w:val="00A56FAC"/>
    <w:rsid w:val="00A56FD8"/>
    <w:rsid w:val="00A57373"/>
    <w:rsid w:val="00A574F6"/>
    <w:rsid w:val="00A575F5"/>
    <w:rsid w:val="00A5774D"/>
    <w:rsid w:val="00A57768"/>
    <w:rsid w:val="00A579D2"/>
    <w:rsid w:val="00A6014C"/>
    <w:rsid w:val="00A60162"/>
    <w:rsid w:val="00A6016E"/>
    <w:rsid w:val="00A60451"/>
    <w:rsid w:val="00A604F7"/>
    <w:rsid w:val="00A60552"/>
    <w:rsid w:val="00A60712"/>
    <w:rsid w:val="00A60766"/>
    <w:rsid w:val="00A60A45"/>
    <w:rsid w:val="00A60B2A"/>
    <w:rsid w:val="00A60DBB"/>
    <w:rsid w:val="00A60E04"/>
    <w:rsid w:val="00A60E58"/>
    <w:rsid w:val="00A61160"/>
    <w:rsid w:val="00A6142A"/>
    <w:rsid w:val="00A6150F"/>
    <w:rsid w:val="00A6176F"/>
    <w:rsid w:val="00A61851"/>
    <w:rsid w:val="00A61915"/>
    <w:rsid w:val="00A61AB1"/>
    <w:rsid w:val="00A61AE2"/>
    <w:rsid w:val="00A61E62"/>
    <w:rsid w:val="00A62024"/>
    <w:rsid w:val="00A620EA"/>
    <w:rsid w:val="00A6237A"/>
    <w:rsid w:val="00A62390"/>
    <w:rsid w:val="00A623E5"/>
    <w:rsid w:val="00A6251C"/>
    <w:rsid w:val="00A6252A"/>
    <w:rsid w:val="00A626AD"/>
    <w:rsid w:val="00A6296A"/>
    <w:rsid w:val="00A629DD"/>
    <w:rsid w:val="00A62AE1"/>
    <w:rsid w:val="00A62E2B"/>
    <w:rsid w:val="00A62F21"/>
    <w:rsid w:val="00A63068"/>
    <w:rsid w:val="00A630FF"/>
    <w:rsid w:val="00A632A9"/>
    <w:rsid w:val="00A632AE"/>
    <w:rsid w:val="00A632EC"/>
    <w:rsid w:val="00A6330B"/>
    <w:rsid w:val="00A63364"/>
    <w:rsid w:val="00A63414"/>
    <w:rsid w:val="00A634A2"/>
    <w:rsid w:val="00A635AC"/>
    <w:rsid w:val="00A635F3"/>
    <w:rsid w:val="00A63649"/>
    <w:rsid w:val="00A636D2"/>
    <w:rsid w:val="00A637B0"/>
    <w:rsid w:val="00A63B15"/>
    <w:rsid w:val="00A63B6E"/>
    <w:rsid w:val="00A63C7D"/>
    <w:rsid w:val="00A63D3A"/>
    <w:rsid w:val="00A63DD3"/>
    <w:rsid w:val="00A63F25"/>
    <w:rsid w:val="00A64214"/>
    <w:rsid w:val="00A642B2"/>
    <w:rsid w:val="00A6456A"/>
    <w:rsid w:val="00A6469A"/>
    <w:rsid w:val="00A64774"/>
    <w:rsid w:val="00A64A41"/>
    <w:rsid w:val="00A64B99"/>
    <w:rsid w:val="00A64C42"/>
    <w:rsid w:val="00A64DAF"/>
    <w:rsid w:val="00A64DF4"/>
    <w:rsid w:val="00A64DF5"/>
    <w:rsid w:val="00A64EE1"/>
    <w:rsid w:val="00A6507F"/>
    <w:rsid w:val="00A6508B"/>
    <w:rsid w:val="00A651AD"/>
    <w:rsid w:val="00A65557"/>
    <w:rsid w:val="00A65598"/>
    <w:rsid w:val="00A655AA"/>
    <w:rsid w:val="00A655D5"/>
    <w:rsid w:val="00A659D8"/>
    <w:rsid w:val="00A65B1F"/>
    <w:rsid w:val="00A65B25"/>
    <w:rsid w:val="00A65BA5"/>
    <w:rsid w:val="00A65D80"/>
    <w:rsid w:val="00A65DEB"/>
    <w:rsid w:val="00A65EFF"/>
    <w:rsid w:val="00A65F25"/>
    <w:rsid w:val="00A65F43"/>
    <w:rsid w:val="00A65F4A"/>
    <w:rsid w:val="00A66277"/>
    <w:rsid w:val="00A662A8"/>
    <w:rsid w:val="00A66391"/>
    <w:rsid w:val="00A663CF"/>
    <w:rsid w:val="00A66535"/>
    <w:rsid w:val="00A66761"/>
    <w:rsid w:val="00A66A48"/>
    <w:rsid w:val="00A66BC9"/>
    <w:rsid w:val="00A66D28"/>
    <w:rsid w:val="00A66D9C"/>
    <w:rsid w:val="00A66DA8"/>
    <w:rsid w:val="00A66E06"/>
    <w:rsid w:val="00A66E77"/>
    <w:rsid w:val="00A670FA"/>
    <w:rsid w:val="00A6719A"/>
    <w:rsid w:val="00A672D8"/>
    <w:rsid w:val="00A67588"/>
    <w:rsid w:val="00A67838"/>
    <w:rsid w:val="00A67980"/>
    <w:rsid w:val="00A67A33"/>
    <w:rsid w:val="00A67C46"/>
    <w:rsid w:val="00A67D1B"/>
    <w:rsid w:val="00A67EC0"/>
    <w:rsid w:val="00A7001B"/>
    <w:rsid w:val="00A7014B"/>
    <w:rsid w:val="00A7037E"/>
    <w:rsid w:val="00A70521"/>
    <w:rsid w:val="00A705BF"/>
    <w:rsid w:val="00A70832"/>
    <w:rsid w:val="00A70861"/>
    <w:rsid w:val="00A709DB"/>
    <w:rsid w:val="00A709E5"/>
    <w:rsid w:val="00A70A8E"/>
    <w:rsid w:val="00A711AF"/>
    <w:rsid w:val="00A7123C"/>
    <w:rsid w:val="00A7124F"/>
    <w:rsid w:val="00A71419"/>
    <w:rsid w:val="00A71962"/>
    <w:rsid w:val="00A71A0B"/>
    <w:rsid w:val="00A71A34"/>
    <w:rsid w:val="00A71B81"/>
    <w:rsid w:val="00A71C9B"/>
    <w:rsid w:val="00A71CC2"/>
    <w:rsid w:val="00A71F8C"/>
    <w:rsid w:val="00A7222C"/>
    <w:rsid w:val="00A72265"/>
    <w:rsid w:val="00A722F7"/>
    <w:rsid w:val="00A72413"/>
    <w:rsid w:val="00A726E8"/>
    <w:rsid w:val="00A72777"/>
    <w:rsid w:val="00A727C1"/>
    <w:rsid w:val="00A728C8"/>
    <w:rsid w:val="00A728E0"/>
    <w:rsid w:val="00A729DE"/>
    <w:rsid w:val="00A72A2A"/>
    <w:rsid w:val="00A72B76"/>
    <w:rsid w:val="00A72C56"/>
    <w:rsid w:val="00A72CA1"/>
    <w:rsid w:val="00A72DBE"/>
    <w:rsid w:val="00A72EAA"/>
    <w:rsid w:val="00A730A8"/>
    <w:rsid w:val="00A73338"/>
    <w:rsid w:val="00A733A6"/>
    <w:rsid w:val="00A733FA"/>
    <w:rsid w:val="00A73441"/>
    <w:rsid w:val="00A73510"/>
    <w:rsid w:val="00A73678"/>
    <w:rsid w:val="00A73749"/>
    <w:rsid w:val="00A7376D"/>
    <w:rsid w:val="00A73865"/>
    <w:rsid w:val="00A73A99"/>
    <w:rsid w:val="00A73AA4"/>
    <w:rsid w:val="00A73B9A"/>
    <w:rsid w:val="00A73BBA"/>
    <w:rsid w:val="00A73DAD"/>
    <w:rsid w:val="00A73FC5"/>
    <w:rsid w:val="00A74098"/>
    <w:rsid w:val="00A740F2"/>
    <w:rsid w:val="00A74105"/>
    <w:rsid w:val="00A742AB"/>
    <w:rsid w:val="00A742C0"/>
    <w:rsid w:val="00A742E4"/>
    <w:rsid w:val="00A74401"/>
    <w:rsid w:val="00A744EB"/>
    <w:rsid w:val="00A745AF"/>
    <w:rsid w:val="00A74611"/>
    <w:rsid w:val="00A74624"/>
    <w:rsid w:val="00A74642"/>
    <w:rsid w:val="00A74665"/>
    <w:rsid w:val="00A746A1"/>
    <w:rsid w:val="00A747F1"/>
    <w:rsid w:val="00A74C3C"/>
    <w:rsid w:val="00A74DE0"/>
    <w:rsid w:val="00A74E1F"/>
    <w:rsid w:val="00A74EC3"/>
    <w:rsid w:val="00A7515D"/>
    <w:rsid w:val="00A75331"/>
    <w:rsid w:val="00A754D3"/>
    <w:rsid w:val="00A754FF"/>
    <w:rsid w:val="00A7567E"/>
    <w:rsid w:val="00A7592C"/>
    <w:rsid w:val="00A75972"/>
    <w:rsid w:val="00A759D8"/>
    <w:rsid w:val="00A75A4F"/>
    <w:rsid w:val="00A75BBF"/>
    <w:rsid w:val="00A75BF7"/>
    <w:rsid w:val="00A75C2E"/>
    <w:rsid w:val="00A75C76"/>
    <w:rsid w:val="00A75D00"/>
    <w:rsid w:val="00A75D03"/>
    <w:rsid w:val="00A75F50"/>
    <w:rsid w:val="00A76185"/>
    <w:rsid w:val="00A763DB"/>
    <w:rsid w:val="00A7657E"/>
    <w:rsid w:val="00A76602"/>
    <w:rsid w:val="00A76722"/>
    <w:rsid w:val="00A769B8"/>
    <w:rsid w:val="00A769D5"/>
    <w:rsid w:val="00A76C90"/>
    <w:rsid w:val="00A76DFE"/>
    <w:rsid w:val="00A77014"/>
    <w:rsid w:val="00A770C5"/>
    <w:rsid w:val="00A7717A"/>
    <w:rsid w:val="00A771B6"/>
    <w:rsid w:val="00A77360"/>
    <w:rsid w:val="00A77458"/>
    <w:rsid w:val="00A775C9"/>
    <w:rsid w:val="00A7774F"/>
    <w:rsid w:val="00A77900"/>
    <w:rsid w:val="00A77A19"/>
    <w:rsid w:val="00A77BA5"/>
    <w:rsid w:val="00A77C60"/>
    <w:rsid w:val="00A77E6E"/>
    <w:rsid w:val="00A77E87"/>
    <w:rsid w:val="00A77F77"/>
    <w:rsid w:val="00A77FB8"/>
    <w:rsid w:val="00A80185"/>
    <w:rsid w:val="00A8019A"/>
    <w:rsid w:val="00A802CF"/>
    <w:rsid w:val="00A802D3"/>
    <w:rsid w:val="00A804A8"/>
    <w:rsid w:val="00A8058F"/>
    <w:rsid w:val="00A805B4"/>
    <w:rsid w:val="00A806B3"/>
    <w:rsid w:val="00A8073D"/>
    <w:rsid w:val="00A80794"/>
    <w:rsid w:val="00A808BB"/>
    <w:rsid w:val="00A80B3A"/>
    <w:rsid w:val="00A80B3D"/>
    <w:rsid w:val="00A80BDB"/>
    <w:rsid w:val="00A80C1D"/>
    <w:rsid w:val="00A80F7B"/>
    <w:rsid w:val="00A80FAE"/>
    <w:rsid w:val="00A81039"/>
    <w:rsid w:val="00A810B7"/>
    <w:rsid w:val="00A81318"/>
    <w:rsid w:val="00A8159C"/>
    <w:rsid w:val="00A815E2"/>
    <w:rsid w:val="00A8171F"/>
    <w:rsid w:val="00A817E9"/>
    <w:rsid w:val="00A818C9"/>
    <w:rsid w:val="00A81AF0"/>
    <w:rsid w:val="00A81B0E"/>
    <w:rsid w:val="00A81BED"/>
    <w:rsid w:val="00A81DB6"/>
    <w:rsid w:val="00A81F50"/>
    <w:rsid w:val="00A81F85"/>
    <w:rsid w:val="00A820BE"/>
    <w:rsid w:val="00A820E3"/>
    <w:rsid w:val="00A8216E"/>
    <w:rsid w:val="00A82255"/>
    <w:rsid w:val="00A82315"/>
    <w:rsid w:val="00A82468"/>
    <w:rsid w:val="00A824FB"/>
    <w:rsid w:val="00A82A32"/>
    <w:rsid w:val="00A82BAD"/>
    <w:rsid w:val="00A82CA4"/>
    <w:rsid w:val="00A82DA2"/>
    <w:rsid w:val="00A82ECA"/>
    <w:rsid w:val="00A830B3"/>
    <w:rsid w:val="00A8348C"/>
    <w:rsid w:val="00A83642"/>
    <w:rsid w:val="00A83A4B"/>
    <w:rsid w:val="00A83BC4"/>
    <w:rsid w:val="00A83C29"/>
    <w:rsid w:val="00A83EA3"/>
    <w:rsid w:val="00A83EE6"/>
    <w:rsid w:val="00A84110"/>
    <w:rsid w:val="00A84180"/>
    <w:rsid w:val="00A841FC"/>
    <w:rsid w:val="00A84302"/>
    <w:rsid w:val="00A84461"/>
    <w:rsid w:val="00A84505"/>
    <w:rsid w:val="00A8454A"/>
    <w:rsid w:val="00A84708"/>
    <w:rsid w:val="00A84930"/>
    <w:rsid w:val="00A84A88"/>
    <w:rsid w:val="00A84AED"/>
    <w:rsid w:val="00A84B4B"/>
    <w:rsid w:val="00A84B5A"/>
    <w:rsid w:val="00A84C3E"/>
    <w:rsid w:val="00A84DC3"/>
    <w:rsid w:val="00A84E21"/>
    <w:rsid w:val="00A84E8A"/>
    <w:rsid w:val="00A84E8B"/>
    <w:rsid w:val="00A84EC4"/>
    <w:rsid w:val="00A84EF5"/>
    <w:rsid w:val="00A84FC8"/>
    <w:rsid w:val="00A8510C"/>
    <w:rsid w:val="00A851C8"/>
    <w:rsid w:val="00A8533B"/>
    <w:rsid w:val="00A85388"/>
    <w:rsid w:val="00A853CE"/>
    <w:rsid w:val="00A8543F"/>
    <w:rsid w:val="00A854E8"/>
    <w:rsid w:val="00A85559"/>
    <w:rsid w:val="00A856E9"/>
    <w:rsid w:val="00A857C7"/>
    <w:rsid w:val="00A85859"/>
    <w:rsid w:val="00A858B2"/>
    <w:rsid w:val="00A8594B"/>
    <w:rsid w:val="00A8595B"/>
    <w:rsid w:val="00A85B59"/>
    <w:rsid w:val="00A85E00"/>
    <w:rsid w:val="00A85EE1"/>
    <w:rsid w:val="00A860CA"/>
    <w:rsid w:val="00A861A7"/>
    <w:rsid w:val="00A86309"/>
    <w:rsid w:val="00A8650B"/>
    <w:rsid w:val="00A866BD"/>
    <w:rsid w:val="00A86795"/>
    <w:rsid w:val="00A86968"/>
    <w:rsid w:val="00A869E3"/>
    <w:rsid w:val="00A86C24"/>
    <w:rsid w:val="00A86C9F"/>
    <w:rsid w:val="00A87088"/>
    <w:rsid w:val="00A87094"/>
    <w:rsid w:val="00A87124"/>
    <w:rsid w:val="00A871AE"/>
    <w:rsid w:val="00A8726A"/>
    <w:rsid w:val="00A874A2"/>
    <w:rsid w:val="00A875C5"/>
    <w:rsid w:val="00A8793B"/>
    <w:rsid w:val="00A87963"/>
    <w:rsid w:val="00A87BA1"/>
    <w:rsid w:val="00A87CA2"/>
    <w:rsid w:val="00A87D57"/>
    <w:rsid w:val="00A87DA7"/>
    <w:rsid w:val="00A9012B"/>
    <w:rsid w:val="00A90227"/>
    <w:rsid w:val="00A90417"/>
    <w:rsid w:val="00A9050C"/>
    <w:rsid w:val="00A905E5"/>
    <w:rsid w:val="00A9066B"/>
    <w:rsid w:val="00A906A6"/>
    <w:rsid w:val="00A906E1"/>
    <w:rsid w:val="00A906FC"/>
    <w:rsid w:val="00A90843"/>
    <w:rsid w:val="00A9091B"/>
    <w:rsid w:val="00A90C2D"/>
    <w:rsid w:val="00A90DAC"/>
    <w:rsid w:val="00A90DE7"/>
    <w:rsid w:val="00A90F00"/>
    <w:rsid w:val="00A9113B"/>
    <w:rsid w:val="00A912A5"/>
    <w:rsid w:val="00A91308"/>
    <w:rsid w:val="00A91331"/>
    <w:rsid w:val="00A9148E"/>
    <w:rsid w:val="00A915AF"/>
    <w:rsid w:val="00A91713"/>
    <w:rsid w:val="00A91A47"/>
    <w:rsid w:val="00A91D65"/>
    <w:rsid w:val="00A91D8D"/>
    <w:rsid w:val="00A91FA6"/>
    <w:rsid w:val="00A92030"/>
    <w:rsid w:val="00A92088"/>
    <w:rsid w:val="00A920A6"/>
    <w:rsid w:val="00A920D7"/>
    <w:rsid w:val="00A9222B"/>
    <w:rsid w:val="00A92233"/>
    <w:rsid w:val="00A92385"/>
    <w:rsid w:val="00A923BD"/>
    <w:rsid w:val="00A9266A"/>
    <w:rsid w:val="00A9272E"/>
    <w:rsid w:val="00A927E2"/>
    <w:rsid w:val="00A9297D"/>
    <w:rsid w:val="00A92AC2"/>
    <w:rsid w:val="00A92B60"/>
    <w:rsid w:val="00A92C0B"/>
    <w:rsid w:val="00A92DEA"/>
    <w:rsid w:val="00A92FC8"/>
    <w:rsid w:val="00A930C7"/>
    <w:rsid w:val="00A93206"/>
    <w:rsid w:val="00A9334F"/>
    <w:rsid w:val="00A93565"/>
    <w:rsid w:val="00A9362B"/>
    <w:rsid w:val="00A93767"/>
    <w:rsid w:val="00A938BF"/>
    <w:rsid w:val="00A93988"/>
    <w:rsid w:val="00A93A0D"/>
    <w:rsid w:val="00A93E76"/>
    <w:rsid w:val="00A93FB1"/>
    <w:rsid w:val="00A94146"/>
    <w:rsid w:val="00A94263"/>
    <w:rsid w:val="00A94307"/>
    <w:rsid w:val="00A94489"/>
    <w:rsid w:val="00A94545"/>
    <w:rsid w:val="00A946C9"/>
    <w:rsid w:val="00A9479B"/>
    <w:rsid w:val="00A947F8"/>
    <w:rsid w:val="00A9491A"/>
    <w:rsid w:val="00A949C0"/>
    <w:rsid w:val="00A94A7C"/>
    <w:rsid w:val="00A94B02"/>
    <w:rsid w:val="00A94BAA"/>
    <w:rsid w:val="00A94CBF"/>
    <w:rsid w:val="00A94D48"/>
    <w:rsid w:val="00A94EB0"/>
    <w:rsid w:val="00A95078"/>
    <w:rsid w:val="00A95083"/>
    <w:rsid w:val="00A950C6"/>
    <w:rsid w:val="00A9517E"/>
    <w:rsid w:val="00A95358"/>
    <w:rsid w:val="00A953F0"/>
    <w:rsid w:val="00A95557"/>
    <w:rsid w:val="00A95687"/>
    <w:rsid w:val="00A9576F"/>
    <w:rsid w:val="00A9582A"/>
    <w:rsid w:val="00A9587D"/>
    <w:rsid w:val="00A95A36"/>
    <w:rsid w:val="00A95A91"/>
    <w:rsid w:val="00A95AFE"/>
    <w:rsid w:val="00A95BC9"/>
    <w:rsid w:val="00A95D4E"/>
    <w:rsid w:val="00A95E1F"/>
    <w:rsid w:val="00A96126"/>
    <w:rsid w:val="00A96362"/>
    <w:rsid w:val="00A9647F"/>
    <w:rsid w:val="00A96608"/>
    <w:rsid w:val="00A96614"/>
    <w:rsid w:val="00A9671C"/>
    <w:rsid w:val="00A967DD"/>
    <w:rsid w:val="00A96D99"/>
    <w:rsid w:val="00A96EDD"/>
    <w:rsid w:val="00A9713D"/>
    <w:rsid w:val="00A972A3"/>
    <w:rsid w:val="00A972A7"/>
    <w:rsid w:val="00A973A7"/>
    <w:rsid w:val="00A974AD"/>
    <w:rsid w:val="00A97693"/>
    <w:rsid w:val="00A976C9"/>
    <w:rsid w:val="00A978F7"/>
    <w:rsid w:val="00A97C84"/>
    <w:rsid w:val="00A97EBA"/>
    <w:rsid w:val="00A97FBA"/>
    <w:rsid w:val="00A97FDB"/>
    <w:rsid w:val="00AA0152"/>
    <w:rsid w:val="00AA023D"/>
    <w:rsid w:val="00AA029B"/>
    <w:rsid w:val="00AA0422"/>
    <w:rsid w:val="00AA043A"/>
    <w:rsid w:val="00AA04E5"/>
    <w:rsid w:val="00AA04F4"/>
    <w:rsid w:val="00AA05EE"/>
    <w:rsid w:val="00AA060A"/>
    <w:rsid w:val="00AA075E"/>
    <w:rsid w:val="00AA0A9F"/>
    <w:rsid w:val="00AA0BF7"/>
    <w:rsid w:val="00AA0C4F"/>
    <w:rsid w:val="00AA0D1F"/>
    <w:rsid w:val="00AA0DEB"/>
    <w:rsid w:val="00AA0F2C"/>
    <w:rsid w:val="00AA0F5B"/>
    <w:rsid w:val="00AA1620"/>
    <w:rsid w:val="00AA1980"/>
    <w:rsid w:val="00AA1A01"/>
    <w:rsid w:val="00AA1B23"/>
    <w:rsid w:val="00AA1B53"/>
    <w:rsid w:val="00AA1CE2"/>
    <w:rsid w:val="00AA1DA2"/>
    <w:rsid w:val="00AA1E85"/>
    <w:rsid w:val="00AA2013"/>
    <w:rsid w:val="00AA2038"/>
    <w:rsid w:val="00AA22B3"/>
    <w:rsid w:val="00AA238C"/>
    <w:rsid w:val="00AA23E8"/>
    <w:rsid w:val="00AA253C"/>
    <w:rsid w:val="00AA2578"/>
    <w:rsid w:val="00AA270A"/>
    <w:rsid w:val="00AA2A26"/>
    <w:rsid w:val="00AA2D3E"/>
    <w:rsid w:val="00AA2E1C"/>
    <w:rsid w:val="00AA2EA1"/>
    <w:rsid w:val="00AA2EB0"/>
    <w:rsid w:val="00AA2F3D"/>
    <w:rsid w:val="00AA2FA4"/>
    <w:rsid w:val="00AA311C"/>
    <w:rsid w:val="00AA316A"/>
    <w:rsid w:val="00AA3335"/>
    <w:rsid w:val="00AA358C"/>
    <w:rsid w:val="00AA36F9"/>
    <w:rsid w:val="00AA3701"/>
    <w:rsid w:val="00AA383F"/>
    <w:rsid w:val="00AA3924"/>
    <w:rsid w:val="00AA3996"/>
    <w:rsid w:val="00AA39F3"/>
    <w:rsid w:val="00AA3A68"/>
    <w:rsid w:val="00AA3AEE"/>
    <w:rsid w:val="00AA3CE5"/>
    <w:rsid w:val="00AA3F44"/>
    <w:rsid w:val="00AA4087"/>
    <w:rsid w:val="00AA4495"/>
    <w:rsid w:val="00AA487F"/>
    <w:rsid w:val="00AA48BE"/>
    <w:rsid w:val="00AA4AF4"/>
    <w:rsid w:val="00AA4BBC"/>
    <w:rsid w:val="00AA4D71"/>
    <w:rsid w:val="00AA4DA7"/>
    <w:rsid w:val="00AA4EB0"/>
    <w:rsid w:val="00AA4FCD"/>
    <w:rsid w:val="00AA500B"/>
    <w:rsid w:val="00AA5103"/>
    <w:rsid w:val="00AA538D"/>
    <w:rsid w:val="00AA56D3"/>
    <w:rsid w:val="00AA59A0"/>
    <w:rsid w:val="00AA5B43"/>
    <w:rsid w:val="00AA5C48"/>
    <w:rsid w:val="00AA5ECD"/>
    <w:rsid w:val="00AA5FDE"/>
    <w:rsid w:val="00AA628D"/>
    <w:rsid w:val="00AA630D"/>
    <w:rsid w:val="00AA63C8"/>
    <w:rsid w:val="00AA63E5"/>
    <w:rsid w:val="00AA6462"/>
    <w:rsid w:val="00AA65C1"/>
    <w:rsid w:val="00AA674F"/>
    <w:rsid w:val="00AA687A"/>
    <w:rsid w:val="00AA6AC8"/>
    <w:rsid w:val="00AA6AC9"/>
    <w:rsid w:val="00AA6B53"/>
    <w:rsid w:val="00AA6CEB"/>
    <w:rsid w:val="00AA70F9"/>
    <w:rsid w:val="00AA71C8"/>
    <w:rsid w:val="00AA721F"/>
    <w:rsid w:val="00AA7333"/>
    <w:rsid w:val="00AA73DB"/>
    <w:rsid w:val="00AA73FB"/>
    <w:rsid w:val="00AA76F8"/>
    <w:rsid w:val="00AA77A0"/>
    <w:rsid w:val="00AA797B"/>
    <w:rsid w:val="00AA79CB"/>
    <w:rsid w:val="00AA7B23"/>
    <w:rsid w:val="00AA7B93"/>
    <w:rsid w:val="00AA7D13"/>
    <w:rsid w:val="00AA7FB4"/>
    <w:rsid w:val="00AB009C"/>
    <w:rsid w:val="00AB02B9"/>
    <w:rsid w:val="00AB0395"/>
    <w:rsid w:val="00AB048B"/>
    <w:rsid w:val="00AB05E9"/>
    <w:rsid w:val="00AB06E1"/>
    <w:rsid w:val="00AB06EF"/>
    <w:rsid w:val="00AB075F"/>
    <w:rsid w:val="00AB07EC"/>
    <w:rsid w:val="00AB0811"/>
    <w:rsid w:val="00AB0BFF"/>
    <w:rsid w:val="00AB0DD4"/>
    <w:rsid w:val="00AB0DE7"/>
    <w:rsid w:val="00AB0E28"/>
    <w:rsid w:val="00AB11CB"/>
    <w:rsid w:val="00AB12A3"/>
    <w:rsid w:val="00AB13AF"/>
    <w:rsid w:val="00AB1621"/>
    <w:rsid w:val="00AB18F1"/>
    <w:rsid w:val="00AB19F8"/>
    <w:rsid w:val="00AB1A69"/>
    <w:rsid w:val="00AB1AFA"/>
    <w:rsid w:val="00AB1C84"/>
    <w:rsid w:val="00AB1C9E"/>
    <w:rsid w:val="00AB1E48"/>
    <w:rsid w:val="00AB1E8A"/>
    <w:rsid w:val="00AB1F7F"/>
    <w:rsid w:val="00AB1FEC"/>
    <w:rsid w:val="00AB20A9"/>
    <w:rsid w:val="00AB20E8"/>
    <w:rsid w:val="00AB2122"/>
    <w:rsid w:val="00AB21A7"/>
    <w:rsid w:val="00AB228D"/>
    <w:rsid w:val="00AB233F"/>
    <w:rsid w:val="00AB2563"/>
    <w:rsid w:val="00AB25BE"/>
    <w:rsid w:val="00AB269E"/>
    <w:rsid w:val="00AB27E6"/>
    <w:rsid w:val="00AB28D7"/>
    <w:rsid w:val="00AB2920"/>
    <w:rsid w:val="00AB2B06"/>
    <w:rsid w:val="00AB2B61"/>
    <w:rsid w:val="00AB2C3D"/>
    <w:rsid w:val="00AB2D21"/>
    <w:rsid w:val="00AB2FD3"/>
    <w:rsid w:val="00AB3226"/>
    <w:rsid w:val="00AB323C"/>
    <w:rsid w:val="00AB3258"/>
    <w:rsid w:val="00AB328F"/>
    <w:rsid w:val="00AB3353"/>
    <w:rsid w:val="00AB3A15"/>
    <w:rsid w:val="00AB3CB1"/>
    <w:rsid w:val="00AB3CC6"/>
    <w:rsid w:val="00AB3D0A"/>
    <w:rsid w:val="00AB3DA4"/>
    <w:rsid w:val="00AB3DE0"/>
    <w:rsid w:val="00AB3DFB"/>
    <w:rsid w:val="00AB3E42"/>
    <w:rsid w:val="00AB3F7E"/>
    <w:rsid w:val="00AB410E"/>
    <w:rsid w:val="00AB413B"/>
    <w:rsid w:val="00AB4174"/>
    <w:rsid w:val="00AB431B"/>
    <w:rsid w:val="00AB4395"/>
    <w:rsid w:val="00AB4484"/>
    <w:rsid w:val="00AB45E1"/>
    <w:rsid w:val="00AB46D9"/>
    <w:rsid w:val="00AB471C"/>
    <w:rsid w:val="00AB475E"/>
    <w:rsid w:val="00AB49E2"/>
    <w:rsid w:val="00AB49F8"/>
    <w:rsid w:val="00AB4A06"/>
    <w:rsid w:val="00AB4A75"/>
    <w:rsid w:val="00AB4EEA"/>
    <w:rsid w:val="00AB4F47"/>
    <w:rsid w:val="00AB4FA6"/>
    <w:rsid w:val="00AB5297"/>
    <w:rsid w:val="00AB529A"/>
    <w:rsid w:val="00AB532E"/>
    <w:rsid w:val="00AB5432"/>
    <w:rsid w:val="00AB5599"/>
    <w:rsid w:val="00AB5676"/>
    <w:rsid w:val="00AB5714"/>
    <w:rsid w:val="00AB5836"/>
    <w:rsid w:val="00AB5915"/>
    <w:rsid w:val="00AB59B3"/>
    <w:rsid w:val="00AB5B94"/>
    <w:rsid w:val="00AB5C13"/>
    <w:rsid w:val="00AB5E9A"/>
    <w:rsid w:val="00AB5EED"/>
    <w:rsid w:val="00AB627A"/>
    <w:rsid w:val="00AB632F"/>
    <w:rsid w:val="00AB6384"/>
    <w:rsid w:val="00AB63A1"/>
    <w:rsid w:val="00AB63E5"/>
    <w:rsid w:val="00AB642D"/>
    <w:rsid w:val="00AB6464"/>
    <w:rsid w:val="00AB6542"/>
    <w:rsid w:val="00AB69A1"/>
    <w:rsid w:val="00AB6A6B"/>
    <w:rsid w:val="00AB6A93"/>
    <w:rsid w:val="00AB6C9F"/>
    <w:rsid w:val="00AB6DAC"/>
    <w:rsid w:val="00AB6EA5"/>
    <w:rsid w:val="00AB6EA7"/>
    <w:rsid w:val="00AB6F2E"/>
    <w:rsid w:val="00AB6F7E"/>
    <w:rsid w:val="00AB6FE1"/>
    <w:rsid w:val="00AB7291"/>
    <w:rsid w:val="00AB73CD"/>
    <w:rsid w:val="00AB7696"/>
    <w:rsid w:val="00AB7738"/>
    <w:rsid w:val="00AB7834"/>
    <w:rsid w:val="00AB79C2"/>
    <w:rsid w:val="00AB7B78"/>
    <w:rsid w:val="00AB7E66"/>
    <w:rsid w:val="00AC0037"/>
    <w:rsid w:val="00AC0153"/>
    <w:rsid w:val="00AC0237"/>
    <w:rsid w:val="00AC025B"/>
    <w:rsid w:val="00AC043B"/>
    <w:rsid w:val="00AC07F8"/>
    <w:rsid w:val="00AC0A53"/>
    <w:rsid w:val="00AC0BBF"/>
    <w:rsid w:val="00AC0CF2"/>
    <w:rsid w:val="00AC0DB0"/>
    <w:rsid w:val="00AC0EF0"/>
    <w:rsid w:val="00AC10AC"/>
    <w:rsid w:val="00AC11AD"/>
    <w:rsid w:val="00AC1242"/>
    <w:rsid w:val="00AC1325"/>
    <w:rsid w:val="00AC1382"/>
    <w:rsid w:val="00AC13F4"/>
    <w:rsid w:val="00AC1669"/>
    <w:rsid w:val="00AC1A9F"/>
    <w:rsid w:val="00AC1D4D"/>
    <w:rsid w:val="00AC20BE"/>
    <w:rsid w:val="00AC21C2"/>
    <w:rsid w:val="00AC2213"/>
    <w:rsid w:val="00AC233C"/>
    <w:rsid w:val="00AC2340"/>
    <w:rsid w:val="00AC2351"/>
    <w:rsid w:val="00AC2627"/>
    <w:rsid w:val="00AC2685"/>
    <w:rsid w:val="00AC27AA"/>
    <w:rsid w:val="00AC297E"/>
    <w:rsid w:val="00AC2A92"/>
    <w:rsid w:val="00AC2C58"/>
    <w:rsid w:val="00AC307F"/>
    <w:rsid w:val="00AC334D"/>
    <w:rsid w:val="00AC3405"/>
    <w:rsid w:val="00AC342B"/>
    <w:rsid w:val="00AC358F"/>
    <w:rsid w:val="00AC3635"/>
    <w:rsid w:val="00AC37BE"/>
    <w:rsid w:val="00AC382B"/>
    <w:rsid w:val="00AC3AB4"/>
    <w:rsid w:val="00AC3BDB"/>
    <w:rsid w:val="00AC3C15"/>
    <w:rsid w:val="00AC3E47"/>
    <w:rsid w:val="00AC4027"/>
    <w:rsid w:val="00AC40B2"/>
    <w:rsid w:val="00AC4420"/>
    <w:rsid w:val="00AC44A6"/>
    <w:rsid w:val="00AC47EC"/>
    <w:rsid w:val="00AC4811"/>
    <w:rsid w:val="00AC4B1E"/>
    <w:rsid w:val="00AC4C6D"/>
    <w:rsid w:val="00AC4CB4"/>
    <w:rsid w:val="00AC4D11"/>
    <w:rsid w:val="00AC501C"/>
    <w:rsid w:val="00AC5093"/>
    <w:rsid w:val="00AC528F"/>
    <w:rsid w:val="00AC52E7"/>
    <w:rsid w:val="00AC53D1"/>
    <w:rsid w:val="00AC555E"/>
    <w:rsid w:val="00AC556C"/>
    <w:rsid w:val="00AC58FF"/>
    <w:rsid w:val="00AC5945"/>
    <w:rsid w:val="00AC59C4"/>
    <w:rsid w:val="00AC5AAA"/>
    <w:rsid w:val="00AC5AC6"/>
    <w:rsid w:val="00AC5E20"/>
    <w:rsid w:val="00AC6004"/>
    <w:rsid w:val="00AC601B"/>
    <w:rsid w:val="00AC65B8"/>
    <w:rsid w:val="00AC6684"/>
    <w:rsid w:val="00AC66B0"/>
    <w:rsid w:val="00AC67F8"/>
    <w:rsid w:val="00AC6974"/>
    <w:rsid w:val="00AC6E31"/>
    <w:rsid w:val="00AC7056"/>
    <w:rsid w:val="00AC7236"/>
    <w:rsid w:val="00AC72A8"/>
    <w:rsid w:val="00AC7448"/>
    <w:rsid w:val="00AC763F"/>
    <w:rsid w:val="00AC786E"/>
    <w:rsid w:val="00AC7922"/>
    <w:rsid w:val="00AC7976"/>
    <w:rsid w:val="00AC79B9"/>
    <w:rsid w:val="00AC7BF5"/>
    <w:rsid w:val="00AC7DD2"/>
    <w:rsid w:val="00AD001B"/>
    <w:rsid w:val="00AD00CD"/>
    <w:rsid w:val="00AD00D5"/>
    <w:rsid w:val="00AD020B"/>
    <w:rsid w:val="00AD02D7"/>
    <w:rsid w:val="00AD0354"/>
    <w:rsid w:val="00AD0393"/>
    <w:rsid w:val="00AD0527"/>
    <w:rsid w:val="00AD074A"/>
    <w:rsid w:val="00AD07F3"/>
    <w:rsid w:val="00AD090F"/>
    <w:rsid w:val="00AD0A2B"/>
    <w:rsid w:val="00AD0F73"/>
    <w:rsid w:val="00AD117A"/>
    <w:rsid w:val="00AD1197"/>
    <w:rsid w:val="00AD142B"/>
    <w:rsid w:val="00AD157E"/>
    <w:rsid w:val="00AD1594"/>
    <w:rsid w:val="00AD162A"/>
    <w:rsid w:val="00AD1643"/>
    <w:rsid w:val="00AD1755"/>
    <w:rsid w:val="00AD177A"/>
    <w:rsid w:val="00AD179D"/>
    <w:rsid w:val="00AD17FC"/>
    <w:rsid w:val="00AD1829"/>
    <w:rsid w:val="00AD1859"/>
    <w:rsid w:val="00AD1880"/>
    <w:rsid w:val="00AD189B"/>
    <w:rsid w:val="00AD18C7"/>
    <w:rsid w:val="00AD1A1C"/>
    <w:rsid w:val="00AD1AB2"/>
    <w:rsid w:val="00AD1AC1"/>
    <w:rsid w:val="00AD1C04"/>
    <w:rsid w:val="00AD1CC0"/>
    <w:rsid w:val="00AD1FA2"/>
    <w:rsid w:val="00AD203C"/>
    <w:rsid w:val="00AD2192"/>
    <w:rsid w:val="00AD2272"/>
    <w:rsid w:val="00AD2370"/>
    <w:rsid w:val="00AD2513"/>
    <w:rsid w:val="00AD2583"/>
    <w:rsid w:val="00AD25E6"/>
    <w:rsid w:val="00AD2883"/>
    <w:rsid w:val="00AD2BAE"/>
    <w:rsid w:val="00AD2C10"/>
    <w:rsid w:val="00AD2C5E"/>
    <w:rsid w:val="00AD2E4C"/>
    <w:rsid w:val="00AD2E64"/>
    <w:rsid w:val="00AD2EDC"/>
    <w:rsid w:val="00AD2F21"/>
    <w:rsid w:val="00AD2FA1"/>
    <w:rsid w:val="00AD305F"/>
    <w:rsid w:val="00AD3154"/>
    <w:rsid w:val="00AD3381"/>
    <w:rsid w:val="00AD33E1"/>
    <w:rsid w:val="00AD3429"/>
    <w:rsid w:val="00AD35FF"/>
    <w:rsid w:val="00AD3667"/>
    <w:rsid w:val="00AD36F4"/>
    <w:rsid w:val="00AD3733"/>
    <w:rsid w:val="00AD37EE"/>
    <w:rsid w:val="00AD3966"/>
    <w:rsid w:val="00AD3AA7"/>
    <w:rsid w:val="00AD3AF2"/>
    <w:rsid w:val="00AD3C6C"/>
    <w:rsid w:val="00AD3D8A"/>
    <w:rsid w:val="00AD3DDA"/>
    <w:rsid w:val="00AD3F40"/>
    <w:rsid w:val="00AD4191"/>
    <w:rsid w:val="00AD4259"/>
    <w:rsid w:val="00AD453F"/>
    <w:rsid w:val="00AD45E5"/>
    <w:rsid w:val="00AD469D"/>
    <w:rsid w:val="00AD46C4"/>
    <w:rsid w:val="00AD475A"/>
    <w:rsid w:val="00AD483D"/>
    <w:rsid w:val="00AD48FA"/>
    <w:rsid w:val="00AD4C3F"/>
    <w:rsid w:val="00AD4DC0"/>
    <w:rsid w:val="00AD4E4D"/>
    <w:rsid w:val="00AD4EB9"/>
    <w:rsid w:val="00AD4ED8"/>
    <w:rsid w:val="00AD50F9"/>
    <w:rsid w:val="00AD52E8"/>
    <w:rsid w:val="00AD5428"/>
    <w:rsid w:val="00AD5543"/>
    <w:rsid w:val="00AD55DB"/>
    <w:rsid w:val="00AD5BAE"/>
    <w:rsid w:val="00AD5D22"/>
    <w:rsid w:val="00AD6066"/>
    <w:rsid w:val="00AD60C7"/>
    <w:rsid w:val="00AD6159"/>
    <w:rsid w:val="00AD61A3"/>
    <w:rsid w:val="00AD6405"/>
    <w:rsid w:val="00AD64D0"/>
    <w:rsid w:val="00AD64FF"/>
    <w:rsid w:val="00AD65C0"/>
    <w:rsid w:val="00AD6691"/>
    <w:rsid w:val="00AD6698"/>
    <w:rsid w:val="00AD67F9"/>
    <w:rsid w:val="00AD6B68"/>
    <w:rsid w:val="00AD6BA8"/>
    <w:rsid w:val="00AD6EFB"/>
    <w:rsid w:val="00AD6F5B"/>
    <w:rsid w:val="00AD7050"/>
    <w:rsid w:val="00AD710B"/>
    <w:rsid w:val="00AD7358"/>
    <w:rsid w:val="00AD73F7"/>
    <w:rsid w:val="00AD73FA"/>
    <w:rsid w:val="00AD76B6"/>
    <w:rsid w:val="00AD7770"/>
    <w:rsid w:val="00AD7840"/>
    <w:rsid w:val="00AD78A5"/>
    <w:rsid w:val="00AD7A65"/>
    <w:rsid w:val="00AD7A83"/>
    <w:rsid w:val="00AD7AF5"/>
    <w:rsid w:val="00AD7C1E"/>
    <w:rsid w:val="00AD7C7F"/>
    <w:rsid w:val="00AD7D86"/>
    <w:rsid w:val="00AD7DBD"/>
    <w:rsid w:val="00AD7DD1"/>
    <w:rsid w:val="00AD7E01"/>
    <w:rsid w:val="00AD7E84"/>
    <w:rsid w:val="00AE0048"/>
    <w:rsid w:val="00AE01F5"/>
    <w:rsid w:val="00AE0321"/>
    <w:rsid w:val="00AE03C4"/>
    <w:rsid w:val="00AE03CA"/>
    <w:rsid w:val="00AE0416"/>
    <w:rsid w:val="00AE069C"/>
    <w:rsid w:val="00AE0775"/>
    <w:rsid w:val="00AE07B7"/>
    <w:rsid w:val="00AE07C0"/>
    <w:rsid w:val="00AE082D"/>
    <w:rsid w:val="00AE08A4"/>
    <w:rsid w:val="00AE09B1"/>
    <w:rsid w:val="00AE0A32"/>
    <w:rsid w:val="00AE0B26"/>
    <w:rsid w:val="00AE0B48"/>
    <w:rsid w:val="00AE0E4B"/>
    <w:rsid w:val="00AE0EC5"/>
    <w:rsid w:val="00AE0EDD"/>
    <w:rsid w:val="00AE1018"/>
    <w:rsid w:val="00AE107C"/>
    <w:rsid w:val="00AE10E6"/>
    <w:rsid w:val="00AE1125"/>
    <w:rsid w:val="00AE11E6"/>
    <w:rsid w:val="00AE14B0"/>
    <w:rsid w:val="00AE14D3"/>
    <w:rsid w:val="00AE14E4"/>
    <w:rsid w:val="00AE1526"/>
    <w:rsid w:val="00AE1765"/>
    <w:rsid w:val="00AE19AC"/>
    <w:rsid w:val="00AE1C8E"/>
    <w:rsid w:val="00AE1EE0"/>
    <w:rsid w:val="00AE1F98"/>
    <w:rsid w:val="00AE20FB"/>
    <w:rsid w:val="00AE21B5"/>
    <w:rsid w:val="00AE2286"/>
    <w:rsid w:val="00AE22F7"/>
    <w:rsid w:val="00AE2360"/>
    <w:rsid w:val="00AE2601"/>
    <w:rsid w:val="00AE2606"/>
    <w:rsid w:val="00AE2623"/>
    <w:rsid w:val="00AE278B"/>
    <w:rsid w:val="00AE285D"/>
    <w:rsid w:val="00AE29FA"/>
    <w:rsid w:val="00AE2A07"/>
    <w:rsid w:val="00AE2CE2"/>
    <w:rsid w:val="00AE2E3C"/>
    <w:rsid w:val="00AE2E89"/>
    <w:rsid w:val="00AE2ED2"/>
    <w:rsid w:val="00AE2F4E"/>
    <w:rsid w:val="00AE3034"/>
    <w:rsid w:val="00AE32DB"/>
    <w:rsid w:val="00AE34B2"/>
    <w:rsid w:val="00AE35E3"/>
    <w:rsid w:val="00AE3677"/>
    <w:rsid w:val="00AE37A2"/>
    <w:rsid w:val="00AE37AA"/>
    <w:rsid w:val="00AE37D2"/>
    <w:rsid w:val="00AE38B1"/>
    <w:rsid w:val="00AE38E5"/>
    <w:rsid w:val="00AE3A65"/>
    <w:rsid w:val="00AE3CD4"/>
    <w:rsid w:val="00AE3DCF"/>
    <w:rsid w:val="00AE410D"/>
    <w:rsid w:val="00AE412D"/>
    <w:rsid w:val="00AE4175"/>
    <w:rsid w:val="00AE41C8"/>
    <w:rsid w:val="00AE420E"/>
    <w:rsid w:val="00AE42C3"/>
    <w:rsid w:val="00AE435C"/>
    <w:rsid w:val="00AE43AE"/>
    <w:rsid w:val="00AE46D1"/>
    <w:rsid w:val="00AE47D0"/>
    <w:rsid w:val="00AE493E"/>
    <w:rsid w:val="00AE4960"/>
    <w:rsid w:val="00AE4978"/>
    <w:rsid w:val="00AE49E1"/>
    <w:rsid w:val="00AE4BB1"/>
    <w:rsid w:val="00AE4C51"/>
    <w:rsid w:val="00AE4D27"/>
    <w:rsid w:val="00AE4E5E"/>
    <w:rsid w:val="00AE4E71"/>
    <w:rsid w:val="00AE55D1"/>
    <w:rsid w:val="00AE5758"/>
    <w:rsid w:val="00AE575A"/>
    <w:rsid w:val="00AE5779"/>
    <w:rsid w:val="00AE5781"/>
    <w:rsid w:val="00AE57B3"/>
    <w:rsid w:val="00AE57F7"/>
    <w:rsid w:val="00AE5BC5"/>
    <w:rsid w:val="00AE5E56"/>
    <w:rsid w:val="00AE5E57"/>
    <w:rsid w:val="00AE5F96"/>
    <w:rsid w:val="00AE5FB4"/>
    <w:rsid w:val="00AE5FD5"/>
    <w:rsid w:val="00AE60D9"/>
    <w:rsid w:val="00AE6155"/>
    <w:rsid w:val="00AE646A"/>
    <w:rsid w:val="00AE64A5"/>
    <w:rsid w:val="00AE6A2C"/>
    <w:rsid w:val="00AE6A3F"/>
    <w:rsid w:val="00AE6B4F"/>
    <w:rsid w:val="00AE6B72"/>
    <w:rsid w:val="00AE6BFE"/>
    <w:rsid w:val="00AE6FE0"/>
    <w:rsid w:val="00AE70E8"/>
    <w:rsid w:val="00AE73BA"/>
    <w:rsid w:val="00AE75EE"/>
    <w:rsid w:val="00AE7A00"/>
    <w:rsid w:val="00AE7A60"/>
    <w:rsid w:val="00AE7A83"/>
    <w:rsid w:val="00AE7A95"/>
    <w:rsid w:val="00AE7CC1"/>
    <w:rsid w:val="00AE7E92"/>
    <w:rsid w:val="00AE7FCF"/>
    <w:rsid w:val="00AE7FEB"/>
    <w:rsid w:val="00AF0169"/>
    <w:rsid w:val="00AF024B"/>
    <w:rsid w:val="00AF028B"/>
    <w:rsid w:val="00AF031F"/>
    <w:rsid w:val="00AF0414"/>
    <w:rsid w:val="00AF047D"/>
    <w:rsid w:val="00AF0510"/>
    <w:rsid w:val="00AF0690"/>
    <w:rsid w:val="00AF06F0"/>
    <w:rsid w:val="00AF0741"/>
    <w:rsid w:val="00AF078D"/>
    <w:rsid w:val="00AF0803"/>
    <w:rsid w:val="00AF09B1"/>
    <w:rsid w:val="00AF0A32"/>
    <w:rsid w:val="00AF0AD6"/>
    <w:rsid w:val="00AF0F62"/>
    <w:rsid w:val="00AF0FF9"/>
    <w:rsid w:val="00AF1186"/>
    <w:rsid w:val="00AF1309"/>
    <w:rsid w:val="00AF15B6"/>
    <w:rsid w:val="00AF15DB"/>
    <w:rsid w:val="00AF166D"/>
    <w:rsid w:val="00AF16D5"/>
    <w:rsid w:val="00AF1A35"/>
    <w:rsid w:val="00AF1C59"/>
    <w:rsid w:val="00AF1DCA"/>
    <w:rsid w:val="00AF1DEB"/>
    <w:rsid w:val="00AF1E9F"/>
    <w:rsid w:val="00AF1F32"/>
    <w:rsid w:val="00AF1F37"/>
    <w:rsid w:val="00AF1F45"/>
    <w:rsid w:val="00AF2058"/>
    <w:rsid w:val="00AF2127"/>
    <w:rsid w:val="00AF249A"/>
    <w:rsid w:val="00AF26A5"/>
    <w:rsid w:val="00AF2874"/>
    <w:rsid w:val="00AF2919"/>
    <w:rsid w:val="00AF299E"/>
    <w:rsid w:val="00AF2B2E"/>
    <w:rsid w:val="00AF2BC4"/>
    <w:rsid w:val="00AF2C58"/>
    <w:rsid w:val="00AF2CA0"/>
    <w:rsid w:val="00AF2E5D"/>
    <w:rsid w:val="00AF317B"/>
    <w:rsid w:val="00AF31AF"/>
    <w:rsid w:val="00AF3218"/>
    <w:rsid w:val="00AF366E"/>
    <w:rsid w:val="00AF36EB"/>
    <w:rsid w:val="00AF3826"/>
    <w:rsid w:val="00AF39D6"/>
    <w:rsid w:val="00AF39E0"/>
    <w:rsid w:val="00AF39ED"/>
    <w:rsid w:val="00AF3AA4"/>
    <w:rsid w:val="00AF3B84"/>
    <w:rsid w:val="00AF3C0F"/>
    <w:rsid w:val="00AF3D26"/>
    <w:rsid w:val="00AF3D2C"/>
    <w:rsid w:val="00AF3E10"/>
    <w:rsid w:val="00AF3F8C"/>
    <w:rsid w:val="00AF4057"/>
    <w:rsid w:val="00AF409C"/>
    <w:rsid w:val="00AF40E0"/>
    <w:rsid w:val="00AF40E9"/>
    <w:rsid w:val="00AF4124"/>
    <w:rsid w:val="00AF4573"/>
    <w:rsid w:val="00AF4661"/>
    <w:rsid w:val="00AF46BF"/>
    <w:rsid w:val="00AF46DA"/>
    <w:rsid w:val="00AF4942"/>
    <w:rsid w:val="00AF4974"/>
    <w:rsid w:val="00AF4A3E"/>
    <w:rsid w:val="00AF4AF6"/>
    <w:rsid w:val="00AF4B46"/>
    <w:rsid w:val="00AF4B91"/>
    <w:rsid w:val="00AF4C24"/>
    <w:rsid w:val="00AF4C46"/>
    <w:rsid w:val="00AF4DF8"/>
    <w:rsid w:val="00AF4EAD"/>
    <w:rsid w:val="00AF502C"/>
    <w:rsid w:val="00AF5214"/>
    <w:rsid w:val="00AF5285"/>
    <w:rsid w:val="00AF53C2"/>
    <w:rsid w:val="00AF5537"/>
    <w:rsid w:val="00AF5928"/>
    <w:rsid w:val="00AF5A57"/>
    <w:rsid w:val="00AF5B16"/>
    <w:rsid w:val="00AF5B50"/>
    <w:rsid w:val="00AF5B75"/>
    <w:rsid w:val="00AF5B83"/>
    <w:rsid w:val="00AF5E76"/>
    <w:rsid w:val="00AF5ED7"/>
    <w:rsid w:val="00AF5FAC"/>
    <w:rsid w:val="00AF60D8"/>
    <w:rsid w:val="00AF60DB"/>
    <w:rsid w:val="00AF6101"/>
    <w:rsid w:val="00AF612F"/>
    <w:rsid w:val="00AF6186"/>
    <w:rsid w:val="00AF632C"/>
    <w:rsid w:val="00AF6489"/>
    <w:rsid w:val="00AF64F6"/>
    <w:rsid w:val="00AF6508"/>
    <w:rsid w:val="00AF65D3"/>
    <w:rsid w:val="00AF687C"/>
    <w:rsid w:val="00AF689E"/>
    <w:rsid w:val="00AF68AE"/>
    <w:rsid w:val="00AF6E97"/>
    <w:rsid w:val="00AF6ED8"/>
    <w:rsid w:val="00AF6F1C"/>
    <w:rsid w:val="00AF70A7"/>
    <w:rsid w:val="00AF714D"/>
    <w:rsid w:val="00AF715D"/>
    <w:rsid w:val="00AF725B"/>
    <w:rsid w:val="00AF72B4"/>
    <w:rsid w:val="00AF75C4"/>
    <w:rsid w:val="00AF76F7"/>
    <w:rsid w:val="00AF7713"/>
    <w:rsid w:val="00AF77CA"/>
    <w:rsid w:val="00AF7928"/>
    <w:rsid w:val="00AF794B"/>
    <w:rsid w:val="00AF7A81"/>
    <w:rsid w:val="00AF7B2D"/>
    <w:rsid w:val="00AF7CB7"/>
    <w:rsid w:val="00AF7D61"/>
    <w:rsid w:val="00AF7D93"/>
    <w:rsid w:val="00AF7F63"/>
    <w:rsid w:val="00AF7F72"/>
    <w:rsid w:val="00B000C5"/>
    <w:rsid w:val="00B00106"/>
    <w:rsid w:val="00B001F4"/>
    <w:rsid w:val="00B0027B"/>
    <w:rsid w:val="00B00429"/>
    <w:rsid w:val="00B00454"/>
    <w:rsid w:val="00B00475"/>
    <w:rsid w:val="00B0048A"/>
    <w:rsid w:val="00B0053C"/>
    <w:rsid w:val="00B0057D"/>
    <w:rsid w:val="00B0064A"/>
    <w:rsid w:val="00B00B08"/>
    <w:rsid w:val="00B00E33"/>
    <w:rsid w:val="00B00F92"/>
    <w:rsid w:val="00B01731"/>
    <w:rsid w:val="00B01825"/>
    <w:rsid w:val="00B01854"/>
    <w:rsid w:val="00B0191A"/>
    <w:rsid w:val="00B01B72"/>
    <w:rsid w:val="00B01E02"/>
    <w:rsid w:val="00B01E4B"/>
    <w:rsid w:val="00B01EEB"/>
    <w:rsid w:val="00B01FC0"/>
    <w:rsid w:val="00B01FE6"/>
    <w:rsid w:val="00B02024"/>
    <w:rsid w:val="00B02036"/>
    <w:rsid w:val="00B02084"/>
    <w:rsid w:val="00B0217B"/>
    <w:rsid w:val="00B021AC"/>
    <w:rsid w:val="00B0221F"/>
    <w:rsid w:val="00B0251A"/>
    <w:rsid w:val="00B0260E"/>
    <w:rsid w:val="00B0265E"/>
    <w:rsid w:val="00B027E5"/>
    <w:rsid w:val="00B02846"/>
    <w:rsid w:val="00B028EB"/>
    <w:rsid w:val="00B02B8D"/>
    <w:rsid w:val="00B02C70"/>
    <w:rsid w:val="00B02DC8"/>
    <w:rsid w:val="00B02ED4"/>
    <w:rsid w:val="00B02F7B"/>
    <w:rsid w:val="00B031A7"/>
    <w:rsid w:val="00B032A0"/>
    <w:rsid w:val="00B032DB"/>
    <w:rsid w:val="00B03401"/>
    <w:rsid w:val="00B035B7"/>
    <w:rsid w:val="00B03826"/>
    <w:rsid w:val="00B03901"/>
    <w:rsid w:val="00B03ACE"/>
    <w:rsid w:val="00B03B03"/>
    <w:rsid w:val="00B03D0B"/>
    <w:rsid w:val="00B03EC8"/>
    <w:rsid w:val="00B042FE"/>
    <w:rsid w:val="00B0446D"/>
    <w:rsid w:val="00B0457F"/>
    <w:rsid w:val="00B045CB"/>
    <w:rsid w:val="00B0464C"/>
    <w:rsid w:val="00B04668"/>
    <w:rsid w:val="00B047EE"/>
    <w:rsid w:val="00B04951"/>
    <w:rsid w:val="00B04961"/>
    <w:rsid w:val="00B04A3B"/>
    <w:rsid w:val="00B04C7D"/>
    <w:rsid w:val="00B04D57"/>
    <w:rsid w:val="00B04DBA"/>
    <w:rsid w:val="00B04E1E"/>
    <w:rsid w:val="00B04E22"/>
    <w:rsid w:val="00B04F15"/>
    <w:rsid w:val="00B04F5F"/>
    <w:rsid w:val="00B05166"/>
    <w:rsid w:val="00B05257"/>
    <w:rsid w:val="00B052D0"/>
    <w:rsid w:val="00B0530D"/>
    <w:rsid w:val="00B053DF"/>
    <w:rsid w:val="00B05512"/>
    <w:rsid w:val="00B058B9"/>
    <w:rsid w:val="00B058D7"/>
    <w:rsid w:val="00B05931"/>
    <w:rsid w:val="00B05A0B"/>
    <w:rsid w:val="00B05AAF"/>
    <w:rsid w:val="00B05B2F"/>
    <w:rsid w:val="00B05C24"/>
    <w:rsid w:val="00B05EBD"/>
    <w:rsid w:val="00B05F08"/>
    <w:rsid w:val="00B06078"/>
    <w:rsid w:val="00B06426"/>
    <w:rsid w:val="00B06622"/>
    <w:rsid w:val="00B0668E"/>
    <w:rsid w:val="00B06736"/>
    <w:rsid w:val="00B067F3"/>
    <w:rsid w:val="00B0686B"/>
    <w:rsid w:val="00B069A2"/>
    <w:rsid w:val="00B06A16"/>
    <w:rsid w:val="00B06A37"/>
    <w:rsid w:val="00B06A5E"/>
    <w:rsid w:val="00B06CAE"/>
    <w:rsid w:val="00B06E49"/>
    <w:rsid w:val="00B06EAB"/>
    <w:rsid w:val="00B06EBB"/>
    <w:rsid w:val="00B06FCB"/>
    <w:rsid w:val="00B070F5"/>
    <w:rsid w:val="00B0734B"/>
    <w:rsid w:val="00B073E1"/>
    <w:rsid w:val="00B07459"/>
    <w:rsid w:val="00B0784C"/>
    <w:rsid w:val="00B07891"/>
    <w:rsid w:val="00B07AAF"/>
    <w:rsid w:val="00B07B42"/>
    <w:rsid w:val="00B07B68"/>
    <w:rsid w:val="00B07C56"/>
    <w:rsid w:val="00B07C6E"/>
    <w:rsid w:val="00B07CEE"/>
    <w:rsid w:val="00B07EFA"/>
    <w:rsid w:val="00B07F39"/>
    <w:rsid w:val="00B07FDC"/>
    <w:rsid w:val="00B100CE"/>
    <w:rsid w:val="00B102C1"/>
    <w:rsid w:val="00B103E7"/>
    <w:rsid w:val="00B10441"/>
    <w:rsid w:val="00B10446"/>
    <w:rsid w:val="00B10526"/>
    <w:rsid w:val="00B10622"/>
    <w:rsid w:val="00B106A9"/>
    <w:rsid w:val="00B106DE"/>
    <w:rsid w:val="00B10746"/>
    <w:rsid w:val="00B108E6"/>
    <w:rsid w:val="00B10A1D"/>
    <w:rsid w:val="00B10B21"/>
    <w:rsid w:val="00B10B24"/>
    <w:rsid w:val="00B10C2F"/>
    <w:rsid w:val="00B10E16"/>
    <w:rsid w:val="00B10F73"/>
    <w:rsid w:val="00B11054"/>
    <w:rsid w:val="00B11255"/>
    <w:rsid w:val="00B1131B"/>
    <w:rsid w:val="00B1136D"/>
    <w:rsid w:val="00B1152D"/>
    <w:rsid w:val="00B118B1"/>
    <w:rsid w:val="00B1196A"/>
    <w:rsid w:val="00B119A2"/>
    <w:rsid w:val="00B119BD"/>
    <w:rsid w:val="00B11A78"/>
    <w:rsid w:val="00B11AE9"/>
    <w:rsid w:val="00B11C29"/>
    <w:rsid w:val="00B11DFB"/>
    <w:rsid w:val="00B11E26"/>
    <w:rsid w:val="00B11FB7"/>
    <w:rsid w:val="00B12080"/>
    <w:rsid w:val="00B12112"/>
    <w:rsid w:val="00B12851"/>
    <w:rsid w:val="00B1288A"/>
    <w:rsid w:val="00B129E1"/>
    <w:rsid w:val="00B12AC9"/>
    <w:rsid w:val="00B12ACF"/>
    <w:rsid w:val="00B12C07"/>
    <w:rsid w:val="00B12C50"/>
    <w:rsid w:val="00B12D36"/>
    <w:rsid w:val="00B12DF8"/>
    <w:rsid w:val="00B12E61"/>
    <w:rsid w:val="00B12FEE"/>
    <w:rsid w:val="00B13000"/>
    <w:rsid w:val="00B13364"/>
    <w:rsid w:val="00B1339F"/>
    <w:rsid w:val="00B1350A"/>
    <w:rsid w:val="00B136A6"/>
    <w:rsid w:val="00B13757"/>
    <w:rsid w:val="00B13806"/>
    <w:rsid w:val="00B1380D"/>
    <w:rsid w:val="00B13871"/>
    <w:rsid w:val="00B13933"/>
    <w:rsid w:val="00B13A6A"/>
    <w:rsid w:val="00B13A8D"/>
    <w:rsid w:val="00B13ABD"/>
    <w:rsid w:val="00B13B5A"/>
    <w:rsid w:val="00B13EFC"/>
    <w:rsid w:val="00B13FD2"/>
    <w:rsid w:val="00B13FFB"/>
    <w:rsid w:val="00B141D5"/>
    <w:rsid w:val="00B144A7"/>
    <w:rsid w:val="00B14614"/>
    <w:rsid w:val="00B147A4"/>
    <w:rsid w:val="00B14805"/>
    <w:rsid w:val="00B14875"/>
    <w:rsid w:val="00B1494E"/>
    <w:rsid w:val="00B14986"/>
    <w:rsid w:val="00B14A24"/>
    <w:rsid w:val="00B14C0D"/>
    <w:rsid w:val="00B14CD8"/>
    <w:rsid w:val="00B14DC9"/>
    <w:rsid w:val="00B14DFA"/>
    <w:rsid w:val="00B14E00"/>
    <w:rsid w:val="00B14E6A"/>
    <w:rsid w:val="00B150D5"/>
    <w:rsid w:val="00B15186"/>
    <w:rsid w:val="00B152B5"/>
    <w:rsid w:val="00B152DA"/>
    <w:rsid w:val="00B1536A"/>
    <w:rsid w:val="00B153D8"/>
    <w:rsid w:val="00B15448"/>
    <w:rsid w:val="00B15775"/>
    <w:rsid w:val="00B158F8"/>
    <w:rsid w:val="00B15AA8"/>
    <w:rsid w:val="00B15B90"/>
    <w:rsid w:val="00B15BB9"/>
    <w:rsid w:val="00B15ECF"/>
    <w:rsid w:val="00B15F96"/>
    <w:rsid w:val="00B1622F"/>
    <w:rsid w:val="00B162ED"/>
    <w:rsid w:val="00B1639D"/>
    <w:rsid w:val="00B167CD"/>
    <w:rsid w:val="00B16807"/>
    <w:rsid w:val="00B16892"/>
    <w:rsid w:val="00B169F2"/>
    <w:rsid w:val="00B16A07"/>
    <w:rsid w:val="00B16AB6"/>
    <w:rsid w:val="00B16B5F"/>
    <w:rsid w:val="00B16E12"/>
    <w:rsid w:val="00B1702C"/>
    <w:rsid w:val="00B17099"/>
    <w:rsid w:val="00B171AB"/>
    <w:rsid w:val="00B17249"/>
    <w:rsid w:val="00B172C6"/>
    <w:rsid w:val="00B17344"/>
    <w:rsid w:val="00B174E8"/>
    <w:rsid w:val="00B17513"/>
    <w:rsid w:val="00B17701"/>
    <w:rsid w:val="00B17960"/>
    <w:rsid w:val="00B17974"/>
    <w:rsid w:val="00B17C95"/>
    <w:rsid w:val="00B17D28"/>
    <w:rsid w:val="00B17F4A"/>
    <w:rsid w:val="00B17F7A"/>
    <w:rsid w:val="00B2004B"/>
    <w:rsid w:val="00B200D3"/>
    <w:rsid w:val="00B2018B"/>
    <w:rsid w:val="00B20368"/>
    <w:rsid w:val="00B20796"/>
    <w:rsid w:val="00B20805"/>
    <w:rsid w:val="00B2082E"/>
    <w:rsid w:val="00B20A56"/>
    <w:rsid w:val="00B20BF7"/>
    <w:rsid w:val="00B20E39"/>
    <w:rsid w:val="00B20FCA"/>
    <w:rsid w:val="00B2109A"/>
    <w:rsid w:val="00B211BF"/>
    <w:rsid w:val="00B214B2"/>
    <w:rsid w:val="00B217C0"/>
    <w:rsid w:val="00B21848"/>
    <w:rsid w:val="00B21996"/>
    <w:rsid w:val="00B21B65"/>
    <w:rsid w:val="00B21D8C"/>
    <w:rsid w:val="00B21E0F"/>
    <w:rsid w:val="00B21E5F"/>
    <w:rsid w:val="00B21E84"/>
    <w:rsid w:val="00B21E9E"/>
    <w:rsid w:val="00B22008"/>
    <w:rsid w:val="00B22090"/>
    <w:rsid w:val="00B220C6"/>
    <w:rsid w:val="00B221DA"/>
    <w:rsid w:val="00B222E2"/>
    <w:rsid w:val="00B22360"/>
    <w:rsid w:val="00B22430"/>
    <w:rsid w:val="00B22551"/>
    <w:rsid w:val="00B2260A"/>
    <w:rsid w:val="00B22B76"/>
    <w:rsid w:val="00B22BC2"/>
    <w:rsid w:val="00B22C1C"/>
    <w:rsid w:val="00B22CC9"/>
    <w:rsid w:val="00B22D20"/>
    <w:rsid w:val="00B22D60"/>
    <w:rsid w:val="00B23046"/>
    <w:rsid w:val="00B2308B"/>
    <w:rsid w:val="00B230BD"/>
    <w:rsid w:val="00B232A0"/>
    <w:rsid w:val="00B232D3"/>
    <w:rsid w:val="00B2337B"/>
    <w:rsid w:val="00B233E1"/>
    <w:rsid w:val="00B23616"/>
    <w:rsid w:val="00B23679"/>
    <w:rsid w:val="00B2381E"/>
    <w:rsid w:val="00B23866"/>
    <w:rsid w:val="00B23924"/>
    <w:rsid w:val="00B239C5"/>
    <w:rsid w:val="00B23A32"/>
    <w:rsid w:val="00B23C16"/>
    <w:rsid w:val="00B23EE4"/>
    <w:rsid w:val="00B23F0A"/>
    <w:rsid w:val="00B2404B"/>
    <w:rsid w:val="00B24512"/>
    <w:rsid w:val="00B2454E"/>
    <w:rsid w:val="00B246C0"/>
    <w:rsid w:val="00B24834"/>
    <w:rsid w:val="00B24918"/>
    <w:rsid w:val="00B24A64"/>
    <w:rsid w:val="00B24AD9"/>
    <w:rsid w:val="00B24B2B"/>
    <w:rsid w:val="00B24B34"/>
    <w:rsid w:val="00B24DB0"/>
    <w:rsid w:val="00B24DB2"/>
    <w:rsid w:val="00B24E64"/>
    <w:rsid w:val="00B24FB0"/>
    <w:rsid w:val="00B250F8"/>
    <w:rsid w:val="00B25275"/>
    <w:rsid w:val="00B252A0"/>
    <w:rsid w:val="00B252A6"/>
    <w:rsid w:val="00B25324"/>
    <w:rsid w:val="00B253CD"/>
    <w:rsid w:val="00B254D1"/>
    <w:rsid w:val="00B25635"/>
    <w:rsid w:val="00B2568E"/>
    <w:rsid w:val="00B259A1"/>
    <w:rsid w:val="00B25A69"/>
    <w:rsid w:val="00B25ABD"/>
    <w:rsid w:val="00B25FD6"/>
    <w:rsid w:val="00B26041"/>
    <w:rsid w:val="00B26319"/>
    <w:rsid w:val="00B26361"/>
    <w:rsid w:val="00B265EB"/>
    <w:rsid w:val="00B26639"/>
    <w:rsid w:val="00B2663D"/>
    <w:rsid w:val="00B26B3F"/>
    <w:rsid w:val="00B26F3A"/>
    <w:rsid w:val="00B26F71"/>
    <w:rsid w:val="00B27071"/>
    <w:rsid w:val="00B272D4"/>
    <w:rsid w:val="00B272D7"/>
    <w:rsid w:val="00B27382"/>
    <w:rsid w:val="00B273FF"/>
    <w:rsid w:val="00B274AE"/>
    <w:rsid w:val="00B274CE"/>
    <w:rsid w:val="00B27546"/>
    <w:rsid w:val="00B27572"/>
    <w:rsid w:val="00B2757C"/>
    <w:rsid w:val="00B276E7"/>
    <w:rsid w:val="00B27733"/>
    <w:rsid w:val="00B277C8"/>
    <w:rsid w:val="00B277E3"/>
    <w:rsid w:val="00B27853"/>
    <w:rsid w:val="00B278B7"/>
    <w:rsid w:val="00B278CF"/>
    <w:rsid w:val="00B27A0B"/>
    <w:rsid w:val="00B27A0E"/>
    <w:rsid w:val="00B27AE9"/>
    <w:rsid w:val="00B27BD7"/>
    <w:rsid w:val="00B27D85"/>
    <w:rsid w:val="00B27E93"/>
    <w:rsid w:val="00B27FE3"/>
    <w:rsid w:val="00B30061"/>
    <w:rsid w:val="00B30388"/>
    <w:rsid w:val="00B303E2"/>
    <w:rsid w:val="00B304AF"/>
    <w:rsid w:val="00B305E6"/>
    <w:rsid w:val="00B3081C"/>
    <w:rsid w:val="00B30896"/>
    <w:rsid w:val="00B30938"/>
    <w:rsid w:val="00B30A19"/>
    <w:rsid w:val="00B30A35"/>
    <w:rsid w:val="00B30ABB"/>
    <w:rsid w:val="00B30AFB"/>
    <w:rsid w:val="00B30B28"/>
    <w:rsid w:val="00B30C1B"/>
    <w:rsid w:val="00B30DBC"/>
    <w:rsid w:val="00B30EF3"/>
    <w:rsid w:val="00B30FDC"/>
    <w:rsid w:val="00B31080"/>
    <w:rsid w:val="00B3117B"/>
    <w:rsid w:val="00B31281"/>
    <w:rsid w:val="00B312E8"/>
    <w:rsid w:val="00B3139F"/>
    <w:rsid w:val="00B31512"/>
    <w:rsid w:val="00B3165D"/>
    <w:rsid w:val="00B31781"/>
    <w:rsid w:val="00B317AA"/>
    <w:rsid w:val="00B31950"/>
    <w:rsid w:val="00B319E0"/>
    <w:rsid w:val="00B31B4A"/>
    <w:rsid w:val="00B31E8A"/>
    <w:rsid w:val="00B31FCE"/>
    <w:rsid w:val="00B31FD6"/>
    <w:rsid w:val="00B3204C"/>
    <w:rsid w:val="00B3205C"/>
    <w:rsid w:val="00B320A9"/>
    <w:rsid w:val="00B32125"/>
    <w:rsid w:val="00B322E0"/>
    <w:rsid w:val="00B32512"/>
    <w:rsid w:val="00B32749"/>
    <w:rsid w:val="00B32764"/>
    <w:rsid w:val="00B327C1"/>
    <w:rsid w:val="00B32951"/>
    <w:rsid w:val="00B32A0D"/>
    <w:rsid w:val="00B32A78"/>
    <w:rsid w:val="00B32AAE"/>
    <w:rsid w:val="00B32B25"/>
    <w:rsid w:val="00B32BE7"/>
    <w:rsid w:val="00B32C68"/>
    <w:rsid w:val="00B32D7A"/>
    <w:rsid w:val="00B32E3A"/>
    <w:rsid w:val="00B32E94"/>
    <w:rsid w:val="00B32ED2"/>
    <w:rsid w:val="00B3306A"/>
    <w:rsid w:val="00B330EB"/>
    <w:rsid w:val="00B3366E"/>
    <w:rsid w:val="00B3374B"/>
    <w:rsid w:val="00B3388D"/>
    <w:rsid w:val="00B338FB"/>
    <w:rsid w:val="00B33EEB"/>
    <w:rsid w:val="00B3462F"/>
    <w:rsid w:val="00B347A1"/>
    <w:rsid w:val="00B3487B"/>
    <w:rsid w:val="00B3490B"/>
    <w:rsid w:val="00B34A4D"/>
    <w:rsid w:val="00B34BC5"/>
    <w:rsid w:val="00B351AF"/>
    <w:rsid w:val="00B353AD"/>
    <w:rsid w:val="00B353B6"/>
    <w:rsid w:val="00B3547E"/>
    <w:rsid w:val="00B355C9"/>
    <w:rsid w:val="00B3566D"/>
    <w:rsid w:val="00B356A5"/>
    <w:rsid w:val="00B35928"/>
    <w:rsid w:val="00B35A55"/>
    <w:rsid w:val="00B35B93"/>
    <w:rsid w:val="00B35D76"/>
    <w:rsid w:val="00B3609C"/>
    <w:rsid w:val="00B3633D"/>
    <w:rsid w:val="00B363EE"/>
    <w:rsid w:val="00B36480"/>
    <w:rsid w:val="00B3666E"/>
    <w:rsid w:val="00B36915"/>
    <w:rsid w:val="00B36BBD"/>
    <w:rsid w:val="00B36D66"/>
    <w:rsid w:val="00B36DA4"/>
    <w:rsid w:val="00B36DD7"/>
    <w:rsid w:val="00B36E06"/>
    <w:rsid w:val="00B36E90"/>
    <w:rsid w:val="00B37201"/>
    <w:rsid w:val="00B372BD"/>
    <w:rsid w:val="00B37496"/>
    <w:rsid w:val="00B37580"/>
    <w:rsid w:val="00B37596"/>
    <w:rsid w:val="00B37641"/>
    <w:rsid w:val="00B377A5"/>
    <w:rsid w:val="00B37A2B"/>
    <w:rsid w:val="00B37BD2"/>
    <w:rsid w:val="00B37D6C"/>
    <w:rsid w:val="00B37E44"/>
    <w:rsid w:val="00B37F5E"/>
    <w:rsid w:val="00B40121"/>
    <w:rsid w:val="00B4012E"/>
    <w:rsid w:val="00B4015D"/>
    <w:rsid w:val="00B401CD"/>
    <w:rsid w:val="00B40606"/>
    <w:rsid w:val="00B406F2"/>
    <w:rsid w:val="00B407BF"/>
    <w:rsid w:val="00B40868"/>
    <w:rsid w:val="00B408BD"/>
    <w:rsid w:val="00B4090A"/>
    <w:rsid w:val="00B4091F"/>
    <w:rsid w:val="00B40D02"/>
    <w:rsid w:val="00B40D98"/>
    <w:rsid w:val="00B40F76"/>
    <w:rsid w:val="00B4117E"/>
    <w:rsid w:val="00B41248"/>
    <w:rsid w:val="00B41256"/>
    <w:rsid w:val="00B413AC"/>
    <w:rsid w:val="00B415CC"/>
    <w:rsid w:val="00B4161D"/>
    <w:rsid w:val="00B41959"/>
    <w:rsid w:val="00B41963"/>
    <w:rsid w:val="00B419A6"/>
    <w:rsid w:val="00B419BF"/>
    <w:rsid w:val="00B41A01"/>
    <w:rsid w:val="00B41B6A"/>
    <w:rsid w:val="00B41B7F"/>
    <w:rsid w:val="00B41C13"/>
    <w:rsid w:val="00B41D83"/>
    <w:rsid w:val="00B41F29"/>
    <w:rsid w:val="00B41FF4"/>
    <w:rsid w:val="00B4200A"/>
    <w:rsid w:val="00B4210B"/>
    <w:rsid w:val="00B42171"/>
    <w:rsid w:val="00B4218C"/>
    <w:rsid w:val="00B42195"/>
    <w:rsid w:val="00B422EC"/>
    <w:rsid w:val="00B42366"/>
    <w:rsid w:val="00B42518"/>
    <w:rsid w:val="00B4276A"/>
    <w:rsid w:val="00B42991"/>
    <w:rsid w:val="00B42EB7"/>
    <w:rsid w:val="00B42FF7"/>
    <w:rsid w:val="00B43087"/>
    <w:rsid w:val="00B43210"/>
    <w:rsid w:val="00B4335B"/>
    <w:rsid w:val="00B43392"/>
    <w:rsid w:val="00B436B2"/>
    <w:rsid w:val="00B4397E"/>
    <w:rsid w:val="00B43A56"/>
    <w:rsid w:val="00B43A58"/>
    <w:rsid w:val="00B43C1E"/>
    <w:rsid w:val="00B43C81"/>
    <w:rsid w:val="00B44081"/>
    <w:rsid w:val="00B4437F"/>
    <w:rsid w:val="00B443D9"/>
    <w:rsid w:val="00B44401"/>
    <w:rsid w:val="00B446CC"/>
    <w:rsid w:val="00B446EE"/>
    <w:rsid w:val="00B446FE"/>
    <w:rsid w:val="00B44CF8"/>
    <w:rsid w:val="00B44DDD"/>
    <w:rsid w:val="00B44E56"/>
    <w:rsid w:val="00B44EAE"/>
    <w:rsid w:val="00B45109"/>
    <w:rsid w:val="00B45210"/>
    <w:rsid w:val="00B4521B"/>
    <w:rsid w:val="00B45436"/>
    <w:rsid w:val="00B454D9"/>
    <w:rsid w:val="00B45601"/>
    <w:rsid w:val="00B456C9"/>
    <w:rsid w:val="00B456E4"/>
    <w:rsid w:val="00B457C3"/>
    <w:rsid w:val="00B45832"/>
    <w:rsid w:val="00B4596A"/>
    <w:rsid w:val="00B45A2A"/>
    <w:rsid w:val="00B45A66"/>
    <w:rsid w:val="00B45C1C"/>
    <w:rsid w:val="00B45D9A"/>
    <w:rsid w:val="00B45E09"/>
    <w:rsid w:val="00B45F06"/>
    <w:rsid w:val="00B45FE3"/>
    <w:rsid w:val="00B460C8"/>
    <w:rsid w:val="00B46226"/>
    <w:rsid w:val="00B464AE"/>
    <w:rsid w:val="00B464EB"/>
    <w:rsid w:val="00B467B7"/>
    <w:rsid w:val="00B4688F"/>
    <w:rsid w:val="00B46B01"/>
    <w:rsid w:val="00B46C4D"/>
    <w:rsid w:val="00B46F67"/>
    <w:rsid w:val="00B471A1"/>
    <w:rsid w:val="00B471B5"/>
    <w:rsid w:val="00B4730A"/>
    <w:rsid w:val="00B47367"/>
    <w:rsid w:val="00B4743B"/>
    <w:rsid w:val="00B47494"/>
    <w:rsid w:val="00B4757C"/>
    <w:rsid w:val="00B47692"/>
    <w:rsid w:val="00B478B8"/>
    <w:rsid w:val="00B47CE3"/>
    <w:rsid w:val="00B47E01"/>
    <w:rsid w:val="00B50096"/>
    <w:rsid w:val="00B5056E"/>
    <w:rsid w:val="00B5079C"/>
    <w:rsid w:val="00B5082B"/>
    <w:rsid w:val="00B50915"/>
    <w:rsid w:val="00B50C38"/>
    <w:rsid w:val="00B50E68"/>
    <w:rsid w:val="00B50F39"/>
    <w:rsid w:val="00B51013"/>
    <w:rsid w:val="00B5105C"/>
    <w:rsid w:val="00B51071"/>
    <w:rsid w:val="00B5119D"/>
    <w:rsid w:val="00B5136A"/>
    <w:rsid w:val="00B514D2"/>
    <w:rsid w:val="00B51795"/>
    <w:rsid w:val="00B51915"/>
    <w:rsid w:val="00B51A58"/>
    <w:rsid w:val="00B51B2D"/>
    <w:rsid w:val="00B51E7F"/>
    <w:rsid w:val="00B51EFC"/>
    <w:rsid w:val="00B52100"/>
    <w:rsid w:val="00B52170"/>
    <w:rsid w:val="00B52246"/>
    <w:rsid w:val="00B5225B"/>
    <w:rsid w:val="00B524EF"/>
    <w:rsid w:val="00B52556"/>
    <w:rsid w:val="00B5256B"/>
    <w:rsid w:val="00B5265E"/>
    <w:rsid w:val="00B5283E"/>
    <w:rsid w:val="00B52B70"/>
    <w:rsid w:val="00B52B92"/>
    <w:rsid w:val="00B52C86"/>
    <w:rsid w:val="00B52D94"/>
    <w:rsid w:val="00B52E0D"/>
    <w:rsid w:val="00B53055"/>
    <w:rsid w:val="00B530E4"/>
    <w:rsid w:val="00B531FB"/>
    <w:rsid w:val="00B53325"/>
    <w:rsid w:val="00B53362"/>
    <w:rsid w:val="00B533B8"/>
    <w:rsid w:val="00B533DF"/>
    <w:rsid w:val="00B53407"/>
    <w:rsid w:val="00B536CB"/>
    <w:rsid w:val="00B5378D"/>
    <w:rsid w:val="00B53841"/>
    <w:rsid w:val="00B53854"/>
    <w:rsid w:val="00B53980"/>
    <w:rsid w:val="00B53A99"/>
    <w:rsid w:val="00B53B8A"/>
    <w:rsid w:val="00B53BC1"/>
    <w:rsid w:val="00B53C44"/>
    <w:rsid w:val="00B53CDF"/>
    <w:rsid w:val="00B53D28"/>
    <w:rsid w:val="00B53FDC"/>
    <w:rsid w:val="00B54082"/>
    <w:rsid w:val="00B5415F"/>
    <w:rsid w:val="00B54307"/>
    <w:rsid w:val="00B54343"/>
    <w:rsid w:val="00B54450"/>
    <w:rsid w:val="00B5448A"/>
    <w:rsid w:val="00B5448F"/>
    <w:rsid w:val="00B544D0"/>
    <w:rsid w:val="00B5459E"/>
    <w:rsid w:val="00B545CD"/>
    <w:rsid w:val="00B5471B"/>
    <w:rsid w:val="00B547D3"/>
    <w:rsid w:val="00B54A62"/>
    <w:rsid w:val="00B54AD2"/>
    <w:rsid w:val="00B54C0B"/>
    <w:rsid w:val="00B54C85"/>
    <w:rsid w:val="00B54CEA"/>
    <w:rsid w:val="00B54F6A"/>
    <w:rsid w:val="00B55001"/>
    <w:rsid w:val="00B550C8"/>
    <w:rsid w:val="00B55104"/>
    <w:rsid w:val="00B551A8"/>
    <w:rsid w:val="00B55238"/>
    <w:rsid w:val="00B5529C"/>
    <w:rsid w:val="00B552BB"/>
    <w:rsid w:val="00B55562"/>
    <w:rsid w:val="00B55676"/>
    <w:rsid w:val="00B5579F"/>
    <w:rsid w:val="00B5589A"/>
    <w:rsid w:val="00B5594A"/>
    <w:rsid w:val="00B55A72"/>
    <w:rsid w:val="00B55C73"/>
    <w:rsid w:val="00B55C93"/>
    <w:rsid w:val="00B55E18"/>
    <w:rsid w:val="00B55FB5"/>
    <w:rsid w:val="00B55FEC"/>
    <w:rsid w:val="00B55FF3"/>
    <w:rsid w:val="00B5606C"/>
    <w:rsid w:val="00B5610D"/>
    <w:rsid w:val="00B5617A"/>
    <w:rsid w:val="00B565C2"/>
    <w:rsid w:val="00B5660A"/>
    <w:rsid w:val="00B5663B"/>
    <w:rsid w:val="00B56891"/>
    <w:rsid w:val="00B56B31"/>
    <w:rsid w:val="00B56B4A"/>
    <w:rsid w:val="00B56E4B"/>
    <w:rsid w:val="00B56FF2"/>
    <w:rsid w:val="00B57061"/>
    <w:rsid w:val="00B5717B"/>
    <w:rsid w:val="00B57293"/>
    <w:rsid w:val="00B574E3"/>
    <w:rsid w:val="00B5761A"/>
    <w:rsid w:val="00B57642"/>
    <w:rsid w:val="00B578A1"/>
    <w:rsid w:val="00B5799F"/>
    <w:rsid w:val="00B57AD5"/>
    <w:rsid w:val="00B57AE3"/>
    <w:rsid w:val="00B57B2C"/>
    <w:rsid w:val="00B57C74"/>
    <w:rsid w:val="00B6003B"/>
    <w:rsid w:val="00B600E4"/>
    <w:rsid w:val="00B600FA"/>
    <w:rsid w:val="00B601CF"/>
    <w:rsid w:val="00B6053D"/>
    <w:rsid w:val="00B607FF"/>
    <w:rsid w:val="00B6093F"/>
    <w:rsid w:val="00B60A92"/>
    <w:rsid w:val="00B60C48"/>
    <w:rsid w:val="00B60C9C"/>
    <w:rsid w:val="00B60CE7"/>
    <w:rsid w:val="00B60D35"/>
    <w:rsid w:val="00B6104C"/>
    <w:rsid w:val="00B611F8"/>
    <w:rsid w:val="00B61253"/>
    <w:rsid w:val="00B61433"/>
    <w:rsid w:val="00B6155B"/>
    <w:rsid w:val="00B6161A"/>
    <w:rsid w:val="00B61A28"/>
    <w:rsid w:val="00B61AB8"/>
    <w:rsid w:val="00B61C3A"/>
    <w:rsid w:val="00B61CA6"/>
    <w:rsid w:val="00B61F01"/>
    <w:rsid w:val="00B61F0C"/>
    <w:rsid w:val="00B61F7A"/>
    <w:rsid w:val="00B62076"/>
    <w:rsid w:val="00B62078"/>
    <w:rsid w:val="00B6209F"/>
    <w:rsid w:val="00B62178"/>
    <w:rsid w:val="00B624F4"/>
    <w:rsid w:val="00B624FF"/>
    <w:rsid w:val="00B6263C"/>
    <w:rsid w:val="00B626D6"/>
    <w:rsid w:val="00B6270D"/>
    <w:rsid w:val="00B6282F"/>
    <w:rsid w:val="00B62894"/>
    <w:rsid w:val="00B629ED"/>
    <w:rsid w:val="00B62AAC"/>
    <w:rsid w:val="00B62BA3"/>
    <w:rsid w:val="00B62C9C"/>
    <w:rsid w:val="00B62D22"/>
    <w:rsid w:val="00B62DDE"/>
    <w:rsid w:val="00B63137"/>
    <w:rsid w:val="00B63255"/>
    <w:rsid w:val="00B63261"/>
    <w:rsid w:val="00B6339D"/>
    <w:rsid w:val="00B633EE"/>
    <w:rsid w:val="00B633F2"/>
    <w:rsid w:val="00B63A9A"/>
    <w:rsid w:val="00B63B43"/>
    <w:rsid w:val="00B63B84"/>
    <w:rsid w:val="00B64230"/>
    <w:rsid w:val="00B64290"/>
    <w:rsid w:val="00B64328"/>
    <w:rsid w:val="00B64464"/>
    <w:rsid w:val="00B64493"/>
    <w:rsid w:val="00B644CA"/>
    <w:rsid w:val="00B64569"/>
    <w:rsid w:val="00B645A2"/>
    <w:rsid w:val="00B64636"/>
    <w:rsid w:val="00B64638"/>
    <w:rsid w:val="00B646B1"/>
    <w:rsid w:val="00B646B4"/>
    <w:rsid w:val="00B64730"/>
    <w:rsid w:val="00B648DE"/>
    <w:rsid w:val="00B648F9"/>
    <w:rsid w:val="00B64910"/>
    <w:rsid w:val="00B64ADD"/>
    <w:rsid w:val="00B64AE4"/>
    <w:rsid w:val="00B64B2C"/>
    <w:rsid w:val="00B64BE1"/>
    <w:rsid w:val="00B64CC4"/>
    <w:rsid w:val="00B64CDD"/>
    <w:rsid w:val="00B64E1C"/>
    <w:rsid w:val="00B64F82"/>
    <w:rsid w:val="00B651D0"/>
    <w:rsid w:val="00B6535A"/>
    <w:rsid w:val="00B655D0"/>
    <w:rsid w:val="00B65687"/>
    <w:rsid w:val="00B6572C"/>
    <w:rsid w:val="00B6576B"/>
    <w:rsid w:val="00B6578C"/>
    <w:rsid w:val="00B65AD9"/>
    <w:rsid w:val="00B65C77"/>
    <w:rsid w:val="00B65E26"/>
    <w:rsid w:val="00B65EE1"/>
    <w:rsid w:val="00B66183"/>
    <w:rsid w:val="00B6618A"/>
    <w:rsid w:val="00B6638A"/>
    <w:rsid w:val="00B663FB"/>
    <w:rsid w:val="00B66587"/>
    <w:rsid w:val="00B666A7"/>
    <w:rsid w:val="00B66706"/>
    <w:rsid w:val="00B667B2"/>
    <w:rsid w:val="00B6680A"/>
    <w:rsid w:val="00B6687F"/>
    <w:rsid w:val="00B66C1C"/>
    <w:rsid w:val="00B66F23"/>
    <w:rsid w:val="00B66FB6"/>
    <w:rsid w:val="00B66FE0"/>
    <w:rsid w:val="00B671B7"/>
    <w:rsid w:val="00B671DB"/>
    <w:rsid w:val="00B671F9"/>
    <w:rsid w:val="00B6728D"/>
    <w:rsid w:val="00B673E4"/>
    <w:rsid w:val="00B67403"/>
    <w:rsid w:val="00B674D0"/>
    <w:rsid w:val="00B6789D"/>
    <w:rsid w:val="00B678B8"/>
    <w:rsid w:val="00B67946"/>
    <w:rsid w:val="00B67948"/>
    <w:rsid w:val="00B67982"/>
    <w:rsid w:val="00B679E9"/>
    <w:rsid w:val="00B67A54"/>
    <w:rsid w:val="00B67B1A"/>
    <w:rsid w:val="00B67CD9"/>
    <w:rsid w:val="00B67D98"/>
    <w:rsid w:val="00B67E80"/>
    <w:rsid w:val="00B67E91"/>
    <w:rsid w:val="00B67EBE"/>
    <w:rsid w:val="00B67EE6"/>
    <w:rsid w:val="00B67FF2"/>
    <w:rsid w:val="00B70060"/>
    <w:rsid w:val="00B70270"/>
    <w:rsid w:val="00B70295"/>
    <w:rsid w:val="00B703C1"/>
    <w:rsid w:val="00B705EB"/>
    <w:rsid w:val="00B7071C"/>
    <w:rsid w:val="00B709A4"/>
    <w:rsid w:val="00B70A21"/>
    <w:rsid w:val="00B70A5B"/>
    <w:rsid w:val="00B70A75"/>
    <w:rsid w:val="00B70ADA"/>
    <w:rsid w:val="00B70B5E"/>
    <w:rsid w:val="00B70C2B"/>
    <w:rsid w:val="00B70E56"/>
    <w:rsid w:val="00B70F74"/>
    <w:rsid w:val="00B71320"/>
    <w:rsid w:val="00B715BA"/>
    <w:rsid w:val="00B7167A"/>
    <w:rsid w:val="00B719EF"/>
    <w:rsid w:val="00B71EFE"/>
    <w:rsid w:val="00B71F68"/>
    <w:rsid w:val="00B71FEB"/>
    <w:rsid w:val="00B72087"/>
    <w:rsid w:val="00B720C3"/>
    <w:rsid w:val="00B720D7"/>
    <w:rsid w:val="00B72143"/>
    <w:rsid w:val="00B72329"/>
    <w:rsid w:val="00B72334"/>
    <w:rsid w:val="00B72585"/>
    <w:rsid w:val="00B725FA"/>
    <w:rsid w:val="00B7291D"/>
    <w:rsid w:val="00B729E4"/>
    <w:rsid w:val="00B72BB1"/>
    <w:rsid w:val="00B72BD4"/>
    <w:rsid w:val="00B72C4D"/>
    <w:rsid w:val="00B72C9D"/>
    <w:rsid w:val="00B72DA8"/>
    <w:rsid w:val="00B72F22"/>
    <w:rsid w:val="00B72F36"/>
    <w:rsid w:val="00B72FB0"/>
    <w:rsid w:val="00B73070"/>
    <w:rsid w:val="00B73609"/>
    <w:rsid w:val="00B73687"/>
    <w:rsid w:val="00B73988"/>
    <w:rsid w:val="00B73B30"/>
    <w:rsid w:val="00B73BB1"/>
    <w:rsid w:val="00B73C9A"/>
    <w:rsid w:val="00B73D06"/>
    <w:rsid w:val="00B740D5"/>
    <w:rsid w:val="00B7419E"/>
    <w:rsid w:val="00B744BF"/>
    <w:rsid w:val="00B74648"/>
    <w:rsid w:val="00B7470D"/>
    <w:rsid w:val="00B7479B"/>
    <w:rsid w:val="00B74991"/>
    <w:rsid w:val="00B749FC"/>
    <w:rsid w:val="00B74B8C"/>
    <w:rsid w:val="00B74C4F"/>
    <w:rsid w:val="00B74DD1"/>
    <w:rsid w:val="00B74DEB"/>
    <w:rsid w:val="00B74E3A"/>
    <w:rsid w:val="00B74E87"/>
    <w:rsid w:val="00B74F99"/>
    <w:rsid w:val="00B75192"/>
    <w:rsid w:val="00B7530E"/>
    <w:rsid w:val="00B7539D"/>
    <w:rsid w:val="00B753BF"/>
    <w:rsid w:val="00B754DA"/>
    <w:rsid w:val="00B7553D"/>
    <w:rsid w:val="00B75674"/>
    <w:rsid w:val="00B757CD"/>
    <w:rsid w:val="00B75AC0"/>
    <w:rsid w:val="00B75B5E"/>
    <w:rsid w:val="00B75C0A"/>
    <w:rsid w:val="00B75CFA"/>
    <w:rsid w:val="00B75D5E"/>
    <w:rsid w:val="00B75E0E"/>
    <w:rsid w:val="00B75ECB"/>
    <w:rsid w:val="00B75EDD"/>
    <w:rsid w:val="00B75F00"/>
    <w:rsid w:val="00B75F7C"/>
    <w:rsid w:val="00B7612E"/>
    <w:rsid w:val="00B761D0"/>
    <w:rsid w:val="00B76202"/>
    <w:rsid w:val="00B76206"/>
    <w:rsid w:val="00B76633"/>
    <w:rsid w:val="00B766D4"/>
    <w:rsid w:val="00B7671D"/>
    <w:rsid w:val="00B76797"/>
    <w:rsid w:val="00B7695F"/>
    <w:rsid w:val="00B76B6D"/>
    <w:rsid w:val="00B76DD5"/>
    <w:rsid w:val="00B76DF4"/>
    <w:rsid w:val="00B76E23"/>
    <w:rsid w:val="00B7708B"/>
    <w:rsid w:val="00B77220"/>
    <w:rsid w:val="00B7723C"/>
    <w:rsid w:val="00B772A6"/>
    <w:rsid w:val="00B774CE"/>
    <w:rsid w:val="00B774DF"/>
    <w:rsid w:val="00B7758B"/>
    <w:rsid w:val="00B7765B"/>
    <w:rsid w:val="00B77814"/>
    <w:rsid w:val="00B77A6F"/>
    <w:rsid w:val="00B77B7E"/>
    <w:rsid w:val="00B77BB7"/>
    <w:rsid w:val="00B77CC7"/>
    <w:rsid w:val="00B77CD9"/>
    <w:rsid w:val="00B77D1B"/>
    <w:rsid w:val="00B77D8F"/>
    <w:rsid w:val="00B77EBB"/>
    <w:rsid w:val="00B80119"/>
    <w:rsid w:val="00B80216"/>
    <w:rsid w:val="00B80290"/>
    <w:rsid w:val="00B80330"/>
    <w:rsid w:val="00B8033B"/>
    <w:rsid w:val="00B804F0"/>
    <w:rsid w:val="00B807C1"/>
    <w:rsid w:val="00B807EC"/>
    <w:rsid w:val="00B808CB"/>
    <w:rsid w:val="00B80A15"/>
    <w:rsid w:val="00B80B78"/>
    <w:rsid w:val="00B810A5"/>
    <w:rsid w:val="00B810B7"/>
    <w:rsid w:val="00B812A3"/>
    <w:rsid w:val="00B8136A"/>
    <w:rsid w:val="00B814EB"/>
    <w:rsid w:val="00B81582"/>
    <w:rsid w:val="00B815E4"/>
    <w:rsid w:val="00B81676"/>
    <w:rsid w:val="00B816D6"/>
    <w:rsid w:val="00B8171C"/>
    <w:rsid w:val="00B817E0"/>
    <w:rsid w:val="00B8184D"/>
    <w:rsid w:val="00B818C5"/>
    <w:rsid w:val="00B818FB"/>
    <w:rsid w:val="00B8198A"/>
    <w:rsid w:val="00B81A87"/>
    <w:rsid w:val="00B81AAF"/>
    <w:rsid w:val="00B81BBA"/>
    <w:rsid w:val="00B81DF3"/>
    <w:rsid w:val="00B81E22"/>
    <w:rsid w:val="00B81E5F"/>
    <w:rsid w:val="00B81ED7"/>
    <w:rsid w:val="00B81F1F"/>
    <w:rsid w:val="00B81F81"/>
    <w:rsid w:val="00B81FDD"/>
    <w:rsid w:val="00B81FE4"/>
    <w:rsid w:val="00B821C3"/>
    <w:rsid w:val="00B822E5"/>
    <w:rsid w:val="00B8268F"/>
    <w:rsid w:val="00B82803"/>
    <w:rsid w:val="00B829B8"/>
    <w:rsid w:val="00B82E4A"/>
    <w:rsid w:val="00B82FA9"/>
    <w:rsid w:val="00B830E7"/>
    <w:rsid w:val="00B83110"/>
    <w:rsid w:val="00B8322C"/>
    <w:rsid w:val="00B83326"/>
    <w:rsid w:val="00B83395"/>
    <w:rsid w:val="00B833A5"/>
    <w:rsid w:val="00B835E4"/>
    <w:rsid w:val="00B836F8"/>
    <w:rsid w:val="00B83768"/>
    <w:rsid w:val="00B83803"/>
    <w:rsid w:val="00B8388A"/>
    <w:rsid w:val="00B83979"/>
    <w:rsid w:val="00B83984"/>
    <w:rsid w:val="00B83B86"/>
    <w:rsid w:val="00B83CF3"/>
    <w:rsid w:val="00B83E7E"/>
    <w:rsid w:val="00B83E93"/>
    <w:rsid w:val="00B83F18"/>
    <w:rsid w:val="00B83F5C"/>
    <w:rsid w:val="00B83F81"/>
    <w:rsid w:val="00B84241"/>
    <w:rsid w:val="00B8445C"/>
    <w:rsid w:val="00B84675"/>
    <w:rsid w:val="00B84784"/>
    <w:rsid w:val="00B849FB"/>
    <w:rsid w:val="00B84B47"/>
    <w:rsid w:val="00B84B9C"/>
    <w:rsid w:val="00B84C0F"/>
    <w:rsid w:val="00B84C87"/>
    <w:rsid w:val="00B84D6E"/>
    <w:rsid w:val="00B84EB3"/>
    <w:rsid w:val="00B84F5D"/>
    <w:rsid w:val="00B8505B"/>
    <w:rsid w:val="00B85060"/>
    <w:rsid w:val="00B850DC"/>
    <w:rsid w:val="00B852F9"/>
    <w:rsid w:val="00B85354"/>
    <w:rsid w:val="00B855A3"/>
    <w:rsid w:val="00B85700"/>
    <w:rsid w:val="00B857D1"/>
    <w:rsid w:val="00B85A40"/>
    <w:rsid w:val="00B85C41"/>
    <w:rsid w:val="00B85C4D"/>
    <w:rsid w:val="00B85D59"/>
    <w:rsid w:val="00B85F89"/>
    <w:rsid w:val="00B8627E"/>
    <w:rsid w:val="00B86349"/>
    <w:rsid w:val="00B867DF"/>
    <w:rsid w:val="00B867EC"/>
    <w:rsid w:val="00B869A3"/>
    <w:rsid w:val="00B86B30"/>
    <w:rsid w:val="00B86B7A"/>
    <w:rsid w:val="00B86C03"/>
    <w:rsid w:val="00B86DB8"/>
    <w:rsid w:val="00B86F39"/>
    <w:rsid w:val="00B86F69"/>
    <w:rsid w:val="00B870C0"/>
    <w:rsid w:val="00B872A8"/>
    <w:rsid w:val="00B8733C"/>
    <w:rsid w:val="00B87397"/>
    <w:rsid w:val="00B873BB"/>
    <w:rsid w:val="00B87610"/>
    <w:rsid w:val="00B8772F"/>
    <w:rsid w:val="00B87899"/>
    <w:rsid w:val="00B87BC9"/>
    <w:rsid w:val="00B87CF1"/>
    <w:rsid w:val="00B87D02"/>
    <w:rsid w:val="00B87E7A"/>
    <w:rsid w:val="00B9030C"/>
    <w:rsid w:val="00B904B8"/>
    <w:rsid w:val="00B904CB"/>
    <w:rsid w:val="00B90662"/>
    <w:rsid w:val="00B9076C"/>
    <w:rsid w:val="00B90785"/>
    <w:rsid w:val="00B9083F"/>
    <w:rsid w:val="00B9099E"/>
    <w:rsid w:val="00B90A61"/>
    <w:rsid w:val="00B90B54"/>
    <w:rsid w:val="00B90BC7"/>
    <w:rsid w:val="00B90C1C"/>
    <w:rsid w:val="00B90C81"/>
    <w:rsid w:val="00B90E8D"/>
    <w:rsid w:val="00B90F67"/>
    <w:rsid w:val="00B90FF9"/>
    <w:rsid w:val="00B9101E"/>
    <w:rsid w:val="00B911DF"/>
    <w:rsid w:val="00B91384"/>
    <w:rsid w:val="00B9142A"/>
    <w:rsid w:val="00B9169D"/>
    <w:rsid w:val="00B918AB"/>
    <w:rsid w:val="00B919B3"/>
    <w:rsid w:val="00B919D2"/>
    <w:rsid w:val="00B91CEF"/>
    <w:rsid w:val="00B92014"/>
    <w:rsid w:val="00B921B1"/>
    <w:rsid w:val="00B922A5"/>
    <w:rsid w:val="00B923B3"/>
    <w:rsid w:val="00B9251D"/>
    <w:rsid w:val="00B9254C"/>
    <w:rsid w:val="00B927A2"/>
    <w:rsid w:val="00B9287E"/>
    <w:rsid w:val="00B92932"/>
    <w:rsid w:val="00B92AAC"/>
    <w:rsid w:val="00B92B18"/>
    <w:rsid w:val="00B92B2E"/>
    <w:rsid w:val="00B92B48"/>
    <w:rsid w:val="00B92C6A"/>
    <w:rsid w:val="00B92E31"/>
    <w:rsid w:val="00B92F29"/>
    <w:rsid w:val="00B9305D"/>
    <w:rsid w:val="00B93442"/>
    <w:rsid w:val="00B936D8"/>
    <w:rsid w:val="00B937E5"/>
    <w:rsid w:val="00B939B6"/>
    <w:rsid w:val="00B93A0B"/>
    <w:rsid w:val="00B93B33"/>
    <w:rsid w:val="00B93B8D"/>
    <w:rsid w:val="00B93BF7"/>
    <w:rsid w:val="00B941EF"/>
    <w:rsid w:val="00B94354"/>
    <w:rsid w:val="00B9437F"/>
    <w:rsid w:val="00B94560"/>
    <w:rsid w:val="00B94878"/>
    <w:rsid w:val="00B94902"/>
    <w:rsid w:val="00B949FF"/>
    <w:rsid w:val="00B94BA8"/>
    <w:rsid w:val="00B94C4F"/>
    <w:rsid w:val="00B95011"/>
    <w:rsid w:val="00B95049"/>
    <w:rsid w:val="00B95336"/>
    <w:rsid w:val="00B953D0"/>
    <w:rsid w:val="00B95413"/>
    <w:rsid w:val="00B954F7"/>
    <w:rsid w:val="00B955B3"/>
    <w:rsid w:val="00B955C8"/>
    <w:rsid w:val="00B955D2"/>
    <w:rsid w:val="00B956CA"/>
    <w:rsid w:val="00B95846"/>
    <w:rsid w:val="00B95889"/>
    <w:rsid w:val="00B9590B"/>
    <w:rsid w:val="00B95931"/>
    <w:rsid w:val="00B95A87"/>
    <w:rsid w:val="00B95C51"/>
    <w:rsid w:val="00B95CF8"/>
    <w:rsid w:val="00B95DAC"/>
    <w:rsid w:val="00B962EE"/>
    <w:rsid w:val="00B966B9"/>
    <w:rsid w:val="00B96A63"/>
    <w:rsid w:val="00B96B73"/>
    <w:rsid w:val="00B96C67"/>
    <w:rsid w:val="00B96D08"/>
    <w:rsid w:val="00B96D35"/>
    <w:rsid w:val="00B96E11"/>
    <w:rsid w:val="00B96E2F"/>
    <w:rsid w:val="00B96FBD"/>
    <w:rsid w:val="00B97239"/>
    <w:rsid w:val="00B97394"/>
    <w:rsid w:val="00B9744D"/>
    <w:rsid w:val="00B97538"/>
    <w:rsid w:val="00B9762E"/>
    <w:rsid w:val="00B97742"/>
    <w:rsid w:val="00B9789B"/>
    <w:rsid w:val="00B978BC"/>
    <w:rsid w:val="00B97982"/>
    <w:rsid w:val="00B97A6D"/>
    <w:rsid w:val="00B97AA4"/>
    <w:rsid w:val="00B97B97"/>
    <w:rsid w:val="00B97D38"/>
    <w:rsid w:val="00B97DD6"/>
    <w:rsid w:val="00B97EF0"/>
    <w:rsid w:val="00B97F2D"/>
    <w:rsid w:val="00BA0106"/>
    <w:rsid w:val="00BA0172"/>
    <w:rsid w:val="00BA01E8"/>
    <w:rsid w:val="00BA01FD"/>
    <w:rsid w:val="00BA0293"/>
    <w:rsid w:val="00BA03BC"/>
    <w:rsid w:val="00BA048F"/>
    <w:rsid w:val="00BA052E"/>
    <w:rsid w:val="00BA0563"/>
    <w:rsid w:val="00BA075E"/>
    <w:rsid w:val="00BA09E6"/>
    <w:rsid w:val="00BA0BEE"/>
    <w:rsid w:val="00BA0E3B"/>
    <w:rsid w:val="00BA0EA9"/>
    <w:rsid w:val="00BA0ED6"/>
    <w:rsid w:val="00BA0EE1"/>
    <w:rsid w:val="00BA1329"/>
    <w:rsid w:val="00BA132F"/>
    <w:rsid w:val="00BA13EA"/>
    <w:rsid w:val="00BA1678"/>
    <w:rsid w:val="00BA168A"/>
    <w:rsid w:val="00BA16B7"/>
    <w:rsid w:val="00BA18AC"/>
    <w:rsid w:val="00BA190B"/>
    <w:rsid w:val="00BA1DFD"/>
    <w:rsid w:val="00BA1E40"/>
    <w:rsid w:val="00BA20D7"/>
    <w:rsid w:val="00BA2289"/>
    <w:rsid w:val="00BA22A1"/>
    <w:rsid w:val="00BA2347"/>
    <w:rsid w:val="00BA2452"/>
    <w:rsid w:val="00BA26B4"/>
    <w:rsid w:val="00BA27B0"/>
    <w:rsid w:val="00BA27F6"/>
    <w:rsid w:val="00BA2846"/>
    <w:rsid w:val="00BA2A75"/>
    <w:rsid w:val="00BA2C67"/>
    <w:rsid w:val="00BA2DB8"/>
    <w:rsid w:val="00BA2E10"/>
    <w:rsid w:val="00BA2F38"/>
    <w:rsid w:val="00BA2FC4"/>
    <w:rsid w:val="00BA309C"/>
    <w:rsid w:val="00BA3122"/>
    <w:rsid w:val="00BA31CD"/>
    <w:rsid w:val="00BA31D8"/>
    <w:rsid w:val="00BA35C1"/>
    <w:rsid w:val="00BA38DF"/>
    <w:rsid w:val="00BA3A2D"/>
    <w:rsid w:val="00BA3A74"/>
    <w:rsid w:val="00BA3AA0"/>
    <w:rsid w:val="00BA3AA9"/>
    <w:rsid w:val="00BA400D"/>
    <w:rsid w:val="00BA403F"/>
    <w:rsid w:val="00BA4056"/>
    <w:rsid w:val="00BA42E2"/>
    <w:rsid w:val="00BA43EA"/>
    <w:rsid w:val="00BA44C2"/>
    <w:rsid w:val="00BA4B12"/>
    <w:rsid w:val="00BA4CC3"/>
    <w:rsid w:val="00BA4D0A"/>
    <w:rsid w:val="00BA4D68"/>
    <w:rsid w:val="00BA4DE2"/>
    <w:rsid w:val="00BA4F24"/>
    <w:rsid w:val="00BA4F76"/>
    <w:rsid w:val="00BA54D6"/>
    <w:rsid w:val="00BA5644"/>
    <w:rsid w:val="00BA58F2"/>
    <w:rsid w:val="00BA59E8"/>
    <w:rsid w:val="00BA5A69"/>
    <w:rsid w:val="00BA5E10"/>
    <w:rsid w:val="00BA5F96"/>
    <w:rsid w:val="00BA6024"/>
    <w:rsid w:val="00BA603A"/>
    <w:rsid w:val="00BA60FC"/>
    <w:rsid w:val="00BA611C"/>
    <w:rsid w:val="00BA6178"/>
    <w:rsid w:val="00BA62D0"/>
    <w:rsid w:val="00BA6336"/>
    <w:rsid w:val="00BA659F"/>
    <w:rsid w:val="00BA6937"/>
    <w:rsid w:val="00BA6C5C"/>
    <w:rsid w:val="00BA6C60"/>
    <w:rsid w:val="00BA6F5F"/>
    <w:rsid w:val="00BA6F65"/>
    <w:rsid w:val="00BA700B"/>
    <w:rsid w:val="00BA7037"/>
    <w:rsid w:val="00BA7131"/>
    <w:rsid w:val="00BA72CF"/>
    <w:rsid w:val="00BA7310"/>
    <w:rsid w:val="00BA74E6"/>
    <w:rsid w:val="00BA74F9"/>
    <w:rsid w:val="00BA750A"/>
    <w:rsid w:val="00BA755C"/>
    <w:rsid w:val="00BA760B"/>
    <w:rsid w:val="00BA7727"/>
    <w:rsid w:val="00BA7762"/>
    <w:rsid w:val="00BA7812"/>
    <w:rsid w:val="00BA7909"/>
    <w:rsid w:val="00BA7929"/>
    <w:rsid w:val="00BA7A2C"/>
    <w:rsid w:val="00BA7A2E"/>
    <w:rsid w:val="00BA7A4A"/>
    <w:rsid w:val="00BA7AA1"/>
    <w:rsid w:val="00BA7BF0"/>
    <w:rsid w:val="00BA7D82"/>
    <w:rsid w:val="00BA7E5E"/>
    <w:rsid w:val="00BB0157"/>
    <w:rsid w:val="00BB055B"/>
    <w:rsid w:val="00BB0611"/>
    <w:rsid w:val="00BB08E3"/>
    <w:rsid w:val="00BB09EA"/>
    <w:rsid w:val="00BB0A86"/>
    <w:rsid w:val="00BB0D88"/>
    <w:rsid w:val="00BB11CA"/>
    <w:rsid w:val="00BB12B6"/>
    <w:rsid w:val="00BB1414"/>
    <w:rsid w:val="00BB14B6"/>
    <w:rsid w:val="00BB14C1"/>
    <w:rsid w:val="00BB1739"/>
    <w:rsid w:val="00BB1845"/>
    <w:rsid w:val="00BB19C8"/>
    <w:rsid w:val="00BB1DEF"/>
    <w:rsid w:val="00BB1E38"/>
    <w:rsid w:val="00BB1F8D"/>
    <w:rsid w:val="00BB2124"/>
    <w:rsid w:val="00BB215A"/>
    <w:rsid w:val="00BB216D"/>
    <w:rsid w:val="00BB2196"/>
    <w:rsid w:val="00BB2323"/>
    <w:rsid w:val="00BB2333"/>
    <w:rsid w:val="00BB23EF"/>
    <w:rsid w:val="00BB2401"/>
    <w:rsid w:val="00BB2871"/>
    <w:rsid w:val="00BB2925"/>
    <w:rsid w:val="00BB2CA1"/>
    <w:rsid w:val="00BB2DFD"/>
    <w:rsid w:val="00BB2E9E"/>
    <w:rsid w:val="00BB305B"/>
    <w:rsid w:val="00BB312C"/>
    <w:rsid w:val="00BB3181"/>
    <w:rsid w:val="00BB32D8"/>
    <w:rsid w:val="00BB36FE"/>
    <w:rsid w:val="00BB3864"/>
    <w:rsid w:val="00BB38F4"/>
    <w:rsid w:val="00BB3A2F"/>
    <w:rsid w:val="00BB3A68"/>
    <w:rsid w:val="00BB3B7E"/>
    <w:rsid w:val="00BB3BD4"/>
    <w:rsid w:val="00BB3BE8"/>
    <w:rsid w:val="00BB3D38"/>
    <w:rsid w:val="00BB3ED0"/>
    <w:rsid w:val="00BB4092"/>
    <w:rsid w:val="00BB42AD"/>
    <w:rsid w:val="00BB44B5"/>
    <w:rsid w:val="00BB4543"/>
    <w:rsid w:val="00BB4707"/>
    <w:rsid w:val="00BB48E0"/>
    <w:rsid w:val="00BB4B5A"/>
    <w:rsid w:val="00BB4B80"/>
    <w:rsid w:val="00BB4B81"/>
    <w:rsid w:val="00BB4BE2"/>
    <w:rsid w:val="00BB4C01"/>
    <w:rsid w:val="00BB4C0A"/>
    <w:rsid w:val="00BB4D24"/>
    <w:rsid w:val="00BB4D44"/>
    <w:rsid w:val="00BB4F13"/>
    <w:rsid w:val="00BB4FC5"/>
    <w:rsid w:val="00BB5538"/>
    <w:rsid w:val="00BB56E3"/>
    <w:rsid w:val="00BB575E"/>
    <w:rsid w:val="00BB5A73"/>
    <w:rsid w:val="00BB5AC2"/>
    <w:rsid w:val="00BB5F3B"/>
    <w:rsid w:val="00BB5F4D"/>
    <w:rsid w:val="00BB5F75"/>
    <w:rsid w:val="00BB6093"/>
    <w:rsid w:val="00BB60C1"/>
    <w:rsid w:val="00BB60C8"/>
    <w:rsid w:val="00BB6115"/>
    <w:rsid w:val="00BB6131"/>
    <w:rsid w:val="00BB6255"/>
    <w:rsid w:val="00BB6268"/>
    <w:rsid w:val="00BB6276"/>
    <w:rsid w:val="00BB62E6"/>
    <w:rsid w:val="00BB6401"/>
    <w:rsid w:val="00BB64A9"/>
    <w:rsid w:val="00BB65F8"/>
    <w:rsid w:val="00BB6715"/>
    <w:rsid w:val="00BB6786"/>
    <w:rsid w:val="00BB67CC"/>
    <w:rsid w:val="00BB67D7"/>
    <w:rsid w:val="00BB684E"/>
    <w:rsid w:val="00BB6AAF"/>
    <w:rsid w:val="00BB6AD9"/>
    <w:rsid w:val="00BB6AFE"/>
    <w:rsid w:val="00BB6BBB"/>
    <w:rsid w:val="00BB6BD2"/>
    <w:rsid w:val="00BB6CB9"/>
    <w:rsid w:val="00BB6CE2"/>
    <w:rsid w:val="00BB71C7"/>
    <w:rsid w:val="00BB7231"/>
    <w:rsid w:val="00BB724D"/>
    <w:rsid w:val="00BB7295"/>
    <w:rsid w:val="00BB72B6"/>
    <w:rsid w:val="00BB738F"/>
    <w:rsid w:val="00BB7478"/>
    <w:rsid w:val="00BB75E9"/>
    <w:rsid w:val="00BB76D7"/>
    <w:rsid w:val="00BB774D"/>
    <w:rsid w:val="00BB798F"/>
    <w:rsid w:val="00BB7998"/>
    <w:rsid w:val="00BB7B0D"/>
    <w:rsid w:val="00BB7BB3"/>
    <w:rsid w:val="00BB7D88"/>
    <w:rsid w:val="00BB7E5A"/>
    <w:rsid w:val="00BB7F71"/>
    <w:rsid w:val="00BB7FC5"/>
    <w:rsid w:val="00BC002F"/>
    <w:rsid w:val="00BC029A"/>
    <w:rsid w:val="00BC048C"/>
    <w:rsid w:val="00BC0520"/>
    <w:rsid w:val="00BC05D8"/>
    <w:rsid w:val="00BC063A"/>
    <w:rsid w:val="00BC070D"/>
    <w:rsid w:val="00BC0812"/>
    <w:rsid w:val="00BC0965"/>
    <w:rsid w:val="00BC09D6"/>
    <w:rsid w:val="00BC0A41"/>
    <w:rsid w:val="00BC0BA7"/>
    <w:rsid w:val="00BC1291"/>
    <w:rsid w:val="00BC139F"/>
    <w:rsid w:val="00BC141B"/>
    <w:rsid w:val="00BC1460"/>
    <w:rsid w:val="00BC1657"/>
    <w:rsid w:val="00BC1858"/>
    <w:rsid w:val="00BC18AA"/>
    <w:rsid w:val="00BC18D4"/>
    <w:rsid w:val="00BC1946"/>
    <w:rsid w:val="00BC1E3C"/>
    <w:rsid w:val="00BC1EF5"/>
    <w:rsid w:val="00BC2448"/>
    <w:rsid w:val="00BC2650"/>
    <w:rsid w:val="00BC2774"/>
    <w:rsid w:val="00BC27AB"/>
    <w:rsid w:val="00BC2916"/>
    <w:rsid w:val="00BC29A3"/>
    <w:rsid w:val="00BC29D1"/>
    <w:rsid w:val="00BC2BF1"/>
    <w:rsid w:val="00BC2DD3"/>
    <w:rsid w:val="00BC2ECF"/>
    <w:rsid w:val="00BC307B"/>
    <w:rsid w:val="00BC31F3"/>
    <w:rsid w:val="00BC335F"/>
    <w:rsid w:val="00BC3412"/>
    <w:rsid w:val="00BC36BE"/>
    <w:rsid w:val="00BC36C3"/>
    <w:rsid w:val="00BC373D"/>
    <w:rsid w:val="00BC378B"/>
    <w:rsid w:val="00BC3889"/>
    <w:rsid w:val="00BC38B0"/>
    <w:rsid w:val="00BC3947"/>
    <w:rsid w:val="00BC398E"/>
    <w:rsid w:val="00BC39A6"/>
    <w:rsid w:val="00BC39EB"/>
    <w:rsid w:val="00BC3EBC"/>
    <w:rsid w:val="00BC3ECF"/>
    <w:rsid w:val="00BC3F41"/>
    <w:rsid w:val="00BC402C"/>
    <w:rsid w:val="00BC4108"/>
    <w:rsid w:val="00BC427E"/>
    <w:rsid w:val="00BC4314"/>
    <w:rsid w:val="00BC44E6"/>
    <w:rsid w:val="00BC45DD"/>
    <w:rsid w:val="00BC4625"/>
    <w:rsid w:val="00BC46EE"/>
    <w:rsid w:val="00BC4764"/>
    <w:rsid w:val="00BC4804"/>
    <w:rsid w:val="00BC4980"/>
    <w:rsid w:val="00BC4AED"/>
    <w:rsid w:val="00BC4CDB"/>
    <w:rsid w:val="00BC4EF2"/>
    <w:rsid w:val="00BC4FCB"/>
    <w:rsid w:val="00BC50F7"/>
    <w:rsid w:val="00BC522E"/>
    <w:rsid w:val="00BC53D9"/>
    <w:rsid w:val="00BC54B8"/>
    <w:rsid w:val="00BC556B"/>
    <w:rsid w:val="00BC5724"/>
    <w:rsid w:val="00BC588B"/>
    <w:rsid w:val="00BC59E4"/>
    <w:rsid w:val="00BC5BC9"/>
    <w:rsid w:val="00BC5D14"/>
    <w:rsid w:val="00BC60BD"/>
    <w:rsid w:val="00BC61EE"/>
    <w:rsid w:val="00BC61FD"/>
    <w:rsid w:val="00BC634C"/>
    <w:rsid w:val="00BC635E"/>
    <w:rsid w:val="00BC63D5"/>
    <w:rsid w:val="00BC642E"/>
    <w:rsid w:val="00BC6598"/>
    <w:rsid w:val="00BC663A"/>
    <w:rsid w:val="00BC6BC1"/>
    <w:rsid w:val="00BC6E32"/>
    <w:rsid w:val="00BC6E86"/>
    <w:rsid w:val="00BC6FE7"/>
    <w:rsid w:val="00BC70EC"/>
    <w:rsid w:val="00BC726F"/>
    <w:rsid w:val="00BC7324"/>
    <w:rsid w:val="00BC73E1"/>
    <w:rsid w:val="00BC773B"/>
    <w:rsid w:val="00BC775B"/>
    <w:rsid w:val="00BC77F3"/>
    <w:rsid w:val="00BC7FC9"/>
    <w:rsid w:val="00BD0007"/>
    <w:rsid w:val="00BD0093"/>
    <w:rsid w:val="00BD00F4"/>
    <w:rsid w:val="00BD011C"/>
    <w:rsid w:val="00BD0276"/>
    <w:rsid w:val="00BD05C1"/>
    <w:rsid w:val="00BD0607"/>
    <w:rsid w:val="00BD0871"/>
    <w:rsid w:val="00BD08C2"/>
    <w:rsid w:val="00BD08CE"/>
    <w:rsid w:val="00BD097C"/>
    <w:rsid w:val="00BD09BC"/>
    <w:rsid w:val="00BD0C08"/>
    <w:rsid w:val="00BD0CFE"/>
    <w:rsid w:val="00BD0D1A"/>
    <w:rsid w:val="00BD0D27"/>
    <w:rsid w:val="00BD0DA4"/>
    <w:rsid w:val="00BD0F15"/>
    <w:rsid w:val="00BD10F7"/>
    <w:rsid w:val="00BD1195"/>
    <w:rsid w:val="00BD127B"/>
    <w:rsid w:val="00BD12BF"/>
    <w:rsid w:val="00BD13E9"/>
    <w:rsid w:val="00BD1439"/>
    <w:rsid w:val="00BD154D"/>
    <w:rsid w:val="00BD15B3"/>
    <w:rsid w:val="00BD168D"/>
    <w:rsid w:val="00BD1902"/>
    <w:rsid w:val="00BD198C"/>
    <w:rsid w:val="00BD1AC2"/>
    <w:rsid w:val="00BD1B3C"/>
    <w:rsid w:val="00BD1C06"/>
    <w:rsid w:val="00BD1CA1"/>
    <w:rsid w:val="00BD1CDF"/>
    <w:rsid w:val="00BD1D02"/>
    <w:rsid w:val="00BD207A"/>
    <w:rsid w:val="00BD21F3"/>
    <w:rsid w:val="00BD2728"/>
    <w:rsid w:val="00BD286E"/>
    <w:rsid w:val="00BD2BBA"/>
    <w:rsid w:val="00BD2C77"/>
    <w:rsid w:val="00BD2D7A"/>
    <w:rsid w:val="00BD2ED3"/>
    <w:rsid w:val="00BD31F1"/>
    <w:rsid w:val="00BD3599"/>
    <w:rsid w:val="00BD35C8"/>
    <w:rsid w:val="00BD381A"/>
    <w:rsid w:val="00BD384E"/>
    <w:rsid w:val="00BD38D4"/>
    <w:rsid w:val="00BD38EA"/>
    <w:rsid w:val="00BD397B"/>
    <w:rsid w:val="00BD3A14"/>
    <w:rsid w:val="00BD3A5E"/>
    <w:rsid w:val="00BD3AA8"/>
    <w:rsid w:val="00BD3ACD"/>
    <w:rsid w:val="00BD3AD5"/>
    <w:rsid w:val="00BD3CFD"/>
    <w:rsid w:val="00BD3E7E"/>
    <w:rsid w:val="00BD40A3"/>
    <w:rsid w:val="00BD41B4"/>
    <w:rsid w:val="00BD42D9"/>
    <w:rsid w:val="00BD4314"/>
    <w:rsid w:val="00BD4524"/>
    <w:rsid w:val="00BD4621"/>
    <w:rsid w:val="00BD4648"/>
    <w:rsid w:val="00BD4694"/>
    <w:rsid w:val="00BD46D6"/>
    <w:rsid w:val="00BD4778"/>
    <w:rsid w:val="00BD47AD"/>
    <w:rsid w:val="00BD47E6"/>
    <w:rsid w:val="00BD4815"/>
    <w:rsid w:val="00BD4891"/>
    <w:rsid w:val="00BD4A7E"/>
    <w:rsid w:val="00BD4AAD"/>
    <w:rsid w:val="00BD4ACC"/>
    <w:rsid w:val="00BD4BB4"/>
    <w:rsid w:val="00BD4BDA"/>
    <w:rsid w:val="00BD4E34"/>
    <w:rsid w:val="00BD4E5D"/>
    <w:rsid w:val="00BD4ED7"/>
    <w:rsid w:val="00BD4F0F"/>
    <w:rsid w:val="00BD50C2"/>
    <w:rsid w:val="00BD52FA"/>
    <w:rsid w:val="00BD53FE"/>
    <w:rsid w:val="00BD575F"/>
    <w:rsid w:val="00BD5805"/>
    <w:rsid w:val="00BD5989"/>
    <w:rsid w:val="00BD5B8D"/>
    <w:rsid w:val="00BD5BD0"/>
    <w:rsid w:val="00BD5BDF"/>
    <w:rsid w:val="00BD5C2E"/>
    <w:rsid w:val="00BD5D1A"/>
    <w:rsid w:val="00BD5F80"/>
    <w:rsid w:val="00BD62DD"/>
    <w:rsid w:val="00BD63BD"/>
    <w:rsid w:val="00BD663A"/>
    <w:rsid w:val="00BD667F"/>
    <w:rsid w:val="00BD6826"/>
    <w:rsid w:val="00BD6C66"/>
    <w:rsid w:val="00BD6D14"/>
    <w:rsid w:val="00BD6D71"/>
    <w:rsid w:val="00BD6E19"/>
    <w:rsid w:val="00BD6E9B"/>
    <w:rsid w:val="00BD705D"/>
    <w:rsid w:val="00BD70A6"/>
    <w:rsid w:val="00BD70E7"/>
    <w:rsid w:val="00BD739A"/>
    <w:rsid w:val="00BD73F7"/>
    <w:rsid w:val="00BD76B0"/>
    <w:rsid w:val="00BD773D"/>
    <w:rsid w:val="00BD77C5"/>
    <w:rsid w:val="00BD7986"/>
    <w:rsid w:val="00BD7A4D"/>
    <w:rsid w:val="00BD7AED"/>
    <w:rsid w:val="00BD7AFA"/>
    <w:rsid w:val="00BD7B07"/>
    <w:rsid w:val="00BD7D0C"/>
    <w:rsid w:val="00BD7D18"/>
    <w:rsid w:val="00BD7DEA"/>
    <w:rsid w:val="00BE00BD"/>
    <w:rsid w:val="00BE01C4"/>
    <w:rsid w:val="00BE0267"/>
    <w:rsid w:val="00BE03C3"/>
    <w:rsid w:val="00BE03F2"/>
    <w:rsid w:val="00BE03F9"/>
    <w:rsid w:val="00BE0496"/>
    <w:rsid w:val="00BE04AF"/>
    <w:rsid w:val="00BE0507"/>
    <w:rsid w:val="00BE083B"/>
    <w:rsid w:val="00BE08FD"/>
    <w:rsid w:val="00BE09AC"/>
    <w:rsid w:val="00BE0AA1"/>
    <w:rsid w:val="00BE0B9F"/>
    <w:rsid w:val="00BE0BC6"/>
    <w:rsid w:val="00BE0C14"/>
    <w:rsid w:val="00BE0C68"/>
    <w:rsid w:val="00BE0D0E"/>
    <w:rsid w:val="00BE0F97"/>
    <w:rsid w:val="00BE1181"/>
    <w:rsid w:val="00BE123F"/>
    <w:rsid w:val="00BE143F"/>
    <w:rsid w:val="00BE146E"/>
    <w:rsid w:val="00BE1474"/>
    <w:rsid w:val="00BE149D"/>
    <w:rsid w:val="00BE14CC"/>
    <w:rsid w:val="00BE16FA"/>
    <w:rsid w:val="00BE177B"/>
    <w:rsid w:val="00BE181D"/>
    <w:rsid w:val="00BE1A3F"/>
    <w:rsid w:val="00BE1A66"/>
    <w:rsid w:val="00BE1A8C"/>
    <w:rsid w:val="00BE1CD9"/>
    <w:rsid w:val="00BE1F35"/>
    <w:rsid w:val="00BE1FED"/>
    <w:rsid w:val="00BE2095"/>
    <w:rsid w:val="00BE20F5"/>
    <w:rsid w:val="00BE2110"/>
    <w:rsid w:val="00BE21BF"/>
    <w:rsid w:val="00BE21E3"/>
    <w:rsid w:val="00BE2316"/>
    <w:rsid w:val="00BE2329"/>
    <w:rsid w:val="00BE2360"/>
    <w:rsid w:val="00BE23D5"/>
    <w:rsid w:val="00BE24A7"/>
    <w:rsid w:val="00BE2670"/>
    <w:rsid w:val="00BE26CF"/>
    <w:rsid w:val="00BE26E2"/>
    <w:rsid w:val="00BE2752"/>
    <w:rsid w:val="00BE2959"/>
    <w:rsid w:val="00BE2D6B"/>
    <w:rsid w:val="00BE2E88"/>
    <w:rsid w:val="00BE308A"/>
    <w:rsid w:val="00BE318D"/>
    <w:rsid w:val="00BE31BA"/>
    <w:rsid w:val="00BE320A"/>
    <w:rsid w:val="00BE33A5"/>
    <w:rsid w:val="00BE35DF"/>
    <w:rsid w:val="00BE35FD"/>
    <w:rsid w:val="00BE3772"/>
    <w:rsid w:val="00BE3AA0"/>
    <w:rsid w:val="00BE3D56"/>
    <w:rsid w:val="00BE3E6F"/>
    <w:rsid w:val="00BE3EFD"/>
    <w:rsid w:val="00BE3F6F"/>
    <w:rsid w:val="00BE3FF8"/>
    <w:rsid w:val="00BE40BB"/>
    <w:rsid w:val="00BE4232"/>
    <w:rsid w:val="00BE439A"/>
    <w:rsid w:val="00BE44B1"/>
    <w:rsid w:val="00BE476E"/>
    <w:rsid w:val="00BE4967"/>
    <w:rsid w:val="00BE4A3B"/>
    <w:rsid w:val="00BE4A74"/>
    <w:rsid w:val="00BE4B62"/>
    <w:rsid w:val="00BE4C4C"/>
    <w:rsid w:val="00BE4C5C"/>
    <w:rsid w:val="00BE4DF4"/>
    <w:rsid w:val="00BE4E93"/>
    <w:rsid w:val="00BE4F23"/>
    <w:rsid w:val="00BE4FCF"/>
    <w:rsid w:val="00BE504C"/>
    <w:rsid w:val="00BE504D"/>
    <w:rsid w:val="00BE5069"/>
    <w:rsid w:val="00BE508E"/>
    <w:rsid w:val="00BE50D2"/>
    <w:rsid w:val="00BE5209"/>
    <w:rsid w:val="00BE5286"/>
    <w:rsid w:val="00BE52A7"/>
    <w:rsid w:val="00BE5555"/>
    <w:rsid w:val="00BE5601"/>
    <w:rsid w:val="00BE5B15"/>
    <w:rsid w:val="00BE5BE8"/>
    <w:rsid w:val="00BE5BF1"/>
    <w:rsid w:val="00BE5C8B"/>
    <w:rsid w:val="00BE5EAD"/>
    <w:rsid w:val="00BE5F9D"/>
    <w:rsid w:val="00BE613C"/>
    <w:rsid w:val="00BE614B"/>
    <w:rsid w:val="00BE62F3"/>
    <w:rsid w:val="00BE63B3"/>
    <w:rsid w:val="00BE642A"/>
    <w:rsid w:val="00BE6511"/>
    <w:rsid w:val="00BE65CD"/>
    <w:rsid w:val="00BE66FE"/>
    <w:rsid w:val="00BE6707"/>
    <w:rsid w:val="00BE6959"/>
    <w:rsid w:val="00BE6AB5"/>
    <w:rsid w:val="00BE6ADA"/>
    <w:rsid w:val="00BE6B4E"/>
    <w:rsid w:val="00BE708A"/>
    <w:rsid w:val="00BE70FF"/>
    <w:rsid w:val="00BE725F"/>
    <w:rsid w:val="00BE72AB"/>
    <w:rsid w:val="00BE743C"/>
    <w:rsid w:val="00BE7602"/>
    <w:rsid w:val="00BE77B5"/>
    <w:rsid w:val="00BE78AE"/>
    <w:rsid w:val="00BE7C3A"/>
    <w:rsid w:val="00BE7EAC"/>
    <w:rsid w:val="00BE7ED0"/>
    <w:rsid w:val="00BE7F58"/>
    <w:rsid w:val="00BE7FCE"/>
    <w:rsid w:val="00BF002E"/>
    <w:rsid w:val="00BF00AA"/>
    <w:rsid w:val="00BF01A4"/>
    <w:rsid w:val="00BF0230"/>
    <w:rsid w:val="00BF035A"/>
    <w:rsid w:val="00BF0386"/>
    <w:rsid w:val="00BF0409"/>
    <w:rsid w:val="00BF0489"/>
    <w:rsid w:val="00BF04B0"/>
    <w:rsid w:val="00BF05AC"/>
    <w:rsid w:val="00BF06EE"/>
    <w:rsid w:val="00BF08D9"/>
    <w:rsid w:val="00BF0B52"/>
    <w:rsid w:val="00BF0B5B"/>
    <w:rsid w:val="00BF0B5E"/>
    <w:rsid w:val="00BF0BF3"/>
    <w:rsid w:val="00BF0DA6"/>
    <w:rsid w:val="00BF127F"/>
    <w:rsid w:val="00BF1407"/>
    <w:rsid w:val="00BF1686"/>
    <w:rsid w:val="00BF16A7"/>
    <w:rsid w:val="00BF16D9"/>
    <w:rsid w:val="00BF181D"/>
    <w:rsid w:val="00BF182D"/>
    <w:rsid w:val="00BF18A3"/>
    <w:rsid w:val="00BF18C8"/>
    <w:rsid w:val="00BF18D1"/>
    <w:rsid w:val="00BF199E"/>
    <w:rsid w:val="00BF19A5"/>
    <w:rsid w:val="00BF19E9"/>
    <w:rsid w:val="00BF1A8B"/>
    <w:rsid w:val="00BF1CB9"/>
    <w:rsid w:val="00BF1D6D"/>
    <w:rsid w:val="00BF1E27"/>
    <w:rsid w:val="00BF1E4E"/>
    <w:rsid w:val="00BF20A9"/>
    <w:rsid w:val="00BF22E1"/>
    <w:rsid w:val="00BF22E2"/>
    <w:rsid w:val="00BF22EC"/>
    <w:rsid w:val="00BF2380"/>
    <w:rsid w:val="00BF2512"/>
    <w:rsid w:val="00BF2557"/>
    <w:rsid w:val="00BF2634"/>
    <w:rsid w:val="00BF266D"/>
    <w:rsid w:val="00BF2AF8"/>
    <w:rsid w:val="00BF2DA7"/>
    <w:rsid w:val="00BF2DE5"/>
    <w:rsid w:val="00BF2E4F"/>
    <w:rsid w:val="00BF2E6D"/>
    <w:rsid w:val="00BF2F20"/>
    <w:rsid w:val="00BF3035"/>
    <w:rsid w:val="00BF30F6"/>
    <w:rsid w:val="00BF3266"/>
    <w:rsid w:val="00BF3311"/>
    <w:rsid w:val="00BF33D3"/>
    <w:rsid w:val="00BF3500"/>
    <w:rsid w:val="00BF350A"/>
    <w:rsid w:val="00BF39E8"/>
    <w:rsid w:val="00BF3B52"/>
    <w:rsid w:val="00BF3B58"/>
    <w:rsid w:val="00BF3CC5"/>
    <w:rsid w:val="00BF3E7B"/>
    <w:rsid w:val="00BF3E90"/>
    <w:rsid w:val="00BF41BA"/>
    <w:rsid w:val="00BF427C"/>
    <w:rsid w:val="00BF4280"/>
    <w:rsid w:val="00BF4398"/>
    <w:rsid w:val="00BF441A"/>
    <w:rsid w:val="00BF45EC"/>
    <w:rsid w:val="00BF47D9"/>
    <w:rsid w:val="00BF4962"/>
    <w:rsid w:val="00BF49AE"/>
    <w:rsid w:val="00BF4C52"/>
    <w:rsid w:val="00BF4CFB"/>
    <w:rsid w:val="00BF4D23"/>
    <w:rsid w:val="00BF4E95"/>
    <w:rsid w:val="00BF4FAB"/>
    <w:rsid w:val="00BF5293"/>
    <w:rsid w:val="00BF5325"/>
    <w:rsid w:val="00BF5388"/>
    <w:rsid w:val="00BF53F0"/>
    <w:rsid w:val="00BF54AF"/>
    <w:rsid w:val="00BF5510"/>
    <w:rsid w:val="00BF563E"/>
    <w:rsid w:val="00BF57E6"/>
    <w:rsid w:val="00BF583D"/>
    <w:rsid w:val="00BF5900"/>
    <w:rsid w:val="00BF593E"/>
    <w:rsid w:val="00BF5A3F"/>
    <w:rsid w:val="00BF5A6C"/>
    <w:rsid w:val="00BF5B3F"/>
    <w:rsid w:val="00BF5B6C"/>
    <w:rsid w:val="00BF5D1D"/>
    <w:rsid w:val="00BF5D2D"/>
    <w:rsid w:val="00BF5DA5"/>
    <w:rsid w:val="00BF5DFC"/>
    <w:rsid w:val="00BF5E49"/>
    <w:rsid w:val="00BF5F4C"/>
    <w:rsid w:val="00BF613D"/>
    <w:rsid w:val="00BF61AA"/>
    <w:rsid w:val="00BF6660"/>
    <w:rsid w:val="00BF6707"/>
    <w:rsid w:val="00BF6746"/>
    <w:rsid w:val="00BF680A"/>
    <w:rsid w:val="00BF6B63"/>
    <w:rsid w:val="00BF6D9C"/>
    <w:rsid w:val="00BF6E43"/>
    <w:rsid w:val="00BF71A7"/>
    <w:rsid w:val="00BF71D4"/>
    <w:rsid w:val="00BF779D"/>
    <w:rsid w:val="00BF77C9"/>
    <w:rsid w:val="00BF7806"/>
    <w:rsid w:val="00BF7880"/>
    <w:rsid w:val="00BF79EF"/>
    <w:rsid w:val="00BF7C79"/>
    <w:rsid w:val="00BF7D46"/>
    <w:rsid w:val="00BF7F68"/>
    <w:rsid w:val="00C00022"/>
    <w:rsid w:val="00C00082"/>
    <w:rsid w:val="00C00198"/>
    <w:rsid w:val="00C001CE"/>
    <w:rsid w:val="00C0021B"/>
    <w:rsid w:val="00C00356"/>
    <w:rsid w:val="00C00387"/>
    <w:rsid w:val="00C0051F"/>
    <w:rsid w:val="00C005F8"/>
    <w:rsid w:val="00C008D1"/>
    <w:rsid w:val="00C0094B"/>
    <w:rsid w:val="00C00A4B"/>
    <w:rsid w:val="00C00D44"/>
    <w:rsid w:val="00C00F2D"/>
    <w:rsid w:val="00C0102E"/>
    <w:rsid w:val="00C0105B"/>
    <w:rsid w:val="00C0140D"/>
    <w:rsid w:val="00C0147C"/>
    <w:rsid w:val="00C01499"/>
    <w:rsid w:val="00C01627"/>
    <w:rsid w:val="00C01634"/>
    <w:rsid w:val="00C01639"/>
    <w:rsid w:val="00C01684"/>
    <w:rsid w:val="00C017FB"/>
    <w:rsid w:val="00C018A4"/>
    <w:rsid w:val="00C01A58"/>
    <w:rsid w:val="00C01BA4"/>
    <w:rsid w:val="00C01BB6"/>
    <w:rsid w:val="00C01C56"/>
    <w:rsid w:val="00C01C66"/>
    <w:rsid w:val="00C01CF1"/>
    <w:rsid w:val="00C01D7C"/>
    <w:rsid w:val="00C01DB9"/>
    <w:rsid w:val="00C01DE8"/>
    <w:rsid w:val="00C01FF9"/>
    <w:rsid w:val="00C020E9"/>
    <w:rsid w:val="00C023E6"/>
    <w:rsid w:val="00C02613"/>
    <w:rsid w:val="00C027A7"/>
    <w:rsid w:val="00C02922"/>
    <w:rsid w:val="00C02C3E"/>
    <w:rsid w:val="00C02EE9"/>
    <w:rsid w:val="00C02FE9"/>
    <w:rsid w:val="00C0301E"/>
    <w:rsid w:val="00C031AC"/>
    <w:rsid w:val="00C032D5"/>
    <w:rsid w:val="00C03319"/>
    <w:rsid w:val="00C0331E"/>
    <w:rsid w:val="00C03373"/>
    <w:rsid w:val="00C03398"/>
    <w:rsid w:val="00C034BC"/>
    <w:rsid w:val="00C0379B"/>
    <w:rsid w:val="00C037F5"/>
    <w:rsid w:val="00C03830"/>
    <w:rsid w:val="00C038E0"/>
    <w:rsid w:val="00C039F6"/>
    <w:rsid w:val="00C03C58"/>
    <w:rsid w:val="00C03DEF"/>
    <w:rsid w:val="00C03F27"/>
    <w:rsid w:val="00C03FB0"/>
    <w:rsid w:val="00C04006"/>
    <w:rsid w:val="00C04406"/>
    <w:rsid w:val="00C046C9"/>
    <w:rsid w:val="00C04708"/>
    <w:rsid w:val="00C04712"/>
    <w:rsid w:val="00C04714"/>
    <w:rsid w:val="00C0474B"/>
    <w:rsid w:val="00C047D5"/>
    <w:rsid w:val="00C048B0"/>
    <w:rsid w:val="00C048F1"/>
    <w:rsid w:val="00C04A77"/>
    <w:rsid w:val="00C04AC6"/>
    <w:rsid w:val="00C04D02"/>
    <w:rsid w:val="00C052BA"/>
    <w:rsid w:val="00C05345"/>
    <w:rsid w:val="00C05359"/>
    <w:rsid w:val="00C053BC"/>
    <w:rsid w:val="00C05463"/>
    <w:rsid w:val="00C0555C"/>
    <w:rsid w:val="00C0558F"/>
    <w:rsid w:val="00C055C0"/>
    <w:rsid w:val="00C05C8E"/>
    <w:rsid w:val="00C05DB3"/>
    <w:rsid w:val="00C05E79"/>
    <w:rsid w:val="00C05F0F"/>
    <w:rsid w:val="00C05F81"/>
    <w:rsid w:val="00C06189"/>
    <w:rsid w:val="00C06382"/>
    <w:rsid w:val="00C063A7"/>
    <w:rsid w:val="00C06476"/>
    <w:rsid w:val="00C065F8"/>
    <w:rsid w:val="00C066B2"/>
    <w:rsid w:val="00C066E1"/>
    <w:rsid w:val="00C06769"/>
    <w:rsid w:val="00C06848"/>
    <w:rsid w:val="00C0696E"/>
    <w:rsid w:val="00C06A69"/>
    <w:rsid w:val="00C06AED"/>
    <w:rsid w:val="00C06B19"/>
    <w:rsid w:val="00C06C40"/>
    <w:rsid w:val="00C06DC4"/>
    <w:rsid w:val="00C06FA0"/>
    <w:rsid w:val="00C07122"/>
    <w:rsid w:val="00C07210"/>
    <w:rsid w:val="00C07261"/>
    <w:rsid w:val="00C072B2"/>
    <w:rsid w:val="00C0761B"/>
    <w:rsid w:val="00C077A6"/>
    <w:rsid w:val="00C077C2"/>
    <w:rsid w:val="00C078A2"/>
    <w:rsid w:val="00C0790A"/>
    <w:rsid w:val="00C07987"/>
    <w:rsid w:val="00C07CEA"/>
    <w:rsid w:val="00C07F6E"/>
    <w:rsid w:val="00C1000F"/>
    <w:rsid w:val="00C1004E"/>
    <w:rsid w:val="00C100BD"/>
    <w:rsid w:val="00C10119"/>
    <w:rsid w:val="00C10488"/>
    <w:rsid w:val="00C10654"/>
    <w:rsid w:val="00C1089C"/>
    <w:rsid w:val="00C108CD"/>
    <w:rsid w:val="00C10950"/>
    <w:rsid w:val="00C10987"/>
    <w:rsid w:val="00C109D3"/>
    <w:rsid w:val="00C109D8"/>
    <w:rsid w:val="00C10BEA"/>
    <w:rsid w:val="00C10CDC"/>
    <w:rsid w:val="00C10E1D"/>
    <w:rsid w:val="00C10E76"/>
    <w:rsid w:val="00C10E8D"/>
    <w:rsid w:val="00C10EED"/>
    <w:rsid w:val="00C11055"/>
    <w:rsid w:val="00C110CB"/>
    <w:rsid w:val="00C110F4"/>
    <w:rsid w:val="00C1110A"/>
    <w:rsid w:val="00C11419"/>
    <w:rsid w:val="00C11514"/>
    <w:rsid w:val="00C11556"/>
    <w:rsid w:val="00C11557"/>
    <w:rsid w:val="00C11744"/>
    <w:rsid w:val="00C117D9"/>
    <w:rsid w:val="00C1184C"/>
    <w:rsid w:val="00C1190F"/>
    <w:rsid w:val="00C119D1"/>
    <w:rsid w:val="00C11A23"/>
    <w:rsid w:val="00C11A2D"/>
    <w:rsid w:val="00C11AB4"/>
    <w:rsid w:val="00C11B2E"/>
    <w:rsid w:val="00C11C6F"/>
    <w:rsid w:val="00C11D21"/>
    <w:rsid w:val="00C11D39"/>
    <w:rsid w:val="00C11D5A"/>
    <w:rsid w:val="00C11DBB"/>
    <w:rsid w:val="00C11E4C"/>
    <w:rsid w:val="00C11ECF"/>
    <w:rsid w:val="00C1204D"/>
    <w:rsid w:val="00C121B0"/>
    <w:rsid w:val="00C121B9"/>
    <w:rsid w:val="00C12205"/>
    <w:rsid w:val="00C12210"/>
    <w:rsid w:val="00C122A1"/>
    <w:rsid w:val="00C122A2"/>
    <w:rsid w:val="00C1242B"/>
    <w:rsid w:val="00C12472"/>
    <w:rsid w:val="00C128A4"/>
    <w:rsid w:val="00C12B83"/>
    <w:rsid w:val="00C12CE7"/>
    <w:rsid w:val="00C12D58"/>
    <w:rsid w:val="00C12F7A"/>
    <w:rsid w:val="00C130EF"/>
    <w:rsid w:val="00C132D5"/>
    <w:rsid w:val="00C1333E"/>
    <w:rsid w:val="00C134EB"/>
    <w:rsid w:val="00C13505"/>
    <w:rsid w:val="00C1351F"/>
    <w:rsid w:val="00C1358E"/>
    <w:rsid w:val="00C13880"/>
    <w:rsid w:val="00C13BF1"/>
    <w:rsid w:val="00C13C93"/>
    <w:rsid w:val="00C13DFF"/>
    <w:rsid w:val="00C13E64"/>
    <w:rsid w:val="00C13F0B"/>
    <w:rsid w:val="00C13F35"/>
    <w:rsid w:val="00C13FA7"/>
    <w:rsid w:val="00C141FB"/>
    <w:rsid w:val="00C141FD"/>
    <w:rsid w:val="00C1480B"/>
    <w:rsid w:val="00C14868"/>
    <w:rsid w:val="00C14A48"/>
    <w:rsid w:val="00C14AEA"/>
    <w:rsid w:val="00C14BCE"/>
    <w:rsid w:val="00C14BFF"/>
    <w:rsid w:val="00C14D93"/>
    <w:rsid w:val="00C14DE5"/>
    <w:rsid w:val="00C14F09"/>
    <w:rsid w:val="00C14F1C"/>
    <w:rsid w:val="00C14F4D"/>
    <w:rsid w:val="00C150FA"/>
    <w:rsid w:val="00C1527C"/>
    <w:rsid w:val="00C152AB"/>
    <w:rsid w:val="00C154BC"/>
    <w:rsid w:val="00C1550B"/>
    <w:rsid w:val="00C15517"/>
    <w:rsid w:val="00C15671"/>
    <w:rsid w:val="00C15978"/>
    <w:rsid w:val="00C159DE"/>
    <w:rsid w:val="00C15A4C"/>
    <w:rsid w:val="00C15AFD"/>
    <w:rsid w:val="00C15BC4"/>
    <w:rsid w:val="00C15F11"/>
    <w:rsid w:val="00C15F7E"/>
    <w:rsid w:val="00C1603C"/>
    <w:rsid w:val="00C1609A"/>
    <w:rsid w:val="00C1610B"/>
    <w:rsid w:val="00C163D1"/>
    <w:rsid w:val="00C165AF"/>
    <w:rsid w:val="00C16614"/>
    <w:rsid w:val="00C1677C"/>
    <w:rsid w:val="00C1681E"/>
    <w:rsid w:val="00C168BA"/>
    <w:rsid w:val="00C168D5"/>
    <w:rsid w:val="00C16909"/>
    <w:rsid w:val="00C1690E"/>
    <w:rsid w:val="00C16B0E"/>
    <w:rsid w:val="00C16E73"/>
    <w:rsid w:val="00C170E5"/>
    <w:rsid w:val="00C170F8"/>
    <w:rsid w:val="00C171BB"/>
    <w:rsid w:val="00C171FC"/>
    <w:rsid w:val="00C173C4"/>
    <w:rsid w:val="00C174E0"/>
    <w:rsid w:val="00C174FF"/>
    <w:rsid w:val="00C1757C"/>
    <w:rsid w:val="00C17653"/>
    <w:rsid w:val="00C178D5"/>
    <w:rsid w:val="00C179BB"/>
    <w:rsid w:val="00C17BA1"/>
    <w:rsid w:val="00C17F6E"/>
    <w:rsid w:val="00C20055"/>
    <w:rsid w:val="00C2028C"/>
    <w:rsid w:val="00C203A5"/>
    <w:rsid w:val="00C2041C"/>
    <w:rsid w:val="00C2043F"/>
    <w:rsid w:val="00C2058D"/>
    <w:rsid w:val="00C20758"/>
    <w:rsid w:val="00C20D44"/>
    <w:rsid w:val="00C20F77"/>
    <w:rsid w:val="00C20F89"/>
    <w:rsid w:val="00C2107B"/>
    <w:rsid w:val="00C210CA"/>
    <w:rsid w:val="00C2129F"/>
    <w:rsid w:val="00C212D0"/>
    <w:rsid w:val="00C2181B"/>
    <w:rsid w:val="00C218EE"/>
    <w:rsid w:val="00C218EF"/>
    <w:rsid w:val="00C21A38"/>
    <w:rsid w:val="00C21A6B"/>
    <w:rsid w:val="00C21A6E"/>
    <w:rsid w:val="00C21B72"/>
    <w:rsid w:val="00C21DB1"/>
    <w:rsid w:val="00C21F53"/>
    <w:rsid w:val="00C21FBD"/>
    <w:rsid w:val="00C223CC"/>
    <w:rsid w:val="00C22496"/>
    <w:rsid w:val="00C2268B"/>
    <w:rsid w:val="00C22832"/>
    <w:rsid w:val="00C22A84"/>
    <w:rsid w:val="00C22B36"/>
    <w:rsid w:val="00C22C89"/>
    <w:rsid w:val="00C22CA3"/>
    <w:rsid w:val="00C22D66"/>
    <w:rsid w:val="00C22D94"/>
    <w:rsid w:val="00C22EFA"/>
    <w:rsid w:val="00C23280"/>
    <w:rsid w:val="00C2340D"/>
    <w:rsid w:val="00C236E0"/>
    <w:rsid w:val="00C2382A"/>
    <w:rsid w:val="00C23853"/>
    <w:rsid w:val="00C2396E"/>
    <w:rsid w:val="00C23A74"/>
    <w:rsid w:val="00C23B92"/>
    <w:rsid w:val="00C23BE1"/>
    <w:rsid w:val="00C23C85"/>
    <w:rsid w:val="00C23DB7"/>
    <w:rsid w:val="00C23E50"/>
    <w:rsid w:val="00C23F40"/>
    <w:rsid w:val="00C240ED"/>
    <w:rsid w:val="00C243FE"/>
    <w:rsid w:val="00C2449F"/>
    <w:rsid w:val="00C2457A"/>
    <w:rsid w:val="00C247E1"/>
    <w:rsid w:val="00C2491D"/>
    <w:rsid w:val="00C24A0E"/>
    <w:rsid w:val="00C24D6B"/>
    <w:rsid w:val="00C24DD0"/>
    <w:rsid w:val="00C2531C"/>
    <w:rsid w:val="00C25424"/>
    <w:rsid w:val="00C2542E"/>
    <w:rsid w:val="00C255DB"/>
    <w:rsid w:val="00C25613"/>
    <w:rsid w:val="00C259A2"/>
    <w:rsid w:val="00C259A7"/>
    <w:rsid w:val="00C25A24"/>
    <w:rsid w:val="00C25A60"/>
    <w:rsid w:val="00C25AA8"/>
    <w:rsid w:val="00C25B87"/>
    <w:rsid w:val="00C25DBA"/>
    <w:rsid w:val="00C25F40"/>
    <w:rsid w:val="00C25F73"/>
    <w:rsid w:val="00C260B4"/>
    <w:rsid w:val="00C2614A"/>
    <w:rsid w:val="00C26242"/>
    <w:rsid w:val="00C2627D"/>
    <w:rsid w:val="00C264F8"/>
    <w:rsid w:val="00C26581"/>
    <w:rsid w:val="00C26661"/>
    <w:rsid w:val="00C26730"/>
    <w:rsid w:val="00C268FB"/>
    <w:rsid w:val="00C26A29"/>
    <w:rsid w:val="00C26A40"/>
    <w:rsid w:val="00C26B09"/>
    <w:rsid w:val="00C27093"/>
    <w:rsid w:val="00C270F3"/>
    <w:rsid w:val="00C271E6"/>
    <w:rsid w:val="00C272BE"/>
    <w:rsid w:val="00C272F0"/>
    <w:rsid w:val="00C2746B"/>
    <w:rsid w:val="00C27677"/>
    <w:rsid w:val="00C2777A"/>
    <w:rsid w:val="00C2782D"/>
    <w:rsid w:val="00C278A4"/>
    <w:rsid w:val="00C278A7"/>
    <w:rsid w:val="00C278AD"/>
    <w:rsid w:val="00C2792D"/>
    <w:rsid w:val="00C27C84"/>
    <w:rsid w:val="00C27CA9"/>
    <w:rsid w:val="00C27E07"/>
    <w:rsid w:val="00C27EFB"/>
    <w:rsid w:val="00C30186"/>
    <w:rsid w:val="00C30190"/>
    <w:rsid w:val="00C30446"/>
    <w:rsid w:val="00C3067F"/>
    <w:rsid w:val="00C30684"/>
    <w:rsid w:val="00C306B2"/>
    <w:rsid w:val="00C3085F"/>
    <w:rsid w:val="00C30866"/>
    <w:rsid w:val="00C308AB"/>
    <w:rsid w:val="00C30942"/>
    <w:rsid w:val="00C309AD"/>
    <w:rsid w:val="00C30AC9"/>
    <w:rsid w:val="00C30BCA"/>
    <w:rsid w:val="00C30E16"/>
    <w:rsid w:val="00C31060"/>
    <w:rsid w:val="00C31085"/>
    <w:rsid w:val="00C31150"/>
    <w:rsid w:val="00C315C1"/>
    <w:rsid w:val="00C3179A"/>
    <w:rsid w:val="00C317B7"/>
    <w:rsid w:val="00C31B62"/>
    <w:rsid w:val="00C31E4E"/>
    <w:rsid w:val="00C32061"/>
    <w:rsid w:val="00C32086"/>
    <w:rsid w:val="00C321E8"/>
    <w:rsid w:val="00C3224F"/>
    <w:rsid w:val="00C322D5"/>
    <w:rsid w:val="00C32592"/>
    <w:rsid w:val="00C32696"/>
    <w:rsid w:val="00C32839"/>
    <w:rsid w:val="00C32881"/>
    <w:rsid w:val="00C32891"/>
    <w:rsid w:val="00C32AC3"/>
    <w:rsid w:val="00C32BCB"/>
    <w:rsid w:val="00C32F59"/>
    <w:rsid w:val="00C32FDE"/>
    <w:rsid w:val="00C33130"/>
    <w:rsid w:val="00C333FC"/>
    <w:rsid w:val="00C3344A"/>
    <w:rsid w:val="00C33515"/>
    <w:rsid w:val="00C33A65"/>
    <w:rsid w:val="00C33BE9"/>
    <w:rsid w:val="00C33C57"/>
    <w:rsid w:val="00C33C62"/>
    <w:rsid w:val="00C33C8C"/>
    <w:rsid w:val="00C33D1B"/>
    <w:rsid w:val="00C33E87"/>
    <w:rsid w:val="00C33F4A"/>
    <w:rsid w:val="00C33FEB"/>
    <w:rsid w:val="00C341A4"/>
    <w:rsid w:val="00C3425E"/>
    <w:rsid w:val="00C3429D"/>
    <w:rsid w:val="00C343C6"/>
    <w:rsid w:val="00C345E9"/>
    <w:rsid w:val="00C345F8"/>
    <w:rsid w:val="00C34694"/>
    <w:rsid w:val="00C34695"/>
    <w:rsid w:val="00C34778"/>
    <w:rsid w:val="00C347EC"/>
    <w:rsid w:val="00C34899"/>
    <w:rsid w:val="00C34A74"/>
    <w:rsid w:val="00C34AFB"/>
    <w:rsid w:val="00C34E22"/>
    <w:rsid w:val="00C350CF"/>
    <w:rsid w:val="00C35269"/>
    <w:rsid w:val="00C352A0"/>
    <w:rsid w:val="00C353F8"/>
    <w:rsid w:val="00C35424"/>
    <w:rsid w:val="00C35545"/>
    <w:rsid w:val="00C356A0"/>
    <w:rsid w:val="00C356DD"/>
    <w:rsid w:val="00C35797"/>
    <w:rsid w:val="00C35A67"/>
    <w:rsid w:val="00C35A93"/>
    <w:rsid w:val="00C35B10"/>
    <w:rsid w:val="00C35BFF"/>
    <w:rsid w:val="00C35CEC"/>
    <w:rsid w:val="00C35F54"/>
    <w:rsid w:val="00C360D6"/>
    <w:rsid w:val="00C3611D"/>
    <w:rsid w:val="00C36293"/>
    <w:rsid w:val="00C362FB"/>
    <w:rsid w:val="00C36640"/>
    <w:rsid w:val="00C3668A"/>
    <w:rsid w:val="00C366B2"/>
    <w:rsid w:val="00C366DE"/>
    <w:rsid w:val="00C36752"/>
    <w:rsid w:val="00C36908"/>
    <w:rsid w:val="00C3692A"/>
    <w:rsid w:val="00C36995"/>
    <w:rsid w:val="00C369ED"/>
    <w:rsid w:val="00C36DD7"/>
    <w:rsid w:val="00C36EB2"/>
    <w:rsid w:val="00C36EC5"/>
    <w:rsid w:val="00C36FEF"/>
    <w:rsid w:val="00C370AC"/>
    <w:rsid w:val="00C370D6"/>
    <w:rsid w:val="00C37116"/>
    <w:rsid w:val="00C372AD"/>
    <w:rsid w:val="00C374C9"/>
    <w:rsid w:val="00C376D5"/>
    <w:rsid w:val="00C376DA"/>
    <w:rsid w:val="00C37971"/>
    <w:rsid w:val="00C37A1F"/>
    <w:rsid w:val="00C37B02"/>
    <w:rsid w:val="00C400EE"/>
    <w:rsid w:val="00C400F4"/>
    <w:rsid w:val="00C40106"/>
    <w:rsid w:val="00C402C4"/>
    <w:rsid w:val="00C40368"/>
    <w:rsid w:val="00C4048D"/>
    <w:rsid w:val="00C405DB"/>
    <w:rsid w:val="00C40603"/>
    <w:rsid w:val="00C40658"/>
    <w:rsid w:val="00C406BF"/>
    <w:rsid w:val="00C407F6"/>
    <w:rsid w:val="00C409B9"/>
    <w:rsid w:val="00C409F3"/>
    <w:rsid w:val="00C40BB1"/>
    <w:rsid w:val="00C40C44"/>
    <w:rsid w:val="00C40CB2"/>
    <w:rsid w:val="00C40E9A"/>
    <w:rsid w:val="00C40EE7"/>
    <w:rsid w:val="00C41148"/>
    <w:rsid w:val="00C411C9"/>
    <w:rsid w:val="00C41227"/>
    <w:rsid w:val="00C413D5"/>
    <w:rsid w:val="00C414C0"/>
    <w:rsid w:val="00C414C2"/>
    <w:rsid w:val="00C4161D"/>
    <w:rsid w:val="00C41694"/>
    <w:rsid w:val="00C41707"/>
    <w:rsid w:val="00C41820"/>
    <w:rsid w:val="00C41911"/>
    <w:rsid w:val="00C41A2E"/>
    <w:rsid w:val="00C41A79"/>
    <w:rsid w:val="00C41BB4"/>
    <w:rsid w:val="00C41C19"/>
    <w:rsid w:val="00C41C73"/>
    <w:rsid w:val="00C41E51"/>
    <w:rsid w:val="00C41FB3"/>
    <w:rsid w:val="00C42127"/>
    <w:rsid w:val="00C422A2"/>
    <w:rsid w:val="00C42321"/>
    <w:rsid w:val="00C423CE"/>
    <w:rsid w:val="00C425E0"/>
    <w:rsid w:val="00C425FD"/>
    <w:rsid w:val="00C42848"/>
    <w:rsid w:val="00C42A51"/>
    <w:rsid w:val="00C42A94"/>
    <w:rsid w:val="00C42AB5"/>
    <w:rsid w:val="00C42AFB"/>
    <w:rsid w:val="00C42BF6"/>
    <w:rsid w:val="00C42D89"/>
    <w:rsid w:val="00C42E80"/>
    <w:rsid w:val="00C432FE"/>
    <w:rsid w:val="00C43309"/>
    <w:rsid w:val="00C4349A"/>
    <w:rsid w:val="00C439F3"/>
    <w:rsid w:val="00C43A72"/>
    <w:rsid w:val="00C43C2F"/>
    <w:rsid w:val="00C43C9B"/>
    <w:rsid w:val="00C43CBA"/>
    <w:rsid w:val="00C43CC4"/>
    <w:rsid w:val="00C43D20"/>
    <w:rsid w:val="00C43E38"/>
    <w:rsid w:val="00C441F2"/>
    <w:rsid w:val="00C4445B"/>
    <w:rsid w:val="00C4448F"/>
    <w:rsid w:val="00C4459B"/>
    <w:rsid w:val="00C4481C"/>
    <w:rsid w:val="00C44894"/>
    <w:rsid w:val="00C453FE"/>
    <w:rsid w:val="00C454DA"/>
    <w:rsid w:val="00C4575D"/>
    <w:rsid w:val="00C4587D"/>
    <w:rsid w:val="00C45AD8"/>
    <w:rsid w:val="00C45C90"/>
    <w:rsid w:val="00C45CB0"/>
    <w:rsid w:val="00C45E83"/>
    <w:rsid w:val="00C46310"/>
    <w:rsid w:val="00C4642B"/>
    <w:rsid w:val="00C46D57"/>
    <w:rsid w:val="00C46EA5"/>
    <w:rsid w:val="00C47039"/>
    <w:rsid w:val="00C47085"/>
    <w:rsid w:val="00C4722B"/>
    <w:rsid w:val="00C4725D"/>
    <w:rsid w:val="00C473B6"/>
    <w:rsid w:val="00C474A3"/>
    <w:rsid w:val="00C474AB"/>
    <w:rsid w:val="00C4764F"/>
    <w:rsid w:val="00C47675"/>
    <w:rsid w:val="00C47724"/>
    <w:rsid w:val="00C47725"/>
    <w:rsid w:val="00C4773A"/>
    <w:rsid w:val="00C47932"/>
    <w:rsid w:val="00C479B6"/>
    <w:rsid w:val="00C479C7"/>
    <w:rsid w:val="00C47D32"/>
    <w:rsid w:val="00C47E01"/>
    <w:rsid w:val="00C47E4B"/>
    <w:rsid w:val="00C47F76"/>
    <w:rsid w:val="00C50088"/>
    <w:rsid w:val="00C500C1"/>
    <w:rsid w:val="00C5010A"/>
    <w:rsid w:val="00C50142"/>
    <w:rsid w:val="00C50144"/>
    <w:rsid w:val="00C502B4"/>
    <w:rsid w:val="00C502CC"/>
    <w:rsid w:val="00C50378"/>
    <w:rsid w:val="00C50591"/>
    <w:rsid w:val="00C505C3"/>
    <w:rsid w:val="00C505EF"/>
    <w:rsid w:val="00C507E6"/>
    <w:rsid w:val="00C5081E"/>
    <w:rsid w:val="00C50885"/>
    <w:rsid w:val="00C508F6"/>
    <w:rsid w:val="00C5097C"/>
    <w:rsid w:val="00C50A6B"/>
    <w:rsid w:val="00C50B2A"/>
    <w:rsid w:val="00C50E60"/>
    <w:rsid w:val="00C50FDD"/>
    <w:rsid w:val="00C51157"/>
    <w:rsid w:val="00C51173"/>
    <w:rsid w:val="00C51367"/>
    <w:rsid w:val="00C514FD"/>
    <w:rsid w:val="00C515BF"/>
    <w:rsid w:val="00C51610"/>
    <w:rsid w:val="00C51745"/>
    <w:rsid w:val="00C5187D"/>
    <w:rsid w:val="00C519E3"/>
    <w:rsid w:val="00C51ADE"/>
    <w:rsid w:val="00C51BE0"/>
    <w:rsid w:val="00C51D60"/>
    <w:rsid w:val="00C51E59"/>
    <w:rsid w:val="00C524FF"/>
    <w:rsid w:val="00C5255C"/>
    <w:rsid w:val="00C5299D"/>
    <w:rsid w:val="00C529F2"/>
    <w:rsid w:val="00C529FF"/>
    <w:rsid w:val="00C52A2D"/>
    <w:rsid w:val="00C52A90"/>
    <w:rsid w:val="00C52D63"/>
    <w:rsid w:val="00C52F0C"/>
    <w:rsid w:val="00C52F30"/>
    <w:rsid w:val="00C531AF"/>
    <w:rsid w:val="00C531B3"/>
    <w:rsid w:val="00C532D7"/>
    <w:rsid w:val="00C53401"/>
    <w:rsid w:val="00C5350C"/>
    <w:rsid w:val="00C53584"/>
    <w:rsid w:val="00C53837"/>
    <w:rsid w:val="00C53A0A"/>
    <w:rsid w:val="00C53C98"/>
    <w:rsid w:val="00C53F50"/>
    <w:rsid w:val="00C54195"/>
    <w:rsid w:val="00C542F2"/>
    <w:rsid w:val="00C54307"/>
    <w:rsid w:val="00C54383"/>
    <w:rsid w:val="00C545CF"/>
    <w:rsid w:val="00C546ED"/>
    <w:rsid w:val="00C5484D"/>
    <w:rsid w:val="00C548B7"/>
    <w:rsid w:val="00C54972"/>
    <w:rsid w:val="00C54A8C"/>
    <w:rsid w:val="00C54ABA"/>
    <w:rsid w:val="00C54AC2"/>
    <w:rsid w:val="00C54CD6"/>
    <w:rsid w:val="00C54D4C"/>
    <w:rsid w:val="00C54F74"/>
    <w:rsid w:val="00C54F7E"/>
    <w:rsid w:val="00C54FF7"/>
    <w:rsid w:val="00C5517C"/>
    <w:rsid w:val="00C551B0"/>
    <w:rsid w:val="00C552AA"/>
    <w:rsid w:val="00C5533B"/>
    <w:rsid w:val="00C55465"/>
    <w:rsid w:val="00C55477"/>
    <w:rsid w:val="00C55584"/>
    <w:rsid w:val="00C5566B"/>
    <w:rsid w:val="00C556B3"/>
    <w:rsid w:val="00C55849"/>
    <w:rsid w:val="00C5586E"/>
    <w:rsid w:val="00C55B79"/>
    <w:rsid w:val="00C55E82"/>
    <w:rsid w:val="00C55F89"/>
    <w:rsid w:val="00C55FC2"/>
    <w:rsid w:val="00C55FE1"/>
    <w:rsid w:val="00C56020"/>
    <w:rsid w:val="00C56034"/>
    <w:rsid w:val="00C560F1"/>
    <w:rsid w:val="00C5616A"/>
    <w:rsid w:val="00C5626F"/>
    <w:rsid w:val="00C5628F"/>
    <w:rsid w:val="00C563D0"/>
    <w:rsid w:val="00C563EE"/>
    <w:rsid w:val="00C56630"/>
    <w:rsid w:val="00C56637"/>
    <w:rsid w:val="00C5684B"/>
    <w:rsid w:val="00C56A9F"/>
    <w:rsid w:val="00C56D4C"/>
    <w:rsid w:val="00C56D81"/>
    <w:rsid w:val="00C56DFF"/>
    <w:rsid w:val="00C56FEA"/>
    <w:rsid w:val="00C57352"/>
    <w:rsid w:val="00C5765F"/>
    <w:rsid w:val="00C57699"/>
    <w:rsid w:val="00C576D5"/>
    <w:rsid w:val="00C57790"/>
    <w:rsid w:val="00C57876"/>
    <w:rsid w:val="00C5788E"/>
    <w:rsid w:val="00C57BD4"/>
    <w:rsid w:val="00C57EF7"/>
    <w:rsid w:val="00C60026"/>
    <w:rsid w:val="00C601BA"/>
    <w:rsid w:val="00C6041D"/>
    <w:rsid w:val="00C60642"/>
    <w:rsid w:val="00C607D1"/>
    <w:rsid w:val="00C60865"/>
    <w:rsid w:val="00C60CDE"/>
    <w:rsid w:val="00C60CE8"/>
    <w:rsid w:val="00C60E96"/>
    <w:rsid w:val="00C61049"/>
    <w:rsid w:val="00C6116F"/>
    <w:rsid w:val="00C612C9"/>
    <w:rsid w:val="00C617D2"/>
    <w:rsid w:val="00C6197F"/>
    <w:rsid w:val="00C61A9C"/>
    <w:rsid w:val="00C61BEF"/>
    <w:rsid w:val="00C61C24"/>
    <w:rsid w:val="00C61EEE"/>
    <w:rsid w:val="00C62026"/>
    <w:rsid w:val="00C62059"/>
    <w:rsid w:val="00C620F1"/>
    <w:rsid w:val="00C62411"/>
    <w:rsid w:val="00C625B3"/>
    <w:rsid w:val="00C62688"/>
    <w:rsid w:val="00C6278D"/>
    <w:rsid w:val="00C62959"/>
    <w:rsid w:val="00C62B34"/>
    <w:rsid w:val="00C62C93"/>
    <w:rsid w:val="00C62F98"/>
    <w:rsid w:val="00C63303"/>
    <w:rsid w:val="00C63388"/>
    <w:rsid w:val="00C633CE"/>
    <w:rsid w:val="00C63659"/>
    <w:rsid w:val="00C63755"/>
    <w:rsid w:val="00C63858"/>
    <w:rsid w:val="00C63870"/>
    <w:rsid w:val="00C63B71"/>
    <w:rsid w:val="00C63C26"/>
    <w:rsid w:val="00C63DF4"/>
    <w:rsid w:val="00C63ED9"/>
    <w:rsid w:val="00C63F28"/>
    <w:rsid w:val="00C63F4A"/>
    <w:rsid w:val="00C63FAE"/>
    <w:rsid w:val="00C63FCD"/>
    <w:rsid w:val="00C63FCE"/>
    <w:rsid w:val="00C64024"/>
    <w:rsid w:val="00C640BC"/>
    <w:rsid w:val="00C6412D"/>
    <w:rsid w:val="00C643B3"/>
    <w:rsid w:val="00C64410"/>
    <w:rsid w:val="00C64444"/>
    <w:rsid w:val="00C645A8"/>
    <w:rsid w:val="00C645AC"/>
    <w:rsid w:val="00C64661"/>
    <w:rsid w:val="00C648AB"/>
    <w:rsid w:val="00C6499D"/>
    <w:rsid w:val="00C649B6"/>
    <w:rsid w:val="00C64A34"/>
    <w:rsid w:val="00C64A43"/>
    <w:rsid w:val="00C64CDB"/>
    <w:rsid w:val="00C64D2E"/>
    <w:rsid w:val="00C64DD9"/>
    <w:rsid w:val="00C651FA"/>
    <w:rsid w:val="00C652CC"/>
    <w:rsid w:val="00C65551"/>
    <w:rsid w:val="00C655AA"/>
    <w:rsid w:val="00C655EC"/>
    <w:rsid w:val="00C65691"/>
    <w:rsid w:val="00C65798"/>
    <w:rsid w:val="00C658E1"/>
    <w:rsid w:val="00C65D0A"/>
    <w:rsid w:val="00C65E39"/>
    <w:rsid w:val="00C66019"/>
    <w:rsid w:val="00C66239"/>
    <w:rsid w:val="00C6625C"/>
    <w:rsid w:val="00C662D6"/>
    <w:rsid w:val="00C66358"/>
    <w:rsid w:val="00C668CA"/>
    <w:rsid w:val="00C66985"/>
    <w:rsid w:val="00C66A91"/>
    <w:rsid w:val="00C66BB4"/>
    <w:rsid w:val="00C66C2C"/>
    <w:rsid w:val="00C66C71"/>
    <w:rsid w:val="00C66EC7"/>
    <w:rsid w:val="00C66F38"/>
    <w:rsid w:val="00C66FAF"/>
    <w:rsid w:val="00C6724B"/>
    <w:rsid w:val="00C672DA"/>
    <w:rsid w:val="00C67415"/>
    <w:rsid w:val="00C674C7"/>
    <w:rsid w:val="00C674D5"/>
    <w:rsid w:val="00C674EB"/>
    <w:rsid w:val="00C67552"/>
    <w:rsid w:val="00C675C2"/>
    <w:rsid w:val="00C676EA"/>
    <w:rsid w:val="00C67913"/>
    <w:rsid w:val="00C679E2"/>
    <w:rsid w:val="00C67C2A"/>
    <w:rsid w:val="00C67DB0"/>
    <w:rsid w:val="00C67E2A"/>
    <w:rsid w:val="00C67E6D"/>
    <w:rsid w:val="00C700A2"/>
    <w:rsid w:val="00C70151"/>
    <w:rsid w:val="00C70181"/>
    <w:rsid w:val="00C704AF"/>
    <w:rsid w:val="00C7054A"/>
    <w:rsid w:val="00C70557"/>
    <w:rsid w:val="00C7074E"/>
    <w:rsid w:val="00C708A0"/>
    <w:rsid w:val="00C708BF"/>
    <w:rsid w:val="00C709E7"/>
    <w:rsid w:val="00C70B1A"/>
    <w:rsid w:val="00C70C2B"/>
    <w:rsid w:val="00C70C67"/>
    <w:rsid w:val="00C70CCB"/>
    <w:rsid w:val="00C70D00"/>
    <w:rsid w:val="00C70DA7"/>
    <w:rsid w:val="00C70E9B"/>
    <w:rsid w:val="00C70F76"/>
    <w:rsid w:val="00C71134"/>
    <w:rsid w:val="00C7121D"/>
    <w:rsid w:val="00C712E0"/>
    <w:rsid w:val="00C71355"/>
    <w:rsid w:val="00C71400"/>
    <w:rsid w:val="00C7143D"/>
    <w:rsid w:val="00C71489"/>
    <w:rsid w:val="00C714CD"/>
    <w:rsid w:val="00C714ED"/>
    <w:rsid w:val="00C715D9"/>
    <w:rsid w:val="00C7160C"/>
    <w:rsid w:val="00C7160F"/>
    <w:rsid w:val="00C7167F"/>
    <w:rsid w:val="00C718C7"/>
    <w:rsid w:val="00C71B61"/>
    <w:rsid w:val="00C71EE5"/>
    <w:rsid w:val="00C71FF7"/>
    <w:rsid w:val="00C7209A"/>
    <w:rsid w:val="00C7209C"/>
    <w:rsid w:val="00C720DC"/>
    <w:rsid w:val="00C7233F"/>
    <w:rsid w:val="00C72344"/>
    <w:rsid w:val="00C72464"/>
    <w:rsid w:val="00C724EB"/>
    <w:rsid w:val="00C72604"/>
    <w:rsid w:val="00C7269B"/>
    <w:rsid w:val="00C727B6"/>
    <w:rsid w:val="00C72A10"/>
    <w:rsid w:val="00C72A49"/>
    <w:rsid w:val="00C72A78"/>
    <w:rsid w:val="00C72B3C"/>
    <w:rsid w:val="00C72C07"/>
    <w:rsid w:val="00C72F4A"/>
    <w:rsid w:val="00C72F8F"/>
    <w:rsid w:val="00C730B7"/>
    <w:rsid w:val="00C73187"/>
    <w:rsid w:val="00C73237"/>
    <w:rsid w:val="00C73318"/>
    <w:rsid w:val="00C737E3"/>
    <w:rsid w:val="00C738A2"/>
    <w:rsid w:val="00C739A1"/>
    <w:rsid w:val="00C73AC7"/>
    <w:rsid w:val="00C73EF9"/>
    <w:rsid w:val="00C73F1A"/>
    <w:rsid w:val="00C73FC1"/>
    <w:rsid w:val="00C73FE1"/>
    <w:rsid w:val="00C73FF2"/>
    <w:rsid w:val="00C74165"/>
    <w:rsid w:val="00C7418A"/>
    <w:rsid w:val="00C7429F"/>
    <w:rsid w:val="00C742E5"/>
    <w:rsid w:val="00C74330"/>
    <w:rsid w:val="00C7467B"/>
    <w:rsid w:val="00C746FF"/>
    <w:rsid w:val="00C74781"/>
    <w:rsid w:val="00C7479D"/>
    <w:rsid w:val="00C747D5"/>
    <w:rsid w:val="00C74806"/>
    <w:rsid w:val="00C74858"/>
    <w:rsid w:val="00C7488B"/>
    <w:rsid w:val="00C7498A"/>
    <w:rsid w:val="00C749C2"/>
    <w:rsid w:val="00C74CF6"/>
    <w:rsid w:val="00C74F3D"/>
    <w:rsid w:val="00C74FB0"/>
    <w:rsid w:val="00C75194"/>
    <w:rsid w:val="00C751B9"/>
    <w:rsid w:val="00C75233"/>
    <w:rsid w:val="00C752A8"/>
    <w:rsid w:val="00C752D6"/>
    <w:rsid w:val="00C75449"/>
    <w:rsid w:val="00C75511"/>
    <w:rsid w:val="00C757D3"/>
    <w:rsid w:val="00C75A89"/>
    <w:rsid w:val="00C75AF0"/>
    <w:rsid w:val="00C75AFC"/>
    <w:rsid w:val="00C75CE2"/>
    <w:rsid w:val="00C75D14"/>
    <w:rsid w:val="00C75D56"/>
    <w:rsid w:val="00C75D9D"/>
    <w:rsid w:val="00C75DA5"/>
    <w:rsid w:val="00C75E5A"/>
    <w:rsid w:val="00C75FA5"/>
    <w:rsid w:val="00C75FE9"/>
    <w:rsid w:val="00C760A2"/>
    <w:rsid w:val="00C76168"/>
    <w:rsid w:val="00C7619D"/>
    <w:rsid w:val="00C761D6"/>
    <w:rsid w:val="00C761EE"/>
    <w:rsid w:val="00C7653C"/>
    <w:rsid w:val="00C7653D"/>
    <w:rsid w:val="00C76568"/>
    <w:rsid w:val="00C76751"/>
    <w:rsid w:val="00C767A1"/>
    <w:rsid w:val="00C76870"/>
    <w:rsid w:val="00C7691E"/>
    <w:rsid w:val="00C76960"/>
    <w:rsid w:val="00C76B87"/>
    <w:rsid w:val="00C76C21"/>
    <w:rsid w:val="00C76CDB"/>
    <w:rsid w:val="00C76CDD"/>
    <w:rsid w:val="00C76DEE"/>
    <w:rsid w:val="00C76E4B"/>
    <w:rsid w:val="00C76F91"/>
    <w:rsid w:val="00C76FD8"/>
    <w:rsid w:val="00C770C2"/>
    <w:rsid w:val="00C770CD"/>
    <w:rsid w:val="00C772FD"/>
    <w:rsid w:val="00C77323"/>
    <w:rsid w:val="00C773A1"/>
    <w:rsid w:val="00C773FD"/>
    <w:rsid w:val="00C77600"/>
    <w:rsid w:val="00C776C0"/>
    <w:rsid w:val="00C778C0"/>
    <w:rsid w:val="00C77902"/>
    <w:rsid w:val="00C779CD"/>
    <w:rsid w:val="00C77B45"/>
    <w:rsid w:val="00C77B8B"/>
    <w:rsid w:val="00C77C15"/>
    <w:rsid w:val="00C77E49"/>
    <w:rsid w:val="00C800FF"/>
    <w:rsid w:val="00C80106"/>
    <w:rsid w:val="00C80216"/>
    <w:rsid w:val="00C8026C"/>
    <w:rsid w:val="00C804E8"/>
    <w:rsid w:val="00C807D0"/>
    <w:rsid w:val="00C80857"/>
    <w:rsid w:val="00C80B43"/>
    <w:rsid w:val="00C80B5B"/>
    <w:rsid w:val="00C80B6D"/>
    <w:rsid w:val="00C80BFB"/>
    <w:rsid w:val="00C80E62"/>
    <w:rsid w:val="00C80E63"/>
    <w:rsid w:val="00C81009"/>
    <w:rsid w:val="00C81180"/>
    <w:rsid w:val="00C811EF"/>
    <w:rsid w:val="00C8134F"/>
    <w:rsid w:val="00C8138D"/>
    <w:rsid w:val="00C8161F"/>
    <w:rsid w:val="00C8173A"/>
    <w:rsid w:val="00C81754"/>
    <w:rsid w:val="00C818B8"/>
    <w:rsid w:val="00C8193E"/>
    <w:rsid w:val="00C81978"/>
    <w:rsid w:val="00C81979"/>
    <w:rsid w:val="00C81989"/>
    <w:rsid w:val="00C81A26"/>
    <w:rsid w:val="00C81B85"/>
    <w:rsid w:val="00C82030"/>
    <w:rsid w:val="00C82091"/>
    <w:rsid w:val="00C8211E"/>
    <w:rsid w:val="00C8213B"/>
    <w:rsid w:val="00C8222C"/>
    <w:rsid w:val="00C822C1"/>
    <w:rsid w:val="00C8250A"/>
    <w:rsid w:val="00C82574"/>
    <w:rsid w:val="00C82672"/>
    <w:rsid w:val="00C82780"/>
    <w:rsid w:val="00C829FF"/>
    <w:rsid w:val="00C82A09"/>
    <w:rsid w:val="00C82AC4"/>
    <w:rsid w:val="00C82B2A"/>
    <w:rsid w:val="00C82BAA"/>
    <w:rsid w:val="00C82CFE"/>
    <w:rsid w:val="00C82E4B"/>
    <w:rsid w:val="00C82EE9"/>
    <w:rsid w:val="00C830A5"/>
    <w:rsid w:val="00C83347"/>
    <w:rsid w:val="00C83671"/>
    <w:rsid w:val="00C837DB"/>
    <w:rsid w:val="00C83895"/>
    <w:rsid w:val="00C838E6"/>
    <w:rsid w:val="00C83995"/>
    <w:rsid w:val="00C83A83"/>
    <w:rsid w:val="00C83BA6"/>
    <w:rsid w:val="00C83C78"/>
    <w:rsid w:val="00C83D04"/>
    <w:rsid w:val="00C84010"/>
    <w:rsid w:val="00C844D7"/>
    <w:rsid w:val="00C8457C"/>
    <w:rsid w:val="00C845E0"/>
    <w:rsid w:val="00C84621"/>
    <w:rsid w:val="00C847E5"/>
    <w:rsid w:val="00C848BA"/>
    <w:rsid w:val="00C84A21"/>
    <w:rsid w:val="00C84B5F"/>
    <w:rsid w:val="00C84BA1"/>
    <w:rsid w:val="00C84BB2"/>
    <w:rsid w:val="00C84D95"/>
    <w:rsid w:val="00C84DE7"/>
    <w:rsid w:val="00C84F92"/>
    <w:rsid w:val="00C8502A"/>
    <w:rsid w:val="00C8539B"/>
    <w:rsid w:val="00C85566"/>
    <w:rsid w:val="00C85628"/>
    <w:rsid w:val="00C8564F"/>
    <w:rsid w:val="00C85767"/>
    <w:rsid w:val="00C85868"/>
    <w:rsid w:val="00C85877"/>
    <w:rsid w:val="00C859F8"/>
    <w:rsid w:val="00C85A7D"/>
    <w:rsid w:val="00C85B3C"/>
    <w:rsid w:val="00C85D7E"/>
    <w:rsid w:val="00C85D8B"/>
    <w:rsid w:val="00C85DC6"/>
    <w:rsid w:val="00C85EF9"/>
    <w:rsid w:val="00C86009"/>
    <w:rsid w:val="00C86067"/>
    <w:rsid w:val="00C861EB"/>
    <w:rsid w:val="00C86290"/>
    <w:rsid w:val="00C862E5"/>
    <w:rsid w:val="00C8631A"/>
    <w:rsid w:val="00C8646D"/>
    <w:rsid w:val="00C864D6"/>
    <w:rsid w:val="00C86680"/>
    <w:rsid w:val="00C86833"/>
    <w:rsid w:val="00C86853"/>
    <w:rsid w:val="00C8694D"/>
    <w:rsid w:val="00C86963"/>
    <w:rsid w:val="00C869CA"/>
    <w:rsid w:val="00C86A15"/>
    <w:rsid w:val="00C86AC3"/>
    <w:rsid w:val="00C86ADB"/>
    <w:rsid w:val="00C86B13"/>
    <w:rsid w:val="00C86B19"/>
    <w:rsid w:val="00C86BB3"/>
    <w:rsid w:val="00C86E97"/>
    <w:rsid w:val="00C86FE2"/>
    <w:rsid w:val="00C870CB"/>
    <w:rsid w:val="00C87330"/>
    <w:rsid w:val="00C873EE"/>
    <w:rsid w:val="00C8750D"/>
    <w:rsid w:val="00C8751D"/>
    <w:rsid w:val="00C875E5"/>
    <w:rsid w:val="00C87729"/>
    <w:rsid w:val="00C877F4"/>
    <w:rsid w:val="00C878D3"/>
    <w:rsid w:val="00C87A14"/>
    <w:rsid w:val="00C87AC3"/>
    <w:rsid w:val="00C87D0A"/>
    <w:rsid w:val="00C87D6E"/>
    <w:rsid w:val="00C87DE8"/>
    <w:rsid w:val="00C87E11"/>
    <w:rsid w:val="00C87E42"/>
    <w:rsid w:val="00C9021C"/>
    <w:rsid w:val="00C902A0"/>
    <w:rsid w:val="00C9039B"/>
    <w:rsid w:val="00C903E9"/>
    <w:rsid w:val="00C9046A"/>
    <w:rsid w:val="00C90475"/>
    <w:rsid w:val="00C90582"/>
    <w:rsid w:val="00C90643"/>
    <w:rsid w:val="00C90660"/>
    <w:rsid w:val="00C9076E"/>
    <w:rsid w:val="00C90803"/>
    <w:rsid w:val="00C90870"/>
    <w:rsid w:val="00C9087C"/>
    <w:rsid w:val="00C90964"/>
    <w:rsid w:val="00C90C93"/>
    <w:rsid w:val="00C90D7E"/>
    <w:rsid w:val="00C90E1A"/>
    <w:rsid w:val="00C91007"/>
    <w:rsid w:val="00C91139"/>
    <w:rsid w:val="00C911BF"/>
    <w:rsid w:val="00C912AF"/>
    <w:rsid w:val="00C913E9"/>
    <w:rsid w:val="00C91419"/>
    <w:rsid w:val="00C91454"/>
    <w:rsid w:val="00C91507"/>
    <w:rsid w:val="00C915D1"/>
    <w:rsid w:val="00C9162C"/>
    <w:rsid w:val="00C91630"/>
    <w:rsid w:val="00C91885"/>
    <w:rsid w:val="00C919A9"/>
    <w:rsid w:val="00C919AA"/>
    <w:rsid w:val="00C91A27"/>
    <w:rsid w:val="00C91C6C"/>
    <w:rsid w:val="00C91C78"/>
    <w:rsid w:val="00C91D81"/>
    <w:rsid w:val="00C91F88"/>
    <w:rsid w:val="00C925B3"/>
    <w:rsid w:val="00C9262D"/>
    <w:rsid w:val="00C929BC"/>
    <w:rsid w:val="00C92A65"/>
    <w:rsid w:val="00C92C00"/>
    <w:rsid w:val="00C92D1A"/>
    <w:rsid w:val="00C92D68"/>
    <w:rsid w:val="00C92E71"/>
    <w:rsid w:val="00C92F48"/>
    <w:rsid w:val="00C92FCB"/>
    <w:rsid w:val="00C92FCE"/>
    <w:rsid w:val="00C92FDD"/>
    <w:rsid w:val="00C93077"/>
    <w:rsid w:val="00C9357F"/>
    <w:rsid w:val="00C935F2"/>
    <w:rsid w:val="00C9362C"/>
    <w:rsid w:val="00C9379E"/>
    <w:rsid w:val="00C93B2B"/>
    <w:rsid w:val="00C93B84"/>
    <w:rsid w:val="00C93BF1"/>
    <w:rsid w:val="00C93CC3"/>
    <w:rsid w:val="00C93D3A"/>
    <w:rsid w:val="00C94004"/>
    <w:rsid w:val="00C942DA"/>
    <w:rsid w:val="00C94415"/>
    <w:rsid w:val="00C944A3"/>
    <w:rsid w:val="00C945A0"/>
    <w:rsid w:val="00C945B3"/>
    <w:rsid w:val="00C9460B"/>
    <w:rsid w:val="00C946A5"/>
    <w:rsid w:val="00C94781"/>
    <w:rsid w:val="00C947F4"/>
    <w:rsid w:val="00C94880"/>
    <w:rsid w:val="00C948B0"/>
    <w:rsid w:val="00C94979"/>
    <w:rsid w:val="00C94C1D"/>
    <w:rsid w:val="00C94F68"/>
    <w:rsid w:val="00C94FE7"/>
    <w:rsid w:val="00C94FEC"/>
    <w:rsid w:val="00C953BD"/>
    <w:rsid w:val="00C95447"/>
    <w:rsid w:val="00C9555D"/>
    <w:rsid w:val="00C957E8"/>
    <w:rsid w:val="00C957F3"/>
    <w:rsid w:val="00C95831"/>
    <w:rsid w:val="00C958AC"/>
    <w:rsid w:val="00C95AB3"/>
    <w:rsid w:val="00C95B32"/>
    <w:rsid w:val="00C95CAC"/>
    <w:rsid w:val="00C95E56"/>
    <w:rsid w:val="00C95E8A"/>
    <w:rsid w:val="00C95F03"/>
    <w:rsid w:val="00C9610D"/>
    <w:rsid w:val="00C963D8"/>
    <w:rsid w:val="00C963E6"/>
    <w:rsid w:val="00C9643D"/>
    <w:rsid w:val="00C965A6"/>
    <w:rsid w:val="00C96607"/>
    <w:rsid w:val="00C967D0"/>
    <w:rsid w:val="00C96B2C"/>
    <w:rsid w:val="00C96BB3"/>
    <w:rsid w:val="00C96DFB"/>
    <w:rsid w:val="00C96ECE"/>
    <w:rsid w:val="00C97192"/>
    <w:rsid w:val="00C9725A"/>
    <w:rsid w:val="00C9726B"/>
    <w:rsid w:val="00C97364"/>
    <w:rsid w:val="00C974EF"/>
    <w:rsid w:val="00C9751B"/>
    <w:rsid w:val="00C97673"/>
    <w:rsid w:val="00C976E6"/>
    <w:rsid w:val="00C978EB"/>
    <w:rsid w:val="00C97939"/>
    <w:rsid w:val="00C97AA2"/>
    <w:rsid w:val="00C97C91"/>
    <w:rsid w:val="00CA016C"/>
    <w:rsid w:val="00CA02FE"/>
    <w:rsid w:val="00CA034F"/>
    <w:rsid w:val="00CA0714"/>
    <w:rsid w:val="00CA0797"/>
    <w:rsid w:val="00CA0881"/>
    <w:rsid w:val="00CA0B62"/>
    <w:rsid w:val="00CA0BB0"/>
    <w:rsid w:val="00CA0BCB"/>
    <w:rsid w:val="00CA101A"/>
    <w:rsid w:val="00CA1110"/>
    <w:rsid w:val="00CA1129"/>
    <w:rsid w:val="00CA1171"/>
    <w:rsid w:val="00CA1246"/>
    <w:rsid w:val="00CA197D"/>
    <w:rsid w:val="00CA1A18"/>
    <w:rsid w:val="00CA1AF3"/>
    <w:rsid w:val="00CA1BB7"/>
    <w:rsid w:val="00CA1BD2"/>
    <w:rsid w:val="00CA1C87"/>
    <w:rsid w:val="00CA1E78"/>
    <w:rsid w:val="00CA1EAC"/>
    <w:rsid w:val="00CA1FF4"/>
    <w:rsid w:val="00CA2265"/>
    <w:rsid w:val="00CA2356"/>
    <w:rsid w:val="00CA2890"/>
    <w:rsid w:val="00CA2901"/>
    <w:rsid w:val="00CA2A8B"/>
    <w:rsid w:val="00CA2B6D"/>
    <w:rsid w:val="00CA2BB7"/>
    <w:rsid w:val="00CA2C0E"/>
    <w:rsid w:val="00CA2D57"/>
    <w:rsid w:val="00CA2D9F"/>
    <w:rsid w:val="00CA2ED2"/>
    <w:rsid w:val="00CA3033"/>
    <w:rsid w:val="00CA3040"/>
    <w:rsid w:val="00CA3089"/>
    <w:rsid w:val="00CA314C"/>
    <w:rsid w:val="00CA31DA"/>
    <w:rsid w:val="00CA3227"/>
    <w:rsid w:val="00CA3231"/>
    <w:rsid w:val="00CA3356"/>
    <w:rsid w:val="00CA3371"/>
    <w:rsid w:val="00CA35F6"/>
    <w:rsid w:val="00CA3697"/>
    <w:rsid w:val="00CA36B0"/>
    <w:rsid w:val="00CA37CF"/>
    <w:rsid w:val="00CA3A88"/>
    <w:rsid w:val="00CA3D99"/>
    <w:rsid w:val="00CA3E0F"/>
    <w:rsid w:val="00CA3EBE"/>
    <w:rsid w:val="00CA3F3D"/>
    <w:rsid w:val="00CA4173"/>
    <w:rsid w:val="00CA41E4"/>
    <w:rsid w:val="00CA42B1"/>
    <w:rsid w:val="00CA42E0"/>
    <w:rsid w:val="00CA4541"/>
    <w:rsid w:val="00CA4630"/>
    <w:rsid w:val="00CA476E"/>
    <w:rsid w:val="00CA4781"/>
    <w:rsid w:val="00CA4795"/>
    <w:rsid w:val="00CA47FA"/>
    <w:rsid w:val="00CA49E1"/>
    <w:rsid w:val="00CA4A63"/>
    <w:rsid w:val="00CA4A76"/>
    <w:rsid w:val="00CA4B43"/>
    <w:rsid w:val="00CA4CBB"/>
    <w:rsid w:val="00CA4FE8"/>
    <w:rsid w:val="00CA5144"/>
    <w:rsid w:val="00CA514A"/>
    <w:rsid w:val="00CA51CA"/>
    <w:rsid w:val="00CA537A"/>
    <w:rsid w:val="00CA53E2"/>
    <w:rsid w:val="00CA5429"/>
    <w:rsid w:val="00CA5774"/>
    <w:rsid w:val="00CA592A"/>
    <w:rsid w:val="00CA5AA4"/>
    <w:rsid w:val="00CA5C9B"/>
    <w:rsid w:val="00CA5E8F"/>
    <w:rsid w:val="00CA5EA6"/>
    <w:rsid w:val="00CA5F21"/>
    <w:rsid w:val="00CA5F7B"/>
    <w:rsid w:val="00CA5FD9"/>
    <w:rsid w:val="00CA61D0"/>
    <w:rsid w:val="00CA6483"/>
    <w:rsid w:val="00CA661A"/>
    <w:rsid w:val="00CA6669"/>
    <w:rsid w:val="00CA66C7"/>
    <w:rsid w:val="00CA684E"/>
    <w:rsid w:val="00CA6A7F"/>
    <w:rsid w:val="00CA6ADA"/>
    <w:rsid w:val="00CA6B2B"/>
    <w:rsid w:val="00CA6D2F"/>
    <w:rsid w:val="00CA738E"/>
    <w:rsid w:val="00CA7545"/>
    <w:rsid w:val="00CA756E"/>
    <w:rsid w:val="00CA759D"/>
    <w:rsid w:val="00CA7669"/>
    <w:rsid w:val="00CA7741"/>
    <w:rsid w:val="00CA7935"/>
    <w:rsid w:val="00CA79AD"/>
    <w:rsid w:val="00CA7B7C"/>
    <w:rsid w:val="00CA7BEA"/>
    <w:rsid w:val="00CA7C03"/>
    <w:rsid w:val="00CA7C58"/>
    <w:rsid w:val="00CA7D86"/>
    <w:rsid w:val="00CA7EE8"/>
    <w:rsid w:val="00CA7FBB"/>
    <w:rsid w:val="00CB012A"/>
    <w:rsid w:val="00CB017B"/>
    <w:rsid w:val="00CB0243"/>
    <w:rsid w:val="00CB0317"/>
    <w:rsid w:val="00CB04B5"/>
    <w:rsid w:val="00CB05C7"/>
    <w:rsid w:val="00CB065F"/>
    <w:rsid w:val="00CB0D24"/>
    <w:rsid w:val="00CB0E3B"/>
    <w:rsid w:val="00CB10F2"/>
    <w:rsid w:val="00CB11CF"/>
    <w:rsid w:val="00CB11D6"/>
    <w:rsid w:val="00CB163D"/>
    <w:rsid w:val="00CB1989"/>
    <w:rsid w:val="00CB19DB"/>
    <w:rsid w:val="00CB1BB0"/>
    <w:rsid w:val="00CB26FF"/>
    <w:rsid w:val="00CB2884"/>
    <w:rsid w:val="00CB290A"/>
    <w:rsid w:val="00CB295B"/>
    <w:rsid w:val="00CB29C0"/>
    <w:rsid w:val="00CB2A2A"/>
    <w:rsid w:val="00CB2A3A"/>
    <w:rsid w:val="00CB2A47"/>
    <w:rsid w:val="00CB2A5A"/>
    <w:rsid w:val="00CB3014"/>
    <w:rsid w:val="00CB3039"/>
    <w:rsid w:val="00CB3238"/>
    <w:rsid w:val="00CB338C"/>
    <w:rsid w:val="00CB33EE"/>
    <w:rsid w:val="00CB3509"/>
    <w:rsid w:val="00CB3512"/>
    <w:rsid w:val="00CB3650"/>
    <w:rsid w:val="00CB3660"/>
    <w:rsid w:val="00CB3692"/>
    <w:rsid w:val="00CB38E2"/>
    <w:rsid w:val="00CB39A8"/>
    <w:rsid w:val="00CB3BD9"/>
    <w:rsid w:val="00CB3C76"/>
    <w:rsid w:val="00CB3C91"/>
    <w:rsid w:val="00CB3C9F"/>
    <w:rsid w:val="00CB3F84"/>
    <w:rsid w:val="00CB4184"/>
    <w:rsid w:val="00CB4210"/>
    <w:rsid w:val="00CB4270"/>
    <w:rsid w:val="00CB4333"/>
    <w:rsid w:val="00CB44C6"/>
    <w:rsid w:val="00CB451C"/>
    <w:rsid w:val="00CB4563"/>
    <w:rsid w:val="00CB465B"/>
    <w:rsid w:val="00CB46C0"/>
    <w:rsid w:val="00CB4753"/>
    <w:rsid w:val="00CB4B13"/>
    <w:rsid w:val="00CB4CDF"/>
    <w:rsid w:val="00CB4CF6"/>
    <w:rsid w:val="00CB4E00"/>
    <w:rsid w:val="00CB4E86"/>
    <w:rsid w:val="00CB4F03"/>
    <w:rsid w:val="00CB514D"/>
    <w:rsid w:val="00CB5240"/>
    <w:rsid w:val="00CB5F54"/>
    <w:rsid w:val="00CB6023"/>
    <w:rsid w:val="00CB60AF"/>
    <w:rsid w:val="00CB611C"/>
    <w:rsid w:val="00CB6197"/>
    <w:rsid w:val="00CB620D"/>
    <w:rsid w:val="00CB624A"/>
    <w:rsid w:val="00CB6279"/>
    <w:rsid w:val="00CB6388"/>
    <w:rsid w:val="00CB6E0B"/>
    <w:rsid w:val="00CB6E24"/>
    <w:rsid w:val="00CB6E2B"/>
    <w:rsid w:val="00CB70E2"/>
    <w:rsid w:val="00CB715E"/>
    <w:rsid w:val="00CB71A1"/>
    <w:rsid w:val="00CB7320"/>
    <w:rsid w:val="00CB738D"/>
    <w:rsid w:val="00CB7516"/>
    <w:rsid w:val="00CB7B9A"/>
    <w:rsid w:val="00CB7BC8"/>
    <w:rsid w:val="00CB7E0F"/>
    <w:rsid w:val="00CC01A1"/>
    <w:rsid w:val="00CC02C7"/>
    <w:rsid w:val="00CC03BD"/>
    <w:rsid w:val="00CC0566"/>
    <w:rsid w:val="00CC08B4"/>
    <w:rsid w:val="00CC08D4"/>
    <w:rsid w:val="00CC0A05"/>
    <w:rsid w:val="00CC0AFF"/>
    <w:rsid w:val="00CC0B48"/>
    <w:rsid w:val="00CC0C7D"/>
    <w:rsid w:val="00CC0E52"/>
    <w:rsid w:val="00CC0E95"/>
    <w:rsid w:val="00CC0F39"/>
    <w:rsid w:val="00CC1007"/>
    <w:rsid w:val="00CC10C1"/>
    <w:rsid w:val="00CC1486"/>
    <w:rsid w:val="00CC14E8"/>
    <w:rsid w:val="00CC1526"/>
    <w:rsid w:val="00CC19E5"/>
    <w:rsid w:val="00CC1A08"/>
    <w:rsid w:val="00CC1AD5"/>
    <w:rsid w:val="00CC1DC6"/>
    <w:rsid w:val="00CC1E49"/>
    <w:rsid w:val="00CC210F"/>
    <w:rsid w:val="00CC2245"/>
    <w:rsid w:val="00CC23CF"/>
    <w:rsid w:val="00CC253A"/>
    <w:rsid w:val="00CC254F"/>
    <w:rsid w:val="00CC267E"/>
    <w:rsid w:val="00CC26A8"/>
    <w:rsid w:val="00CC2740"/>
    <w:rsid w:val="00CC27FB"/>
    <w:rsid w:val="00CC2987"/>
    <w:rsid w:val="00CC2B09"/>
    <w:rsid w:val="00CC2B4B"/>
    <w:rsid w:val="00CC2C2E"/>
    <w:rsid w:val="00CC2D75"/>
    <w:rsid w:val="00CC30C1"/>
    <w:rsid w:val="00CC3169"/>
    <w:rsid w:val="00CC321E"/>
    <w:rsid w:val="00CC36A0"/>
    <w:rsid w:val="00CC36F6"/>
    <w:rsid w:val="00CC3747"/>
    <w:rsid w:val="00CC39DB"/>
    <w:rsid w:val="00CC3C88"/>
    <w:rsid w:val="00CC3CE9"/>
    <w:rsid w:val="00CC3ED4"/>
    <w:rsid w:val="00CC3FCC"/>
    <w:rsid w:val="00CC4112"/>
    <w:rsid w:val="00CC41FE"/>
    <w:rsid w:val="00CC42B8"/>
    <w:rsid w:val="00CC42CC"/>
    <w:rsid w:val="00CC42D5"/>
    <w:rsid w:val="00CC43B1"/>
    <w:rsid w:val="00CC4407"/>
    <w:rsid w:val="00CC443A"/>
    <w:rsid w:val="00CC4455"/>
    <w:rsid w:val="00CC4571"/>
    <w:rsid w:val="00CC4601"/>
    <w:rsid w:val="00CC4689"/>
    <w:rsid w:val="00CC4970"/>
    <w:rsid w:val="00CC4981"/>
    <w:rsid w:val="00CC4BA6"/>
    <w:rsid w:val="00CC4C6A"/>
    <w:rsid w:val="00CC5023"/>
    <w:rsid w:val="00CC5092"/>
    <w:rsid w:val="00CC50A1"/>
    <w:rsid w:val="00CC51BE"/>
    <w:rsid w:val="00CC5265"/>
    <w:rsid w:val="00CC5524"/>
    <w:rsid w:val="00CC557C"/>
    <w:rsid w:val="00CC5587"/>
    <w:rsid w:val="00CC5648"/>
    <w:rsid w:val="00CC574D"/>
    <w:rsid w:val="00CC5782"/>
    <w:rsid w:val="00CC57C5"/>
    <w:rsid w:val="00CC5926"/>
    <w:rsid w:val="00CC5A0A"/>
    <w:rsid w:val="00CC5C00"/>
    <w:rsid w:val="00CC5C6A"/>
    <w:rsid w:val="00CC5D03"/>
    <w:rsid w:val="00CC5EF7"/>
    <w:rsid w:val="00CC5F56"/>
    <w:rsid w:val="00CC5FDD"/>
    <w:rsid w:val="00CC611E"/>
    <w:rsid w:val="00CC6126"/>
    <w:rsid w:val="00CC63B6"/>
    <w:rsid w:val="00CC6585"/>
    <w:rsid w:val="00CC6769"/>
    <w:rsid w:val="00CC6822"/>
    <w:rsid w:val="00CC69F6"/>
    <w:rsid w:val="00CC6CA4"/>
    <w:rsid w:val="00CC6D03"/>
    <w:rsid w:val="00CC6E72"/>
    <w:rsid w:val="00CC6F40"/>
    <w:rsid w:val="00CC6F9F"/>
    <w:rsid w:val="00CC7092"/>
    <w:rsid w:val="00CC70BC"/>
    <w:rsid w:val="00CC7179"/>
    <w:rsid w:val="00CC7282"/>
    <w:rsid w:val="00CC747C"/>
    <w:rsid w:val="00CC756C"/>
    <w:rsid w:val="00CC7680"/>
    <w:rsid w:val="00CC779F"/>
    <w:rsid w:val="00CC7930"/>
    <w:rsid w:val="00CC7B4C"/>
    <w:rsid w:val="00CC7B62"/>
    <w:rsid w:val="00CC7CA0"/>
    <w:rsid w:val="00CC7CBC"/>
    <w:rsid w:val="00CC7CC1"/>
    <w:rsid w:val="00CC7D5F"/>
    <w:rsid w:val="00CC7D7C"/>
    <w:rsid w:val="00CC7E86"/>
    <w:rsid w:val="00CC7F37"/>
    <w:rsid w:val="00CD0264"/>
    <w:rsid w:val="00CD0314"/>
    <w:rsid w:val="00CD03B6"/>
    <w:rsid w:val="00CD0400"/>
    <w:rsid w:val="00CD08CE"/>
    <w:rsid w:val="00CD0925"/>
    <w:rsid w:val="00CD09C0"/>
    <w:rsid w:val="00CD0CD7"/>
    <w:rsid w:val="00CD0D93"/>
    <w:rsid w:val="00CD0F13"/>
    <w:rsid w:val="00CD109C"/>
    <w:rsid w:val="00CD127A"/>
    <w:rsid w:val="00CD140A"/>
    <w:rsid w:val="00CD14CE"/>
    <w:rsid w:val="00CD153D"/>
    <w:rsid w:val="00CD1645"/>
    <w:rsid w:val="00CD1674"/>
    <w:rsid w:val="00CD1A0D"/>
    <w:rsid w:val="00CD1A7B"/>
    <w:rsid w:val="00CD1AA8"/>
    <w:rsid w:val="00CD1AF2"/>
    <w:rsid w:val="00CD1CD9"/>
    <w:rsid w:val="00CD1D36"/>
    <w:rsid w:val="00CD2339"/>
    <w:rsid w:val="00CD23CE"/>
    <w:rsid w:val="00CD2513"/>
    <w:rsid w:val="00CD256F"/>
    <w:rsid w:val="00CD25A5"/>
    <w:rsid w:val="00CD263C"/>
    <w:rsid w:val="00CD2738"/>
    <w:rsid w:val="00CD2743"/>
    <w:rsid w:val="00CD27D6"/>
    <w:rsid w:val="00CD284D"/>
    <w:rsid w:val="00CD28A5"/>
    <w:rsid w:val="00CD28E6"/>
    <w:rsid w:val="00CD291F"/>
    <w:rsid w:val="00CD2961"/>
    <w:rsid w:val="00CD2CC3"/>
    <w:rsid w:val="00CD3062"/>
    <w:rsid w:val="00CD309C"/>
    <w:rsid w:val="00CD31C1"/>
    <w:rsid w:val="00CD31DF"/>
    <w:rsid w:val="00CD357F"/>
    <w:rsid w:val="00CD35AB"/>
    <w:rsid w:val="00CD3780"/>
    <w:rsid w:val="00CD38E7"/>
    <w:rsid w:val="00CD3C06"/>
    <w:rsid w:val="00CD3E22"/>
    <w:rsid w:val="00CD4043"/>
    <w:rsid w:val="00CD40AB"/>
    <w:rsid w:val="00CD41A5"/>
    <w:rsid w:val="00CD46B7"/>
    <w:rsid w:val="00CD46C1"/>
    <w:rsid w:val="00CD49E6"/>
    <w:rsid w:val="00CD4AA7"/>
    <w:rsid w:val="00CD4AE5"/>
    <w:rsid w:val="00CD4C3B"/>
    <w:rsid w:val="00CD4C9E"/>
    <w:rsid w:val="00CD4CF5"/>
    <w:rsid w:val="00CD4D09"/>
    <w:rsid w:val="00CD4D83"/>
    <w:rsid w:val="00CD4E24"/>
    <w:rsid w:val="00CD4EC5"/>
    <w:rsid w:val="00CD4EC8"/>
    <w:rsid w:val="00CD4EF4"/>
    <w:rsid w:val="00CD510C"/>
    <w:rsid w:val="00CD5182"/>
    <w:rsid w:val="00CD54C8"/>
    <w:rsid w:val="00CD5531"/>
    <w:rsid w:val="00CD5614"/>
    <w:rsid w:val="00CD5699"/>
    <w:rsid w:val="00CD573D"/>
    <w:rsid w:val="00CD5A86"/>
    <w:rsid w:val="00CD5C28"/>
    <w:rsid w:val="00CD5CE6"/>
    <w:rsid w:val="00CD5D03"/>
    <w:rsid w:val="00CD6097"/>
    <w:rsid w:val="00CD61D2"/>
    <w:rsid w:val="00CD62C0"/>
    <w:rsid w:val="00CD6543"/>
    <w:rsid w:val="00CD6590"/>
    <w:rsid w:val="00CD6705"/>
    <w:rsid w:val="00CD67A2"/>
    <w:rsid w:val="00CD688C"/>
    <w:rsid w:val="00CD6A04"/>
    <w:rsid w:val="00CD6A0E"/>
    <w:rsid w:val="00CD6A75"/>
    <w:rsid w:val="00CD6D76"/>
    <w:rsid w:val="00CD6D7C"/>
    <w:rsid w:val="00CD6DD4"/>
    <w:rsid w:val="00CD6E19"/>
    <w:rsid w:val="00CD6EB5"/>
    <w:rsid w:val="00CD6F2E"/>
    <w:rsid w:val="00CD6F44"/>
    <w:rsid w:val="00CD7044"/>
    <w:rsid w:val="00CD7131"/>
    <w:rsid w:val="00CD7149"/>
    <w:rsid w:val="00CD71DE"/>
    <w:rsid w:val="00CD73D8"/>
    <w:rsid w:val="00CD7437"/>
    <w:rsid w:val="00CD7450"/>
    <w:rsid w:val="00CD75EC"/>
    <w:rsid w:val="00CD769F"/>
    <w:rsid w:val="00CD7770"/>
    <w:rsid w:val="00CD7786"/>
    <w:rsid w:val="00CD793C"/>
    <w:rsid w:val="00CD79FB"/>
    <w:rsid w:val="00CD7A6E"/>
    <w:rsid w:val="00CD7AB5"/>
    <w:rsid w:val="00CD7B83"/>
    <w:rsid w:val="00CD7BF7"/>
    <w:rsid w:val="00CD7D2B"/>
    <w:rsid w:val="00CD7D47"/>
    <w:rsid w:val="00CD7EF4"/>
    <w:rsid w:val="00CD7FA3"/>
    <w:rsid w:val="00CE0122"/>
    <w:rsid w:val="00CE023A"/>
    <w:rsid w:val="00CE02AD"/>
    <w:rsid w:val="00CE0389"/>
    <w:rsid w:val="00CE0627"/>
    <w:rsid w:val="00CE06BA"/>
    <w:rsid w:val="00CE0751"/>
    <w:rsid w:val="00CE07BB"/>
    <w:rsid w:val="00CE0B7C"/>
    <w:rsid w:val="00CE0BFA"/>
    <w:rsid w:val="00CE0EFB"/>
    <w:rsid w:val="00CE113C"/>
    <w:rsid w:val="00CE11FF"/>
    <w:rsid w:val="00CE1270"/>
    <w:rsid w:val="00CE1477"/>
    <w:rsid w:val="00CE1553"/>
    <w:rsid w:val="00CE1609"/>
    <w:rsid w:val="00CE1787"/>
    <w:rsid w:val="00CE18F5"/>
    <w:rsid w:val="00CE18FA"/>
    <w:rsid w:val="00CE19EC"/>
    <w:rsid w:val="00CE1B69"/>
    <w:rsid w:val="00CE1B6B"/>
    <w:rsid w:val="00CE1CB5"/>
    <w:rsid w:val="00CE1D66"/>
    <w:rsid w:val="00CE1F6C"/>
    <w:rsid w:val="00CE1FE5"/>
    <w:rsid w:val="00CE2012"/>
    <w:rsid w:val="00CE202D"/>
    <w:rsid w:val="00CE2150"/>
    <w:rsid w:val="00CE22C2"/>
    <w:rsid w:val="00CE24FB"/>
    <w:rsid w:val="00CE2588"/>
    <w:rsid w:val="00CE2677"/>
    <w:rsid w:val="00CE28A1"/>
    <w:rsid w:val="00CE2905"/>
    <w:rsid w:val="00CE2C35"/>
    <w:rsid w:val="00CE2D55"/>
    <w:rsid w:val="00CE2DDE"/>
    <w:rsid w:val="00CE2F00"/>
    <w:rsid w:val="00CE32CD"/>
    <w:rsid w:val="00CE32E3"/>
    <w:rsid w:val="00CE3304"/>
    <w:rsid w:val="00CE342B"/>
    <w:rsid w:val="00CE35CF"/>
    <w:rsid w:val="00CE378F"/>
    <w:rsid w:val="00CE4133"/>
    <w:rsid w:val="00CE4349"/>
    <w:rsid w:val="00CE43AB"/>
    <w:rsid w:val="00CE4472"/>
    <w:rsid w:val="00CE44AE"/>
    <w:rsid w:val="00CE45F3"/>
    <w:rsid w:val="00CE463D"/>
    <w:rsid w:val="00CE4914"/>
    <w:rsid w:val="00CE4990"/>
    <w:rsid w:val="00CE4A29"/>
    <w:rsid w:val="00CE4A96"/>
    <w:rsid w:val="00CE4F30"/>
    <w:rsid w:val="00CE511C"/>
    <w:rsid w:val="00CE51CE"/>
    <w:rsid w:val="00CE54FD"/>
    <w:rsid w:val="00CE5612"/>
    <w:rsid w:val="00CE56D6"/>
    <w:rsid w:val="00CE56F8"/>
    <w:rsid w:val="00CE5787"/>
    <w:rsid w:val="00CE57A5"/>
    <w:rsid w:val="00CE591C"/>
    <w:rsid w:val="00CE5C01"/>
    <w:rsid w:val="00CE5D2A"/>
    <w:rsid w:val="00CE5D99"/>
    <w:rsid w:val="00CE5DAC"/>
    <w:rsid w:val="00CE613B"/>
    <w:rsid w:val="00CE61A1"/>
    <w:rsid w:val="00CE61D0"/>
    <w:rsid w:val="00CE6310"/>
    <w:rsid w:val="00CE63B4"/>
    <w:rsid w:val="00CE6495"/>
    <w:rsid w:val="00CE661C"/>
    <w:rsid w:val="00CE6632"/>
    <w:rsid w:val="00CE6664"/>
    <w:rsid w:val="00CE673B"/>
    <w:rsid w:val="00CE67EF"/>
    <w:rsid w:val="00CE6801"/>
    <w:rsid w:val="00CE6C34"/>
    <w:rsid w:val="00CE6D79"/>
    <w:rsid w:val="00CE6ED5"/>
    <w:rsid w:val="00CE708A"/>
    <w:rsid w:val="00CE7125"/>
    <w:rsid w:val="00CE7269"/>
    <w:rsid w:val="00CE7547"/>
    <w:rsid w:val="00CE7583"/>
    <w:rsid w:val="00CE76DF"/>
    <w:rsid w:val="00CE777D"/>
    <w:rsid w:val="00CE77C6"/>
    <w:rsid w:val="00CE78EE"/>
    <w:rsid w:val="00CE7A42"/>
    <w:rsid w:val="00CE7A70"/>
    <w:rsid w:val="00CE7AF6"/>
    <w:rsid w:val="00CE7CB6"/>
    <w:rsid w:val="00CE7E1B"/>
    <w:rsid w:val="00CE7FEE"/>
    <w:rsid w:val="00CF00B2"/>
    <w:rsid w:val="00CF0226"/>
    <w:rsid w:val="00CF0720"/>
    <w:rsid w:val="00CF0779"/>
    <w:rsid w:val="00CF0A9A"/>
    <w:rsid w:val="00CF0ADB"/>
    <w:rsid w:val="00CF0AF1"/>
    <w:rsid w:val="00CF0D1B"/>
    <w:rsid w:val="00CF0D40"/>
    <w:rsid w:val="00CF0E75"/>
    <w:rsid w:val="00CF0F3D"/>
    <w:rsid w:val="00CF1280"/>
    <w:rsid w:val="00CF1398"/>
    <w:rsid w:val="00CF1439"/>
    <w:rsid w:val="00CF167C"/>
    <w:rsid w:val="00CF16A4"/>
    <w:rsid w:val="00CF16D0"/>
    <w:rsid w:val="00CF186D"/>
    <w:rsid w:val="00CF187B"/>
    <w:rsid w:val="00CF18A7"/>
    <w:rsid w:val="00CF1A3B"/>
    <w:rsid w:val="00CF1C03"/>
    <w:rsid w:val="00CF1D3B"/>
    <w:rsid w:val="00CF1D80"/>
    <w:rsid w:val="00CF1F48"/>
    <w:rsid w:val="00CF2100"/>
    <w:rsid w:val="00CF227A"/>
    <w:rsid w:val="00CF240A"/>
    <w:rsid w:val="00CF24B0"/>
    <w:rsid w:val="00CF24DF"/>
    <w:rsid w:val="00CF2817"/>
    <w:rsid w:val="00CF2909"/>
    <w:rsid w:val="00CF29CB"/>
    <w:rsid w:val="00CF2A19"/>
    <w:rsid w:val="00CF2A57"/>
    <w:rsid w:val="00CF2AB9"/>
    <w:rsid w:val="00CF2B33"/>
    <w:rsid w:val="00CF2BF2"/>
    <w:rsid w:val="00CF2C55"/>
    <w:rsid w:val="00CF2F47"/>
    <w:rsid w:val="00CF2FE6"/>
    <w:rsid w:val="00CF305C"/>
    <w:rsid w:val="00CF322B"/>
    <w:rsid w:val="00CF32FD"/>
    <w:rsid w:val="00CF330A"/>
    <w:rsid w:val="00CF357E"/>
    <w:rsid w:val="00CF3680"/>
    <w:rsid w:val="00CF370F"/>
    <w:rsid w:val="00CF38DD"/>
    <w:rsid w:val="00CF399C"/>
    <w:rsid w:val="00CF3A09"/>
    <w:rsid w:val="00CF3A6D"/>
    <w:rsid w:val="00CF3C3C"/>
    <w:rsid w:val="00CF3CCC"/>
    <w:rsid w:val="00CF3EFF"/>
    <w:rsid w:val="00CF4088"/>
    <w:rsid w:val="00CF40C7"/>
    <w:rsid w:val="00CF40E0"/>
    <w:rsid w:val="00CF40F7"/>
    <w:rsid w:val="00CF41C8"/>
    <w:rsid w:val="00CF4222"/>
    <w:rsid w:val="00CF4264"/>
    <w:rsid w:val="00CF42B7"/>
    <w:rsid w:val="00CF4322"/>
    <w:rsid w:val="00CF464B"/>
    <w:rsid w:val="00CF4659"/>
    <w:rsid w:val="00CF46F2"/>
    <w:rsid w:val="00CF471B"/>
    <w:rsid w:val="00CF47DC"/>
    <w:rsid w:val="00CF4953"/>
    <w:rsid w:val="00CF4AC8"/>
    <w:rsid w:val="00CF4B07"/>
    <w:rsid w:val="00CF5011"/>
    <w:rsid w:val="00CF51EA"/>
    <w:rsid w:val="00CF5221"/>
    <w:rsid w:val="00CF5227"/>
    <w:rsid w:val="00CF522D"/>
    <w:rsid w:val="00CF5276"/>
    <w:rsid w:val="00CF5378"/>
    <w:rsid w:val="00CF5395"/>
    <w:rsid w:val="00CF53DB"/>
    <w:rsid w:val="00CF5506"/>
    <w:rsid w:val="00CF5712"/>
    <w:rsid w:val="00CF5826"/>
    <w:rsid w:val="00CF583B"/>
    <w:rsid w:val="00CF589B"/>
    <w:rsid w:val="00CF5B3F"/>
    <w:rsid w:val="00CF5B8E"/>
    <w:rsid w:val="00CF5CA0"/>
    <w:rsid w:val="00CF5ECB"/>
    <w:rsid w:val="00CF5FB9"/>
    <w:rsid w:val="00CF607F"/>
    <w:rsid w:val="00CF61E5"/>
    <w:rsid w:val="00CF6253"/>
    <w:rsid w:val="00CF62D6"/>
    <w:rsid w:val="00CF635C"/>
    <w:rsid w:val="00CF6548"/>
    <w:rsid w:val="00CF65AF"/>
    <w:rsid w:val="00CF667D"/>
    <w:rsid w:val="00CF67CB"/>
    <w:rsid w:val="00CF6830"/>
    <w:rsid w:val="00CF695B"/>
    <w:rsid w:val="00CF6C92"/>
    <w:rsid w:val="00CF6E8C"/>
    <w:rsid w:val="00CF7031"/>
    <w:rsid w:val="00CF7281"/>
    <w:rsid w:val="00CF72AB"/>
    <w:rsid w:val="00CF76B9"/>
    <w:rsid w:val="00CF78DC"/>
    <w:rsid w:val="00CF7A5E"/>
    <w:rsid w:val="00CF7BCD"/>
    <w:rsid w:val="00CF7C0E"/>
    <w:rsid w:val="00CF7D74"/>
    <w:rsid w:val="00CF7E4E"/>
    <w:rsid w:val="00CF7EE1"/>
    <w:rsid w:val="00D0002E"/>
    <w:rsid w:val="00D0007D"/>
    <w:rsid w:val="00D000CF"/>
    <w:rsid w:val="00D000D8"/>
    <w:rsid w:val="00D000F3"/>
    <w:rsid w:val="00D000FE"/>
    <w:rsid w:val="00D00342"/>
    <w:rsid w:val="00D00878"/>
    <w:rsid w:val="00D00BA4"/>
    <w:rsid w:val="00D00C53"/>
    <w:rsid w:val="00D01104"/>
    <w:rsid w:val="00D011C2"/>
    <w:rsid w:val="00D0131C"/>
    <w:rsid w:val="00D01357"/>
    <w:rsid w:val="00D0135E"/>
    <w:rsid w:val="00D01465"/>
    <w:rsid w:val="00D0147F"/>
    <w:rsid w:val="00D01754"/>
    <w:rsid w:val="00D01796"/>
    <w:rsid w:val="00D018B3"/>
    <w:rsid w:val="00D01920"/>
    <w:rsid w:val="00D01CFE"/>
    <w:rsid w:val="00D02107"/>
    <w:rsid w:val="00D02149"/>
    <w:rsid w:val="00D02182"/>
    <w:rsid w:val="00D0220E"/>
    <w:rsid w:val="00D02367"/>
    <w:rsid w:val="00D0241F"/>
    <w:rsid w:val="00D024C3"/>
    <w:rsid w:val="00D0283F"/>
    <w:rsid w:val="00D0299E"/>
    <w:rsid w:val="00D02A26"/>
    <w:rsid w:val="00D02B23"/>
    <w:rsid w:val="00D02B8D"/>
    <w:rsid w:val="00D02B96"/>
    <w:rsid w:val="00D02D01"/>
    <w:rsid w:val="00D02E2E"/>
    <w:rsid w:val="00D02EA1"/>
    <w:rsid w:val="00D02ED4"/>
    <w:rsid w:val="00D02F2E"/>
    <w:rsid w:val="00D02F36"/>
    <w:rsid w:val="00D03028"/>
    <w:rsid w:val="00D0323D"/>
    <w:rsid w:val="00D032A1"/>
    <w:rsid w:val="00D032C4"/>
    <w:rsid w:val="00D03435"/>
    <w:rsid w:val="00D03489"/>
    <w:rsid w:val="00D035C2"/>
    <w:rsid w:val="00D0365A"/>
    <w:rsid w:val="00D037DC"/>
    <w:rsid w:val="00D03A2B"/>
    <w:rsid w:val="00D03AC0"/>
    <w:rsid w:val="00D03C9C"/>
    <w:rsid w:val="00D03D28"/>
    <w:rsid w:val="00D03EDC"/>
    <w:rsid w:val="00D03F1D"/>
    <w:rsid w:val="00D03FAB"/>
    <w:rsid w:val="00D04154"/>
    <w:rsid w:val="00D0416C"/>
    <w:rsid w:val="00D04186"/>
    <w:rsid w:val="00D0420A"/>
    <w:rsid w:val="00D0447E"/>
    <w:rsid w:val="00D04772"/>
    <w:rsid w:val="00D04961"/>
    <w:rsid w:val="00D0496D"/>
    <w:rsid w:val="00D04AFD"/>
    <w:rsid w:val="00D04B05"/>
    <w:rsid w:val="00D04D30"/>
    <w:rsid w:val="00D04DC9"/>
    <w:rsid w:val="00D05033"/>
    <w:rsid w:val="00D05145"/>
    <w:rsid w:val="00D0519E"/>
    <w:rsid w:val="00D051E5"/>
    <w:rsid w:val="00D05443"/>
    <w:rsid w:val="00D05492"/>
    <w:rsid w:val="00D054C9"/>
    <w:rsid w:val="00D0558E"/>
    <w:rsid w:val="00D055B6"/>
    <w:rsid w:val="00D05672"/>
    <w:rsid w:val="00D05719"/>
    <w:rsid w:val="00D05877"/>
    <w:rsid w:val="00D058B9"/>
    <w:rsid w:val="00D0595E"/>
    <w:rsid w:val="00D05A82"/>
    <w:rsid w:val="00D05D7C"/>
    <w:rsid w:val="00D05EBA"/>
    <w:rsid w:val="00D05EBF"/>
    <w:rsid w:val="00D05FAE"/>
    <w:rsid w:val="00D06023"/>
    <w:rsid w:val="00D06265"/>
    <w:rsid w:val="00D062F0"/>
    <w:rsid w:val="00D0633B"/>
    <w:rsid w:val="00D06594"/>
    <w:rsid w:val="00D0675A"/>
    <w:rsid w:val="00D067DD"/>
    <w:rsid w:val="00D06945"/>
    <w:rsid w:val="00D06967"/>
    <w:rsid w:val="00D069CB"/>
    <w:rsid w:val="00D069EE"/>
    <w:rsid w:val="00D06B0A"/>
    <w:rsid w:val="00D06CE9"/>
    <w:rsid w:val="00D06E35"/>
    <w:rsid w:val="00D06EC5"/>
    <w:rsid w:val="00D06EDF"/>
    <w:rsid w:val="00D0708E"/>
    <w:rsid w:val="00D0736F"/>
    <w:rsid w:val="00D07497"/>
    <w:rsid w:val="00D075B8"/>
    <w:rsid w:val="00D07744"/>
    <w:rsid w:val="00D078CC"/>
    <w:rsid w:val="00D078D7"/>
    <w:rsid w:val="00D07919"/>
    <w:rsid w:val="00D07A20"/>
    <w:rsid w:val="00D07B8A"/>
    <w:rsid w:val="00D07BA9"/>
    <w:rsid w:val="00D07C8A"/>
    <w:rsid w:val="00D07D65"/>
    <w:rsid w:val="00D07E09"/>
    <w:rsid w:val="00D07F87"/>
    <w:rsid w:val="00D10206"/>
    <w:rsid w:val="00D104AC"/>
    <w:rsid w:val="00D105CC"/>
    <w:rsid w:val="00D10778"/>
    <w:rsid w:val="00D1082D"/>
    <w:rsid w:val="00D108BF"/>
    <w:rsid w:val="00D10A50"/>
    <w:rsid w:val="00D10C84"/>
    <w:rsid w:val="00D10C8E"/>
    <w:rsid w:val="00D10CEF"/>
    <w:rsid w:val="00D10EBC"/>
    <w:rsid w:val="00D11021"/>
    <w:rsid w:val="00D114B6"/>
    <w:rsid w:val="00D114B9"/>
    <w:rsid w:val="00D1182A"/>
    <w:rsid w:val="00D1187D"/>
    <w:rsid w:val="00D11953"/>
    <w:rsid w:val="00D11AFA"/>
    <w:rsid w:val="00D11DFC"/>
    <w:rsid w:val="00D11E1E"/>
    <w:rsid w:val="00D11F30"/>
    <w:rsid w:val="00D11F82"/>
    <w:rsid w:val="00D11FA3"/>
    <w:rsid w:val="00D1206A"/>
    <w:rsid w:val="00D122F8"/>
    <w:rsid w:val="00D12405"/>
    <w:rsid w:val="00D12563"/>
    <w:rsid w:val="00D12713"/>
    <w:rsid w:val="00D12989"/>
    <w:rsid w:val="00D12DEF"/>
    <w:rsid w:val="00D12F1A"/>
    <w:rsid w:val="00D13368"/>
    <w:rsid w:val="00D1363D"/>
    <w:rsid w:val="00D13805"/>
    <w:rsid w:val="00D13877"/>
    <w:rsid w:val="00D13887"/>
    <w:rsid w:val="00D1388C"/>
    <w:rsid w:val="00D13891"/>
    <w:rsid w:val="00D138F3"/>
    <w:rsid w:val="00D13B0D"/>
    <w:rsid w:val="00D13C15"/>
    <w:rsid w:val="00D13C8C"/>
    <w:rsid w:val="00D13C9B"/>
    <w:rsid w:val="00D13CC3"/>
    <w:rsid w:val="00D13FA2"/>
    <w:rsid w:val="00D14056"/>
    <w:rsid w:val="00D140DF"/>
    <w:rsid w:val="00D14225"/>
    <w:rsid w:val="00D14308"/>
    <w:rsid w:val="00D143B5"/>
    <w:rsid w:val="00D14451"/>
    <w:rsid w:val="00D14458"/>
    <w:rsid w:val="00D1453F"/>
    <w:rsid w:val="00D1481C"/>
    <w:rsid w:val="00D1486E"/>
    <w:rsid w:val="00D148DC"/>
    <w:rsid w:val="00D1490D"/>
    <w:rsid w:val="00D14932"/>
    <w:rsid w:val="00D149DE"/>
    <w:rsid w:val="00D14BC0"/>
    <w:rsid w:val="00D14C55"/>
    <w:rsid w:val="00D14CEB"/>
    <w:rsid w:val="00D14D2B"/>
    <w:rsid w:val="00D14DB3"/>
    <w:rsid w:val="00D1517D"/>
    <w:rsid w:val="00D152BA"/>
    <w:rsid w:val="00D15468"/>
    <w:rsid w:val="00D156F0"/>
    <w:rsid w:val="00D158FA"/>
    <w:rsid w:val="00D1595D"/>
    <w:rsid w:val="00D159BF"/>
    <w:rsid w:val="00D15BA7"/>
    <w:rsid w:val="00D161AE"/>
    <w:rsid w:val="00D16215"/>
    <w:rsid w:val="00D1660E"/>
    <w:rsid w:val="00D16663"/>
    <w:rsid w:val="00D1679C"/>
    <w:rsid w:val="00D167AB"/>
    <w:rsid w:val="00D168D5"/>
    <w:rsid w:val="00D16A6C"/>
    <w:rsid w:val="00D16A77"/>
    <w:rsid w:val="00D16C0F"/>
    <w:rsid w:val="00D16D4A"/>
    <w:rsid w:val="00D16DEC"/>
    <w:rsid w:val="00D16EDB"/>
    <w:rsid w:val="00D1721E"/>
    <w:rsid w:val="00D17359"/>
    <w:rsid w:val="00D17497"/>
    <w:rsid w:val="00D1776F"/>
    <w:rsid w:val="00D17843"/>
    <w:rsid w:val="00D17941"/>
    <w:rsid w:val="00D17CE7"/>
    <w:rsid w:val="00D17D95"/>
    <w:rsid w:val="00D17E87"/>
    <w:rsid w:val="00D2004C"/>
    <w:rsid w:val="00D20519"/>
    <w:rsid w:val="00D206FD"/>
    <w:rsid w:val="00D2074C"/>
    <w:rsid w:val="00D2084B"/>
    <w:rsid w:val="00D20874"/>
    <w:rsid w:val="00D20A83"/>
    <w:rsid w:val="00D20CF6"/>
    <w:rsid w:val="00D20D26"/>
    <w:rsid w:val="00D2101A"/>
    <w:rsid w:val="00D210B9"/>
    <w:rsid w:val="00D21193"/>
    <w:rsid w:val="00D211F3"/>
    <w:rsid w:val="00D212D5"/>
    <w:rsid w:val="00D21545"/>
    <w:rsid w:val="00D215F0"/>
    <w:rsid w:val="00D21626"/>
    <w:rsid w:val="00D2172E"/>
    <w:rsid w:val="00D217A0"/>
    <w:rsid w:val="00D217AA"/>
    <w:rsid w:val="00D217DD"/>
    <w:rsid w:val="00D217E7"/>
    <w:rsid w:val="00D219E5"/>
    <w:rsid w:val="00D21D50"/>
    <w:rsid w:val="00D21DB7"/>
    <w:rsid w:val="00D21DF7"/>
    <w:rsid w:val="00D2202F"/>
    <w:rsid w:val="00D2214B"/>
    <w:rsid w:val="00D222EC"/>
    <w:rsid w:val="00D22552"/>
    <w:rsid w:val="00D22648"/>
    <w:rsid w:val="00D226A9"/>
    <w:rsid w:val="00D227A6"/>
    <w:rsid w:val="00D227F7"/>
    <w:rsid w:val="00D22804"/>
    <w:rsid w:val="00D2282A"/>
    <w:rsid w:val="00D22A8E"/>
    <w:rsid w:val="00D22B38"/>
    <w:rsid w:val="00D22D4E"/>
    <w:rsid w:val="00D22DCD"/>
    <w:rsid w:val="00D22E32"/>
    <w:rsid w:val="00D22EDE"/>
    <w:rsid w:val="00D22F43"/>
    <w:rsid w:val="00D22F95"/>
    <w:rsid w:val="00D230F3"/>
    <w:rsid w:val="00D23135"/>
    <w:rsid w:val="00D2314A"/>
    <w:rsid w:val="00D2315B"/>
    <w:rsid w:val="00D231F8"/>
    <w:rsid w:val="00D23481"/>
    <w:rsid w:val="00D234F2"/>
    <w:rsid w:val="00D234F8"/>
    <w:rsid w:val="00D2397A"/>
    <w:rsid w:val="00D23AF5"/>
    <w:rsid w:val="00D23C9F"/>
    <w:rsid w:val="00D23DAA"/>
    <w:rsid w:val="00D23EA6"/>
    <w:rsid w:val="00D24188"/>
    <w:rsid w:val="00D2426F"/>
    <w:rsid w:val="00D242AB"/>
    <w:rsid w:val="00D242C5"/>
    <w:rsid w:val="00D242CB"/>
    <w:rsid w:val="00D24429"/>
    <w:rsid w:val="00D2458B"/>
    <w:rsid w:val="00D24643"/>
    <w:rsid w:val="00D246C5"/>
    <w:rsid w:val="00D2473F"/>
    <w:rsid w:val="00D24862"/>
    <w:rsid w:val="00D248DB"/>
    <w:rsid w:val="00D248E2"/>
    <w:rsid w:val="00D24990"/>
    <w:rsid w:val="00D24D56"/>
    <w:rsid w:val="00D24F8E"/>
    <w:rsid w:val="00D2515E"/>
    <w:rsid w:val="00D25167"/>
    <w:rsid w:val="00D251BB"/>
    <w:rsid w:val="00D251C8"/>
    <w:rsid w:val="00D2527F"/>
    <w:rsid w:val="00D252A9"/>
    <w:rsid w:val="00D253AC"/>
    <w:rsid w:val="00D2541E"/>
    <w:rsid w:val="00D25476"/>
    <w:rsid w:val="00D25572"/>
    <w:rsid w:val="00D25580"/>
    <w:rsid w:val="00D255F0"/>
    <w:rsid w:val="00D25607"/>
    <w:rsid w:val="00D2595A"/>
    <w:rsid w:val="00D25BB7"/>
    <w:rsid w:val="00D25C27"/>
    <w:rsid w:val="00D25FD3"/>
    <w:rsid w:val="00D26038"/>
    <w:rsid w:val="00D26041"/>
    <w:rsid w:val="00D26261"/>
    <w:rsid w:val="00D2638C"/>
    <w:rsid w:val="00D263EA"/>
    <w:rsid w:val="00D2641F"/>
    <w:rsid w:val="00D26522"/>
    <w:rsid w:val="00D26671"/>
    <w:rsid w:val="00D26758"/>
    <w:rsid w:val="00D26811"/>
    <w:rsid w:val="00D26A1B"/>
    <w:rsid w:val="00D26D1D"/>
    <w:rsid w:val="00D26EAF"/>
    <w:rsid w:val="00D26EDC"/>
    <w:rsid w:val="00D26EE1"/>
    <w:rsid w:val="00D26F5C"/>
    <w:rsid w:val="00D27006"/>
    <w:rsid w:val="00D270D6"/>
    <w:rsid w:val="00D270E9"/>
    <w:rsid w:val="00D271DF"/>
    <w:rsid w:val="00D274DF"/>
    <w:rsid w:val="00D27508"/>
    <w:rsid w:val="00D2774B"/>
    <w:rsid w:val="00D277CF"/>
    <w:rsid w:val="00D27837"/>
    <w:rsid w:val="00D278E8"/>
    <w:rsid w:val="00D27B1A"/>
    <w:rsid w:val="00D27BAD"/>
    <w:rsid w:val="00D27CDB"/>
    <w:rsid w:val="00D27D22"/>
    <w:rsid w:val="00D27E7E"/>
    <w:rsid w:val="00D27F12"/>
    <w:rsid w:val="00D27F97"/>
    <w:rsid w:val="00D3040D"/>
    <w:rsid w:val="00D304C9"/>
    <w:rsid w:val="00D305FC"/>
    <w:rsid w:val="00D30711"/>
    <w:rsid w:val="00D30742"/>
    <w:rsid w:val="00D30970"/>
    <w:rsid w:val="00D30E59"/>
    <w:rsid w:val="00D3107C"/>
    <w:rsid w:val="00D31433"/>
    <w:rsid w:val="00D314BE"/>
    <w:rsid w:val="00D31541"/>
    <w:rsid w:val="00D31846"/>
    <w:rsid w:val="00D318C4"/>
    <w:rsid w:val="00D31935"/>
    <w:rsid w:val="00D31BFA"/>
    <w:rsid w:val="00D31C81"/>
    <w:rsid w:val="00D31FB4"/>
    <w:rsid w:val="00D320AC"/>
    <w:rsid w:val="00D32116"/>
    <w:rsid w:val="00D32140"/>
    <w:rsid w:val="00D32167"/>
    <w:rsid w:val="00D322B5"/>
    <w:rsid w:val="00D32420"/>
    <w:rsid w:val="00D32582"/>
    <w:rsid w:val="00D3260D"/>
    <w:rsid w:val="00D3273A"/>
    <w:rsid w:val="00D3274E"/>
    <w:rsid w:val="00D327CD"/>
    <w:rsid w:val="00D327E3"/>
    <w:rsid w:val="00D327FC"/>
    <w:rsid w:val="00D3296C"/>
    <w:rsid w:val="00D32B18"/>
    <w:rsid w:val="00D32C17"/>
    <w:rsid w:val="00D32EA7"/>
    <w:rsid w:val="00D32EAC"/>
    <w:rsid w:val="00D32F39"/>
    <w:rsid w:val="00D3300E"/>
    <w:rsid w:val="00D33070"/>
    <w:rsid w:val="00D331FF"/>
    <w:rsid w:val="00D33220"/>
    <w:rsid w:val="00D3322E"/>
    <w:rsid w:val="00D33309"/>
    <w:rsid w:val="00D33348"/>
    <w:rsid w:val="00D33388"/>
    <w:rsid w:val="00D335F8"/>
    <w:rsid w:val="00D336AF"/>
    <w:rsid w:val="00D339D1"/>
    <w:rsid w:val="00D33A9B"/>
    <w:rsid w:val="00D33D8B"/>
    <w:rsid w:val="00D33E28"/>
    <w:rsid w:val="00D34064"/>
    <w:rsid w:val="00D340CC"/>
    <w:rsid w:val="00D340EA"/>
    <w:rsid w:val="00D34250"/>
    <w:rsid w:val="00D343D7"/>
    <w:rsid w:val="00D3441B"/>
    <w:rsid w:val="00D34477"/>
    <w:rsid w:val="00D34799"/>
    <w:rsid w:val="00D348DA"/>
    <w:rsid w:val="00D34A30"/>
    <w:rsid w:val="00D34AC9"/>
    <w:rsid w:val="00D34B94"/>
    <w:rsid w:val="00D352EB"/>
    <w:rsid w:val="00D3537B"/>
    <w:rsid w:val="00D355D2"/>
    <w:rsid w:val="00D3566F"/>
    <w:rsid w:val="00D35706"/>
    <w:rsid w:val="00D35727"/>
    <w:rsid w:val="00D3579B"/>
    <w:rsid w:val="00D35987"/>
    <w:rsid w:val="00D35989"/>
    <w:rsid w:val="00D35A5F"/>
    <w:rsid w:val="00D35C0F"/>
    <w:rsid w:val="00D35DAC"/>
    <w:rsid w:val="00D35DE0"/>
    <w:rsid w:val="00D35E47"/>
    <w:rsid w:val="00D35E8E"/>
    <w:rsid w:val="00D3624C"/>
    <w:rsid w:val="00D36511"/>
    <w:rsid w:val="00D36616"/>
    <w:rsid w:val="00D36686"/>
    <w:rsid w:val="00D36697"/>
    <w:rsid w:val="00D366A3"/>
    <w:rsid w:val="00D3674D"/>
    <w:rsid w:val="00D36786"/>
    <w:rsid w:val="00D36855"/>
    <w:rsid w:val="00D36BC7"/>
    <w:rsid w:val="00D36DF8"/>
    <w:rsid w:val="00D36F92"/>
    <w:rsid w:val="00D3704A"/>
    <w:rsid w:val="00D371B4"/>
    <w:rsid w:val="00D37207"/>
    <w:rsid w:val="00D3726D"/>
    <w:rsid w:val="00D37279"/>
    <w:rsid w:val="00D374BE"/>
    <w:rsid w:val="00D374E9"/>
    <w:rsid w:val="00D37525"/>
    <w:rsid w:val="00D37753"/>
    <w:rsid w:val="00D3780A"/>
    <w:rsid w:val="00D37976"/>
    <w:rsid w:val="00D379DC"/>
    <w:rsid w:val="00D37D71"/>
    <w:rsid w:val="00D37E93"/>
    <w:rsid w:val="00D4011F"/>
    <w:rsid w:val="00D40199"/>
    <w:rsid w:val="00D40258"/>
    <w:rsid w:val="00D40261"/>
    <w:rsid w:val="00D40295"/>
    <w:rsid w:val="00D40359"/>
    <w:rsid w:val="00D40489"/>
    <w:rsid w:val="00D4049D"/>
    <w:rsid w:val="00D407E7"/>
    <w:rsid w:val="00D40805"/>
    <w:rsid w:val="00D409B4"/>
    <w:rsid w:val="00D40A98"/>
    <w:rsid w:val="00D40B68"/>
    <w:rsid w:val="00D40C24"/>
    <w:rsid w:val="00D40CD9"/>
    <w:rsid w:val="00D40D46"/>
    <w:rsid w:val="00D40FD9"/>
    <w:rsid w:val="00D41074"/>
    <w:rsid w:val="00D410F7"/>
    <w:rsid w:val="00D41215"/>
    <w:rsid w:val="00D413FB"/>
    <w:rsid w:val="00D4143C"/>
    <w:rsid w:val="00D416F5"/>
    <w:rsid w:val="00D41ADE"/>
    <w:rsid w:val="00D41BB5"/>
    <w:rsid w:val="00D41C1C"/>
    <w:rsid w:val="00D41C4A"/>
    <w:rsid w:val="00D41D67"/>
    <w:rsid w:val="00D41E5C"/>
    <w:rsid w:val="00D42023"/>
    <w:rsid w:val="00D42080"/>
    <w:rsid w:val="00D420D2"/>
    <w:rsid w:val="00D4225A"/>
    <w:rsid w:val="00D42377"/>
    <w:rsid w:val="00D424E2"/>
    <w:rsid w:val="00D4257E"/>
    <w:rsid w:val="00D425BD"/>
    <w:rsid w:val="00D425CA"/>
    <w:rsid w:val="00D4271F"/>
    <w:rsid w:val="00D4282B"/>
    <w:rsid w:val="00D42C7E"/>
    <w:rsid w:val="00D42CD4"/>
    <w:rsid w:val="00D42EA1"/>
    <w:rsid w:val="00D42EA5"/>
    <w:rsid w:val="00D42F4E"/>
    <w:rsid w:val="00D43013"/>
    <w:rsid w:val="00D431AD"/>
    <w:rsid w:val="00D4327A"/>
    <w:rsid w:val="00D433B0"/>
    <w:rsid w:val="00D43401"/>
    <w:rsid w:val="00D43410"/>
    <w:rsid w:val="00D4346E"/>
    <w:rsid w:val="00D43694"/>
    <w:rsid w:val="00D4369A"/>
    <w:rsid w:val="00D436C3"/>
    <w:rsid w:val="00D437C5"/>
    <w:rsid w:val="00D437E8"/>
    <w:rsid w:val="00D43924"/>
    <w:rsid w:val="00D43B99"/>
    <w:rsid w:val="00D43C07"/>
    <w:rsid w:val="00D43C3E"/>
    <w:rsid w:val="00D43D07"/>
    <w:rsid w:val="00D43DFE"/>
    <w:rsid w:val="00D43E2F"/>
    <w:rsid w:val="00D43E88"/>
    <w:rsid w:val="00D43FC2"/>
    <w:rsid w:val="00D44050"/>
    <w:rsid w:val="00D44238"/>
    <w:rsid w:val="00D44496"/>
    <w:rsid w:val="00D445C1"/>
    <w:rsid w:val="00D446B1"/>
    <w:rsid w:val="00D44937"/>
    <w:rsid w:val="00D449D8"/>
    <w:rsid w:val="00D44A21"/>
    <w:rsid w:val="00D44B8C"/>
    <w:rsid w:val="00D44B8D"/>
    <w:rsid w:val="00D44CF4"/>
    <w:rsid w:val="00D44D1E"/>
    <w:rsid w:val="00D44D8E"/>
    <w:rsid w:val="00D44F3D"/>
    <w:rsid w:val="00D44F9B"/>
    <w:rsid w:val="00D4530E"/>
    <w:rsid w:val="00D45364"/>
    <w:rsid w:val="00D45374"/>
    <w:rsid w:val="00D4550C"/>
    <w:rsid w:val="00D45576"/>
    <w:rsid w:val="00D455A1"/>
    <w:rsid w:val="00D455D7"/>
    <w:rsid w:val="00D45753"/>
    <w:rsid w:val="00D457C3"/>
    <w:rsid w:val="00D4591A"/>
    <w:rsid w:val="00D4597A"/>
    <w:rsid w:val="00D45AE7"/>
    <w:rsid w:val="00D45C3F"/>
    <w:rsid w:val="00D45D12"/>
    <w:rsid w:val="00D45FA1"/>
    <w:rsid w:val="00D46068"/>
    <w:rsid w:val="00D46112"/>
    <w:rsid w:val="00D461B4"/>
    <w:rsid w:val="00D46219"/>
    <w:rsid w:val="00D46228"/>
    <w:rsid w:val="00D46462"/>
    <w:rsid w:val="00D468F1"/>
    <w:rsid w:val="00D469D0"/>
    <w:rsid w:val="00D469F1"/>
    <w:rsid w:val="00D46A94"/>
    <w:rsid w:val="00D46AB6"/>
    <w:rsid w:val="00D46B2A"/>
    <w:rsid w:val="00D46B30"/>
    <w:rsid w:val="00D46C25"/>
    <w:rsid w:val="00D46FCD"/>
    <w:rsid w:val="00D470E6"/>
    <w:rsid w:val="00D47322"/>
    <w:rsid w:val="00D47433"/>
    <w:rsid w:val="00D474A9"/>
    <w:rsid w:val="00D47542"/>
    <w:rsid w:val="00D478B1"/>
    <w:rsid w:val="00D47942"/>
    <w:rsid w:val="00D47A57"/>
    <w:rsid w:val="00D47ACD"/>
    <w:rsid w:val="00D47D1A"/>
    <w:rsid w:val="00D47DA4"/>
    <w:rsid w:val="00D47FE4"/>
    <w:rsid w:val="00D50159"/>
    <w:rsid w:val="00D50217"/>
    <w:rsid w:val="00D502D8"/>
    <w:rsid w:val="00D502E4"/>
    <w:rsid w:val="00D50587"/>
    <w:rsid w:val="00D506A5"/>
    <w:rsid w:val="00D507D6"/>
    <w:rsid w:val="00D508ED"/>
    <w:rsid w:val="00D50912"/>
    <w:rsid w:val="00D50928"/>
    <w:rsid w:val="00D50B38"/>
    <w:rsid w:val="00D50B63"/>
    <w:rsid w:val="00D50B6F"/>
    <w:rsid w:val="00D50C7C"/>
    <w:rsid w:val="00D50CFD"/>
    <w:rsid w:val="00D50FBF"/>
    <w:rsid w:val="00D510B3"/>
    <w:rsid w:val="00D51111"/>
    <w:rsid w:val="00D5131E"/>
    <w:rsid w:val="00D51358"/>
    <w:rsid w:val="00D513D8"/>
    <w:rsid w:val="00D51516"/>
    <w:rsid w:val="00D51768"/>
    <w:rsid w:val="00D517E3"/>
    <w:rsid w:val="00D517F7"/>
    <w:rsid w:val="00D51952"/>
    <w:rsid w:val="00D519D6"/>
    <w:rsid w:val="00D51CB6"/>
    <w:rsid w:val="00D51EA3"/>
    <w:rsid w:val="00D51EAA"/>
    <w:rsid w:val="00D5203A"/>
    <w:rsid w:val="00D52206"/>
    <w:rsid w:val="00D52270"/>
    <w:rsid w:val="00D52372"/>
    <w:rsid w:val="00D523AB"/>
    <w:rsid w:val="00D52470"/>
    <w:rsid w:val="00D52668"/>
    <w:rsid w:val="00D52674"/>
    <w:rsid w:val="00D526F4"/>
    <w:rsid w:val="00D52778"/>
    <w:rsid w:val="00D527DC"/>
    <w:rsid w:val="00D52C42"/>
    <w:rsid w:val="00D52C4B"/>
    <w:rsid w:val="00D52D45"/>
    <w:rsid w:val="00D53018"/>
    <w:rsid w:val="00D53057"/>
    <w:rsid w:val="00D530E0"/>
    <w:rsid w:val="00D5312F"/>
    <w:rsid w:val="00D532E8"/>
    <w:rsid w:val="00D533F1"/>
    <w:rsid w:val="00D536FA"/>
    <w:rsid w:val="00D53768"/>
    <w:rsid w:val="00D53865"/>
    <w:rsid w:val="00D5391F"/>
    <w:rsid w:val="00D53AE8"/>
    <w:rsid w:val="00D53B9D"/>
    <w:rsid w:val="00D53BB5"/>
    <w:rsid w:val="00D53C00"/>
    <w:rsid w:val="00D53CA4"/>
    <w:rsid w:val="00D53D63"/>
    <w:rsid w:val="00D541AB"/>
    <w:rsid w:val="00D543FA"/>
    <w:rsid w:val="00D5447A"/>
    <w:rsid w:val="00D54492"/>
    <w:rsid w:val="00D54542"/>
    <w:rsid w:val="00D5467D"/>
    <w:rsid w:val="00D5487B"/>
    <w:rsid w:val="00D54918"/>
    <w:rsid w:val="00D54A4E"/>
    <w:rsid w:val="00D54A5C"/>
    <w:rsid w:val="00D54AC1"/>
    <w:rsid w:val="00D54B24"/>
    <w:rsid w:val="00D54BD1"/>
    <w:rsid w:val="00D54D15"/>
    <w:rsid w:val="00D54E65"/>
    <w:rsid w:val="00D54F7C"/>
    <w:rsid w:val="00D54FAC"/>
    <w:rsid w:val="00D5505D"/>
    <w:rsid w:val="00D551B2"/>
    <w:rsid w:val="00D551CA"/>
    <w:rsid w:val="00D55204"/>
    <w:rsid w:val="00D55298"/>
    <w:rsid w:val="00D55400"/>
    <w:rsid w:val="00D55493"/>
    <w:rsid w:val="00D554BA"/>
    <w:rsid w:val="00D554F9"/>
    <w:rsid w:val="00D55688"/>
    <w:rsid w:val="00D55905"/>
    <w:rsid w:val="00D55959"/>
    <w:rsid w:val="00D55A6E"/>
    <w:rsid w:val="00D55C88"/>
    <w:rsid w:val="00D55EA4"/>
    <w:rsid w:val="00D55EDA"/>
    <w:rsid w:val="00D56215"/>
    <w:rsid w:val="00D56271"/>
    <w:rsid w:val="00D5627D"/>
    <w:rsid w:val="00D562FA"/>
    <w:rsid w:val="00D5657F"/>
    <w:rsid w:val="00D5674D"/>
    <w:rsid w:val="00D567B6"/>
    <w:rsid w:val="00D5684F"/>
    <w:rsid w:val="00D56907"/>
    <w:rsid w:val="00D569DE"/>
    <w:rsid w:val="00D569F0"/>
    <w:rsid w:val="00D56A60"/>
    <w:rsid w:val="00D56AA9"/>
    <w:rsid w:val="00D56C44"/>
    <w:rsid w:val="00D56D7E"/>
    <w:rsid w:val="00D56E01"/>
    <w:rsid w:val="00D56F0C"/>
    <w:rsid w:val="00D57073"/>
    <w:rsid w:val="00D57141"/>
    <w:rsid w:val="00D57185"/>
    <w:rsid w:val="00D571C1"/>
    <w:rsid w:val="00D5740F"/>
    <w:rsid w:val="00D576EA"/>
    <w:rsid w:val="00D57889"/>
    <w:rsid w:val="00D579E8"/>
    <w:rsid w:val="00D57ADD"/>
    <w:rsid w:val="00D57D5D"/>
    <w:rsid w:val="00D57F83"/>
    <w:rsid w:val="00D60065"/>
    <w:rsid w:val="00D60090"/>
    <w:rsid w:val="00D60277"/>
    <w:rsid w:val="00D603A3"/>
    <w:rsid w:val="00D603E5"/>
    <w:rsid w:val="00D60494"/>
    <w:rsid w:val="00D60676"/>
    <w:rsid w:val="00D60753"/>
    <w:rsid w:val="00D608DE"/>
    <w:rsid w:val="00D60B2A"/>
    <w:rsid w:val="00D60B7C"/>
    <w:rsid w:val="00D60B9E"/>
    <w:rsid w:val="00D60C01"/>
    <w:rsid w:val="00D60C52"/>
    <w:rsid w:val="00D60CBC"/>
    <w:rsid w:val="00D60D83"/>
    <w:rsid w:val="00D60E0F"/>
    <w:rsid w:val="00D60F00"/>
    <w:rsid w:val="00D60F16"/>
    <w:rsid w:val="00D60FBC"/>
    <w:rsid w:val="00D60FF7"/>
    <w:rsid w:val="00D610D6"/>
    <w:rsid w:val="00D61300"/>
    <w:rsid w:val="00D615B4"/>
    <w:rsid w:val="00D615ED"/>
    <w:rsid w:val="00D616BE"/>
    <w:rsid w:val="00D616EA"/>
    <w:rsid w:val="00D61755"/>
    <w:rsid w:val="00D6178F"/>
    <w:rsid w:val="00D61836"/>
    <w:rsid w:val="00D61892"/>
    <w:rsid w:val="00D61970"/>
    <w:rsid w:val="00D619C1"/>
    <w:rsid w:val="00D61B59"/>
    <w:rsid w:val="00D61B8C"/>
    <w:rsid w:val="00D61BDD"/>
    <w:rsid w:val="00D61C13"/>
    <w:rsid w:val="00D61CD7"/>
    <w:rsid w:val="00D61D16"/>
    <w:rsid w:val="00D61D4F"/>
    <w:rsid w:val="00D61DD0"/>
    <w:rsid w:val="00D61EAE"/>
    <w:rsid w:val="00D6216D"/>
    <w:rsid w:val="00D6221F"/>
    <w:rsid w:val="00D622A2"/>
    <w:rsid w:val="00D62306"/>
    <w:rsid w:val="00D6232D"/>
    <w:rsid w:val="00D62347"/>
    <w:rsid w:val="00D623FA"/>
    <w:rsid w:val="00D624FB"/>
    <w:rsid w:val="00D6286D"/>
    <w:rsid w:val="00D62A6C"/>
    <w:rsid w:val="00D62B30"/>
    <w:rsid w:val="00D62B5E"/>
    <w:rsid w:val="00D62BB2"/>
    <w:rsid w:val="00D62C5E"/>
    <w:rsid w:val="00D62C8E"/>
    <w:rsid w:val="00D62D8E"/>
    <w:rsid w:val="00D62E9C"/>
    <w:rsid w:val="00D6301C"/>
    <w:rsid w:val="00D63129"/>
    <w:rsid w:val="00D6330D"/>
    <w:rsid w:val="00D6337F"/>
    <w:rsid w:val="00D6349C"/>
    <w:rsid w:val="00D6355A"/>
    <w:rsid w:val="00D63624"/>
    <w:rsid w:val="00D63670"/>
    <w:rsid w:val="00D63676"/>
    <w:rsid w:val="00D6392C"/>
    <w:rsid w:val="00D63BF6"/>
    <w:rsid w:val="00D63E79"/>
    <w:rsid w:val="00D640D5"/>
    <w:rsid w:val="00D64148"/>
    <w:rsid w:val="00D642C2"/>
    <w:rsid w:val="00D64300"/>
    <w:rsid w:val="00D64445"/>
    <w:rsid w:val="00D644B4"/>
    <w:rsid w:val="00D645C0"/>
    <w:rsid w:val="00D64606"/>
    <w:rsid w:val="00D6462C"/>
    <w:rsid w:val="00D6471F"/>
    <w:rsid w:val="00D64730"/>
    <w:rsid w:val="00D6476E"/>
    <w:rsid w:val="00D6481E"/>
    <w:rsid w:val="00D64827"/>
    <w:rsid w:val="00D64B00"/>
    <w:rsid w:val="00D64CAA"/>
    <w:rsid w:val="00D64E6B"/>
    <w:rsid w:val="00D65136"/>
    <w:rsid w:val="00D6539B"/>
    <w:rsid w:val="00D6567B"/>
    <w:rsid w:val="00D656E5"/>
    <w:rsid w:val="00D65890"/>
    <w:rsid w:val="00D659BA"/>
    <w:rsid w:val="00D65D07"/>
    <w:rsid w:val="00D65D80"/>
    <w:rsid w:val="00D65DC3"/>
    <w:rsid w:val="00D65F0E"/>
    <w:rsid w:val="00D65F56"/>
    <w:rsid w:val="00D66130"/>
    <w:rsid w:val="00D661A9"/>
    <w:rsid w:val="00D667FA"/>
    <w:rsid w:val="00D66834"/>
    <w:rsid w:val="00D668D5"/>
    <w:rsid w:val="00D66A6F"/>
    <w:rsid w:val="00D66DF5"/>
    <w:rsid w:val="00D6706F"/>
    <w:rsid w:val="00D670DE"/>
    <w:rsid w:val="00D6726A"/>
    <w:rsid w:val="00D67372"/>
    <w:rsid w:val="00D6747A"/>
    <w:rsid w:val="00D6773D"/>
    <w:rsid w:val="00D67861"/>
    <w:rsid w:val="00D67918"/>
    <w:rsid w:val="00D67AD6"/>
    <w:rsid w:val="00D67BD0"/>
    <w:rsid w:val="00D67C1F"/>
    <w:rsid w:val="00D67C9D"/>
    <w:rsid w:val="00D67F8E"/>
    <w:rsid w:val="00D67FBE"/>
    <w:rsid w:val="00D70007"/>
    <w:rsid w:val="00D701C9"/>
    <w:rsid w:val="00D7025A"/>
    <w:rsid w:val="00D7026B"/>
    <w:rsid w:val="00D704EB"/>
    <w:rsid w:val="00D705A4"/>
    <w:rsid w:val="00D705DB"/>
    <w:rsid w:val="00D705ED"/>
    <w:rsid w:val="00D70612"/>
    <w:rsid w:val="00D70657"/>
    <w:rsid w:val="00D7072D"/>
    <w:rsid w:val="00D707EA"/>
    <w:rsid w:val="00D70807"/>
    <w:rsid w:val="00D7081B"/>
    <w:rsid w:val="00D7093C"/>
    <w:rsid w:val="00D70B0D"/>
    <w:rsid w:val="00D70CD3"/>
    <w:rsid w:val="00D70F52"/>
    <w:rsid w:val="00D70FA1"/>
    <w:rsid w:val="00D71021"/>
    <w:rsid w:val="00D71033"/>
    <w:rsid w:val="00D7113E"/>
    <w:rsid w:val="00D7117A"/>
    <w:rsid w:val="00D7134F"/>
    <w:rsid w:val="00D71470"/>
    <w:rsid w:val="00D7147F"/>
    <w:rsid w:val="00D715CB"/>
    <w:rsid w:val="00D717C0"/>
    <w:rsid w:val="00D7184A"/>
    <w:rsid w:val="00D71B65"/>
    <w:rsid w:val="00D71CD6"/>
    <w:rsid w:val="00D71DF7"/>
    <w:rsid w:val="00D71E51"/>
    <w:rsid w:val="00D71E57"/>
    <w:rsid w:val="00D72031"/>
    <w:rsid w:val="00D7227E"/>
    <w:rsid w:val="00D7232C"/>
    <w:rsid w:val="00D72405"/>
    <w:rsid w:val="00D72571"/>
    <w:rsid w:val="00D72653"/>
    <w:rsid w:val="00D72774"/>
    <w:rsid w:val="00D7285F"/>
    <w:rsid w:val="00D728C8"/>
    <w:rsid w:val="00D72BE0"/>
    <w:rsid w:val="00D72C6F"/>
    <w:rsid w:val="00D72C91"/>
    <w:rsid w:val="00D72D89"/>
    <w:rsid w:val="00D72E18"/>
    <w:rsid w:val="00D72E3A"/>
    <w:rsid w:val="00D730AE"/>
    <w:rsid w:val="00D733F9"/>
    <w:rsid w:val="00D736A0"/>
    <w:rsid w:val="00D7396D"/>
    <w:rsid w:val="00D73B7A"/>
    <w:rsid w:val="00D73BFA"/>
    <w:rsid w:val="00D73D21"/>
    <w:rsid w:val="00D73E00"/>
    <w:rsid w:val="00D73E6B"/>
    <w:rsid w:val="00D74010"/>
    <w:rsid w:val="00D74243"/>
    <w:rsid w:val="00D74262"/>
    <w:rsid w:val="00D74355"/>
    <w:rsid w:val="00D7436A"/>
    <w:rsid w:val="00D744EF"/>
    <w:rsid w:val="00D7453A"/>
    <w:rsid w:val="00D745AB"/>
    <w:rsid w:val="00D74933"/>
    <w:rsid w:val="00D74E07"/>
    <w:rsid w:val="00D74E49"/>
    <w:rsid w:val="00D75199"/>
    <w:rsid w:val="00D751CD"/>
    <w:rsid w:val="00D75657"/>
    <w:rsid w:val="00D7568B"/>
    <w:rsid w:val="00D75698"/>
    <w:rsid w:val="00D75A75"/>
    <w:rsid w:val="00D75A94"/>
    <w:rsid w:val="00D75B89"/>
    <w:rsid w:val="00D75BA7"/>
    <w:rsid w:val="00D75BBC"/>
    <w:rsid w:val="00D75D07"/>
    <w:rsid w:val="00D75DDE"/>
    <w:rsid w:val="00D75DF7"/>
    <w:rsid w:val="00D75E0C"/>
    <w:rsid w:val="00D75E77"/>
    <w:rsid w:val="00D75E84"/>
    <w:rsid w:val="00D7651B"/>
    <w:rsid w:val="00D765B6"/>
    <w:rsid w:val="00D76AFA"/>
    <w:rsid w:val="00D76EF1"/>
    <w:rsid w:val="00D77086"/>
    <w:rsid w:val="00D77116"/>
    <w:rsid w:val="00D77168"/>
    <w:rsid w:val="00D7725D"/>
    <w:rsid w:val="00D77296"/>
    <w:rsid w:val="00D772E1"/>
    <w:rsid w:val="00D7738E"/>
    <w:rsid w:val="00D773B7"/>
    <w:rsid w:val="00D773E5"/>
    <w:rsid w:val="00D7740F"/>
    <w:rsid w:val="00D77864"/>
    <w:rsid w:val="00D779EA"/>
    <w:rsid w:val="00D77D2F"/>
    <w:rsid w:val="00D77D62"/>
    <w:rsid w:val="00D77DDC"/>
    <w:rsid w:val="00D77F96"/>
    <w:rsid w:val="00D77FF9"/>
    <w:rsid w:val="00D801AA"/>
    <w:rsid w:val="00D801EB"/>
    <w:rsid w:val="00D803CC"/>
    <w:rsid w:val="00D8049A"/>
    <w:rsid w:val="00D80562"/>
    <w:rsid w:val="00D805AE"/>
    <w:rsid w:val="00D805E4"/>
    <w:rsid w:val="00D80638"/>
    <w:rsid w:val="00D80734"/>
    <w:rsid w:val="00D8083B"/>
    <w:rsid w:val="00D80953"/>
    <w:rsid w:val="00D80A91"/>
    <w:rsid w:val="00D80ED3"/>
    <w:rsid w:val="00D81138"/>
    <w:rsid w:val="00D81182"/>
    <w:rsid w:val="00D81233"/>
    <w:rsid w:val="00D81614"/>
    <w:rsid w:val="00D817A4"/>
    <w:rsid w:val="00D81905"/>
    <w:rsid w:val="00D8196D"/>
    <w:rsid w:val="00D81A30"/>
    <w:rsid w:val="00D81AF9"/>
    <w:rsid w:val="00D81BAF"/>
    <w:rsid w:val="00D81CFE"/>
    <w:rsid w:val="00D81F9F"/>
    <w:rsid w:val="00D8208D"/>
    <w:rsid w:val="00D82168"/>
    <w:rsid w:val="00D822FA"/>
    <w:rsid w:val="00D8240C"/>
    <w:rsid w:val="00D82441"/>
    <w:rsid w:val="00D824A5"/>
    <w:rsid w:val="00D824B1"/>
    <w:rsid w:val="00D825C1"/>
    <w:rsid w:val="00D82A0B"/>
    <w:rsid w:val="00D82A93"/>
    <w:rsid w:val="00D82B80"/>
    <w:rsid w:val="00D82C67"/>
    <w:rsid w:val="00D83045"/>
    <w:rsid w:val="00D8311E"/>
    <w:rsid w:val="00D832D3"/>
    <w:rsid w:val="00D836C9"/>
    <w:rsid w:val="00D83813"/>
    <w:rsid w:val="00D83835"/>
    <w:rsid w:val="00D838F5"/>
    <w:rsid w:val="00D839B6"/>
    <w:rsid w:val="00D83A74"/>
    <w:rsid w:val="00D83AEA"/>
    <w:rsid w:val="00D83B96"/>
    <w:rsid w:val="00D83B9D"/>
    <w:rsid w:val="00D83C4A"/>
    <w:rsid w:val="00D83E1C"/>
    <w:rsid w:val="00D83F1D"/>
    <w:rsid w:val="00D844A4"/>
    <w:rsid w:val="00D8451F"/>
    <w:rsid w:val="00D845A4"/>
    <w:rsid w:val="00D846BC"/>
    <w:rsid w:val="00D847D9"/>
    <w:rsid w:val="00D848BD"/>
    <w:rsid w:val="00D848DA"/>
    <w:rsid w:val="00D84A12"/>
    <w:rsid w:val="00D84A30"/>
    <w:rsid w:val="00D84B98"/>
    <w:rsid w:val="00D84CAD"/>
    <w:rsid w:val="00D84CF4"/>
    <w:rsid w:val="00D84D7A"/>
    <w:rsid w:val="00D84DB7"/>
    <w:rsid w:val="00D84E40"/>
    <w:rsid w:val="00D84ED6"/>
    <w:rsid w:val="00D84F12"/>
    <w:rsid w:val="00D84FC8"/>
    <w:rsid w:val="00D84FEF"/>
    <w:rsid w:val="00D8507C"/>
    <w:rsid w:val="00D85170"/>
    <w:rsid w:val="00D852C4"/>
    <w:rsid w:val="00D8545E"/>
    <w:rsid w:val="00D8557D"/>
    <w:rsid w:val="00D855FB"/>
    <w:rsid w:val="00D85704"/>
    <w:rsid w:val="00D859E4"/>
    <w:rsid w:val="00D85AF7"/>
    <w:rsid w:val="00D85C50"/>
    <w:rsid w:val="00D85D0A"/>
    <w:rsid w:val="00D85D16"/>
    <w:rsid w:val="00D85EB2"/>
    <w:rsid w:val="00D85FD7"/>
    <w:rsid w:val="00D86058"/>
    <w:rsid w:val="00D861BC"/>
    <w:rsid w:val="00D8632D"/>
    <w:rsid w:val="00D864B3"/>
    <w:rsid w:val="00D86565"/>
    <w:rsid w:val="00D865D3"/>
    <w:rsid w:val="00D865F3"/>
    <w:rsid w:val="00D866C2"/>
    <w:rsid w:val="00D86791"/>
    <w:rsid w:val="00D867B0"/>
    <w:rsid w:val="00D869E6"/>
    <w:rsid w:val="00D86AA8"/>
    <w:rsid w:val="00D86B22"/>
    <w:rsid w:val="00D86C46"/>
    <w:rsid w:val="00D870EE"/>
    <w:rsid w:val="00D871C5"/>
    <w:rsid w:val="00D871EB"/>
    <w:rsid w:val="00D871F8"/>
    <w:rsid w:val="00D872C7"/>
    <w:rsid w:val="00D873F9"/>
    <w:rsid w:val="00D876C9"/>
    <w:rsid w:val="00D8784C"/>
    <w:rsid w:val="00D878F5"/>
    <w:rsid w:val="00D87924"/>
    <w:rsid w:val="00D87CB0"/>
    <w:rsid w:val="00D87CD3"/>
    <w:rsid w:val="00D87DDD"/>
    <w:rsid w:val="00D87E3A"/>
    <w:rsid w:val="00D87F1E"/>
    <w:rsid w:val="00D87F27"/>
    <w:rsid w:val="00D87F7E"/>
    <w:rsid w:val="00D9017E"/>
    <w:rsid w:val="00D902CC"/>
    <w:rsid w:val="00D902D9"/>
    <w:rsid w:val="00D90359"/>
    <w:rsid w:val="00D903E0"/>
    <w:rsid w:val="00D90571"/>
    <w:rsid w:val="00D9060A"/>
    <w:rsid w:val="00D906F8"/>
    <w:rsid w:val="00D9086A"/>
    <w:rsid w:val="00D908B6"/>
    <w:rsid w:val="00D90B86"/>
    <w:rsid w:val="00D90F03"/>
    <w:rsid w:val="00D90F29"/>
    <w:rsid w:val="00D910D8"/>
    <w:rsid w:val="00D91110"/>
    <w:rsid w:val="00D911F4"/>
    <w:rsid w:val="00D9124F"/>
    <w:rsid w:val="00D912D2"/>
    <w:rsid w:val="00D91308"/>
    <w:rsid w:val="00D91410"/>
    <w:rsid w:val="00D914A5"/>
    <w:rsid w:val="00D918FA"/>
    <w:rsid w:val="00D91A2A"/>
    <w:rsid w:val="00D91AE4"/>
    <w:rsid w:val="00D91B7A"/>
    <w:rsid w:val="00D91E45"/>
    <w:rsid w:val="00D91E93"/>
    <w:rsid w:val="00D91EE6"/>
    <w:rsid w:val="00D91FF2"/>
    <w:rsid w:val="00D92025"/>
    <w:rsid w:val="00D92036"/>
    <w:rsid w:val="00D921DA"/>
    <w:rsid w:val="00D92238"/>
    <w:rsid w:val="00D922F3"/>
    <w:rsid w:val="00D92379"/>
    <w:rsid w:val="00D92400"/>
    <w:rsid w:val="00D92567"/>
    <w:rsid w:val="00D925A8"/>
    <w:rsid w:val="00D9260E"/>
    <w:rsid w:val="00D928BF"/>
    <w:rsid w:val="00D92959"/>
    <w:rsid w:val="00D92A13"/>
    <w:rsid w:val="00D92AEF"/>
    <w:rsid w:val="00D92B3D"/>
    <w:rsid w:val="00D92B72"/>
    <w:rsid w:val="00D92BF3"/>
    <w:rsid w:val="00D92EC4"/>
    <w:rsid w:val="00D92FB9"/>
    <w:rsid w:val="00D932EF"/>
    <w:rsid w:val="00D93487"/>
    <w:rsid w:val="00D935EA"/>
    <w:rsid w:val="00D936D9"/>
    <w:rsid w:val="00D936FE"/>
    <w:rsid w:val="00D93731"/>
    <w:rsid w:val="00D938F7"/>
    <w:rsid w:val="00D939CA"/>
    <w:rsid w:val="00D93A61"/>
    <w:rsid w:val="00D93AC5"/>
    <w:rsid w:val="00D93B6B"/>
    <w:rsid w:val="00D93B9A"/>
    <w:rsid w:val="00D93BE0"/>
    <w:rsid w:val="00D93EA6"/>
    <w:rsid w:val="00D94385"/>
    <w:rsid w:val="00D9451A"/>
    <w:rsid w:val="00D94599"/>
    <w:rsid w:val="00D94610"/>
    <w:rsid w:val="00D94699"/>
    <w:rsid w:val="00D94A89"/>
    <w:rsid w:val="00D94BAF"/>
    <w:rsid w:val="00D95008"/>
    <w:rsid w:val="00D950B7"/>
    <w:rsid w:val="00D9522A"/>
    <w:rsid w:val="00D952CC"/>
    <w:rsid w:val="00D9533F"/>
    <w:rsid w:val="00D9534F"/>
    <w:rsid w:val="00D953AA"/>
    <w:rsid w:val="00D95421"/>
    <w:rsid w:val="00D955A0"/>
    <w:rsid w:val="00D9577B"/>
    <w:rsid w:val="00D957C6"/>
    <w:rsid w:val="00D959EC"/>
    <w:rsid w:val="00D95A79"/>
    <w:rsid w:val="00D95ABC"/>
    <w:rsid w:val="00D95AEB"/>
    <w:rsid w:val="00D95E45"/>
    <w:rsid w:val="00D95FFB"/>
    <w:rsid w:val="00D96050"/>
    <w:rsid w:val="00D961AA"/>
    <w:rsid w:val="00D961D1"/>
    <w:rsid w:val="00D961DE"/>
    <w:rsid w:val="00D9626C"/>
    <w:rsid w:val="00D96861"/>
    <w:rsid w:val="00D96938"/>
    <w:rsid w:val="00D96A6E"/>
    <w:rsid w:val="00D96B8F"/>
    <w:rsid w:val="00D96BAE"/>
    <w:rsid w:val="00D96E58"/>
    <w:rsid w:val="00D96E66"/>
    <w:rsid w:val="00D97093"/>
    <w:rsid w:val="00D97348"/>
    <w:rsid w:val="00D97579"/>
    <w:rsid w:val="00D97748"/>
    <w:rsid w:val="00D977A9"/>
    <w:rsid w:val="00D9798A"/>
    <w:rsid w:val="00D97AB8"/>
    <w:rsid w:val="00D97BE3"/>
    <w:rsid w:val="00D97BE6"/>
    <w:rsid w:val="00D97BEA"/>
    <w:rsid w:val="00D97C6A"/>
    <w:rsid w:val="00D97E11"/>
    <w:rsid w:val="00D97ED4"/>
    <w:rsid w:val="00DA0054"/>
    <w:rsid w:val="00DA008E"/>
    <w:rsid w:val="00DA00BA"/>
    <w:rsid w:val="00DA00D2"/>
    <w:rsid w:val="00DA015E"/>
    <w:rsid w:val="00DA0195"/>
    <w:rsid w:val="00DA0257"/>
    <w:rsid w:val="00DA02B0"/>
    <w:rsid w:val="00DA04AF"/>
    <w:rsid w:val="00DA04FE"/>
    <w:rsid w:val="00DA056D"/>
    <w:rsid w:val="00DA0830"/>
    <w:rsid w:val="00DA08B0"/>
    <w:rsid w:val="00DA0A52"/>
    <w:rsid w:val="00DA0BB9"/>
    <w:rsid w:val="00DA0BE9"/>
    <w:rsid w:val="00DA0C45"/>
    <w:rsid w:val="00DA0C4A"/>
    <w:rsid w:val="00DA0D1D"/>
    <w:rsid w:val="00DA0D25"/>
    <w:rsid w:val="00DA10CB"/>
    <w:rsid w:val="00DA118C"/>
    <w:rsid w:val="00DA13F2"/>
    <w:rsid w:val="00DA14AE"/>
    <w:rsid w:val="00DA16EC"/>
    <w:rsid w:val="00DA1914"/>
    <w:rsid w:val="00DA1A1B"/>
    <w:rsid w:val="00DA1A24"/>
    <w:rsid w:val="00DA1A87"/>
    <w:rsid w:val="00DA1DBA"/>
    <w:rsid w:val="00DA1ECC"/>
    <w:rsid w:val="00DA1EF3"/>
    <w:rsid w:val="00DA1EF4"/>
    <w:rsid w:val="00DA1F20"/>
    <w:rsid w:val="00DA21C2"/>
    <w:rsid w:val="00DA21CB"/>
    <w:rsid w:val="00DA21DA"/>
    <w:rsid w:val="00DA21EB"/>
    <w:rsid w:val="00DA22C7"/>
    <w:rsid w:val="00DA2331"/>
    <w:rsid w:val="00DA23D3"/>
    <w:rsid w:val="00DA2485"/>
    <w:rsid w:val="00DA269E"/>
    <w:rsid w:val="00DA273B"/>
    <w:rsid w:val="00DA290A"/>
    <w:rsid w:val="00DA2AAD"/>
    <w:rsid w:val="00DA2B01"/>
    <w:rsid w:val="00DA2BB5"/>
    <w:rsid w:val="00DA2CDD"/>
    <w:rsid w:val="00DA2EA3"/>
    <w:rsid w:val="00DA2F65"/>
    <w:rsid w:val="00DA3175"/>
    <w:rsid w:val="00DA3321"/>
    <w:rsid w:val="00DA3366"/>
    <w:rsid w:val="00DA33FC"/>
    <w:rsid w:val="00DA360E"/>
    <w:rsid w:val="00DA378F"/>
    <w:rsid w:val="00DA384D"/>
    <w:rsid w:val="00DA38F9"/>
    <w:rsid w:val="00DA3B29"/>
    <w:rsid w:val="00DA3B86"/>
    <w:rsid w:val="00DA3BD7"/>
    <w:rsid w:val="00DA3C69"/>
    <w:rsid w:val="00DA3F29"/>
    <w:rsid w:val="00DA40D3"/>
    <w:rsid w:val="00DA42F6"/>
    <w:rsid w:val="00DA434C"/>
    <w:rsid w:val="00DA44F3"/>
    <w:rsid w:val="00DA4624"/>
    <w:rsid w:val="00DA4681"/>
    <w:rsid w:val="00DA4711"/>
    <w:rsid w:val="00DA4853"/>
    <w:rsid w:val="00DA498C"/>
    <w:rsid w:val="00DA499C"/>
    <w:rsid w:val="00DA4B52"/>
    <w:rsid w:val="00DA4D90"/>
    <w:rsid w:val="00DA4E2E"/>
    <w:rsid w:val="00DA4E9C"/>
    <w:rsid w:val="00DA4F43"/>
    <w:rsid w:val="00DA4FBF"/>
    <w:rsid w:val="00DA505D"/>
    <w:rsid w:val="00DA508D"/>
    <w:rsid w:val="00DA50AE"/>
    <w:rsid w:val="00DA52B7"/>
    <w:rsid w:val="00DA53F5"/>
    <w:rsid w:val="00DA5466"/>
    <w:rsid w:val="00DA5725"/>
    <w:rsid w:val="00DA57FB"/>
    <w:rsid w:val="00DA5814"/>
    <w:rsid w:val="00DA58F2"/>
    <w:rsid w:val="00DA5A36"/>
    <w:rsid w:val="00DA5A57"/>
    <w:rsid w:val="00DA5CE3"/>
    <w:rsid w:val="00DA5D4D"/>
    <w:rsid w:val="00DA5DFB"/>
    <w:rsid w:val="00DA6056"/>
    <w:rsid w:val="00DA60C5"/>
    <w:rsid w:val="00DA6304"/>
    <w:rsid w:val="00DA6319"/>
    <w:rsid w:val="00DA6434"/>
    <w:rsid w:val="00DA65FC"/>
    <w:rsid w:val="00DA664C"/>
    <w:rsid w:val="00DA670B"/>
    <w:rsid w:val="00DA673A"/>
    <w:rsid w:val="00DA6AE8"/>
    <w:rsid w:val="00DA6BD1"/>
    <w:rsid w:val="00DA6BE2"/>
    <w:rsid w:val="00DA6C38"/>
    <w:rsid w:val="00DA6F0E"/>
    <w:rsid w:val="00DA6F3A"/>
    <w:rsid w:val="00DA7144"/>
    <w:rsid w:val="00DA722D"/>
    <w:rsid w:val="00DA72F1"/>
    <w:rsid w:val="00DA7561"/>
    <w:rsid w:val="00DA75B1"/>
    <w:rsid w:val="00DA7786"/>
    <w:rsid w:val="00DA7800"/>
    <w:rsid w:val="00DA7839"/>
    <w:rsid w:val="00DA7A67"/>
    <w:rsid w:val="00DA7A94"/>
    <w:rsid w:val="00DA7AC3"/>
    <w:rsid w:val="00DA7BB2"/>
    <w:rsid w:val="00DB004B"/>
    <w:rsid w:val="00DB0067"/>
    <w:rsid w:val="00DB01D3"/>
    <w:rsid w:val="00DB02B7"/>
    <w:rsid w:val="00DB0306"/>
    <w:rsid w:val="00DB0336"/>
    <w:rsid w:val="00DB0402"/>
    <w:rsid w:val="00DB04AE"/>
    <w:rsid w:val="00DB05D4"/>
    <w:rsid w:val="00DB0626"/>
    <w:rsid w:val="00DB06AD"/>
    <w:rsid w:val="00DB07BE"/>
    <w:rsid w:val="00DB07CF"/>
    <w:rsid w:val="00DB08A7"/>
    <w:rsid w:val="00DB08F4"/>
    <w:rsid w:val="00DB09A0"/>
    <w:rsid w:val="00DB0A73"/>
    <w:rsid w:val="00DB0ABC"/>
    <w:rsid w:val="00DB0B2B"/>
    <w:rsid w:val="00DB0BA3"/>
    <w:rsid w:val="00DB0C12"/>
    <w:rsid w:val="00DB0C81"/>
    <w:rsid w:val="00DB0DA1"/>
    <w:rsid w:val="00DB0DAE"/>
    <w:rsid w:val="00DB0DCD"/>
    <w:rsid w:val="00DB0E3E"/>
    <w:rsid w:val="00DB1142"/>
    <w:rsid w:val="00DB14AA"/>
    <w:rsid w:val="00DB14D6"/>
    <w:rsid w:val="00DB1556"/>
    <w:rsid w:val="00DB15DA"/>
    <w:rsid w:val="00DB1620"/>
    <w:rsid w:val="00DB165B"/>
    <w:rsid w:val="00DB1684"/>
    <w:rsid w:val="00DB1866"/>
    <w:rsid w:val="00DB1872"/>
    <w:rsid w:val="00DB1874"/>
    <w:rsid w:val="00DB190F"/>
    <w:rsid w:val="00DB19FA"/>
    <w:rsid w:val="00DB1A8D"/>
    <w:rsid w:val="00DB1A9A"/>
    <w:rsid w:val="00DB1AA3"/>
    <w:rsid w:val="00DB1ADC"/>
    <w:rsid w:val="00DB1B3E"/>
    <w:rsid w:val="00DB1C8C"/>
    <w:rsid w:val="00DB1E2D"/>
    <w:rsid w:val="00DB2073"/>
    <w:rsid w:val="00DB2080"/>
    <w:rsid w:val="00DB20C3"/>
    <w:rsid w:val="00DB2124"/>
    <w:rsid w:val="00DB223C"/>
    <w:rsid w:val="00DB2313"/>
    <w:rsid w:val="00DB2489"/>
    <w:rsid w:val="00DB2535"/>
    <w:rsid w:val="00DB2651"/>
    <w:rsid w:val="00DB2763"/>
    <w:rsid w:val="00DB283B"/>
    <w:rsid w:val="00DB2ACD"/>
    <w:rsid w:val="00DB2B5A"/>
    <w:rsid w:val="00DB2F2F"/>
    <w:rsid w:val="00DB3114"/>
    <w:rsid w:val="00DB318B"/>
    <w:rsid w:val="00DB31EA"/>
    <w:rsid w:val="00DB3361"/>
    <w:rsid w:val="00DB3380"/>
    <w:rsid w:val="00DB3428"/>
    <w:rsid w:val="00DB35CE"/>
    <w:rsid w:val="00DB370B"/>
    <w:rsid w:val="00DB3A1D"/>
    <w:rsid w:val="00DB3BCF"/>
    <w:rsid w:val="00DB3DA4"/>
    <w:rsid w:val="00DB3E06"/>
    <w:rsid w:val="00DB3EF9"/>
    <w:rsid w:val="00DB3EFB"/>
    <w:rsid w:val="00DB3F0B"/>
    <w:rsid w:val="00DB3F69"/>
    <w:rsid w:val="00DB4063"/>
    <w:rsid w:val="00DB40FB"/>
    <w:rsid w:val="00DB410E"/>
    <w:rsid w:val="00DB4160"/>
    <w:rsid w:val="00DB43F5"/>
    <w:rsid w:val="00DB4486"/>
    <w:rsid w:val="00DB46BD"/>
    <w:rsid w:val="00DB4974"/>
    <w:rsid w:val="00DB49CA"/>
    <w:rsid w:val="00DB4A4B"/>
    <w:rsid w:val="00DB4A81"/>
    <w:rsid w:val="00DB4BD3"/>
    <w:rsid w:val="00DB4CB3"/>
    <w:rsid w:val="00DB4CCD"/>
    <w:rsid w:val="00DB4CDC"/>
    <w:rsid w:val="00DB5230"/>
    <w:rsid w:val="00DB54E9"/>
    <w:rsid w:val="00DB54F7"/>
    <w:rsid w:val="00DB5654"/>
    <w:rsid w:val="00DB57B5"/>
    <w:rsid w:val="00DB5BED"/>
    <w:rsid w:val="00DB5C08"/>
    <w:rsid w:val="00DB5E95"/>
    <w:rsid w:val="00DB5F51"/>
    <w:rsid w:val="00DB5FD4"/>
    <w:rsid w:val="00DB5FED"/>
    <w:rsid w:val="00DB6083"/>
    <w:rsid w:val="00DB6400"/>
    <w:rsid w:val="00DB640A"/>
    <w:rsid w:val="00DB6462"/>
    <w:rsid w:val="00DB68E9"/>
    <w:rsid w:val="00DB68F8"/>
    <w:rsid w:val="00DB6916"/>
    <w:rsid w:val="00DB692B"/>
    <w:rsid w:val="00DB693D"/>
    <w:rsid w:val="00DB695B"/>
    <w:rsid w:val="00DB6A9F"/>
    <w:rsid w:val="00DB6B3B"/>
    <w:rsid w:val="00DB6D37"/>
    <w:rsid w:val="00DB6DE4"/>
    <w:rsid w:val="00DB6F05"/>
    <w:rsid w:val="00DB70BD"/>
    <w:rsid w:val="00DB70E6"/>
    <w:rsid w:val="00DB71D3"/>
    <w:rsid w:val="00DB7228"/>
    <w:rsid w:val="00DB72FC"/>
    <w:rsid w:val="00DB73D1"/>
    <w:rsid w:val="00DB74D7"/>
    <w:rsid w:val="00DB7649"/>
    <w:rsid w:val="00DB77CA"/>
    <w:rsid w:val="00DB78ED"/>
    <w:rsid w:val="00DB7A11"/>
    <w:rsid w:val="00DB7A60"/>
    <w:rsid w:val="00DB7B12"/>
    <w:rsid w:val="00DB7E59"/>
    <w:rsid w:val="00DC0101"/>
    <w:rsid w:val="00DC02F8"/>
    <w:rsid w:val="00DC04C2"/>
    <w:rsid w:val="00DC057C"/>
    <w:rsid w:val="00DC0696"/>
    <w:rsid w:val="00DC06A6"/>
    <w:rsid w:val="00DC06C7"/>
    <w:rsid w:val="00DC0775"/>
    <w:rsid w:val="00DC09A2"/>
    <w:rsid w:val="00DC0A9D"/>
    <w:rsid w:val="00DC0AB3"/>
    <w:rsid w:val="00DC0BBE"/>
    <w:rsid w:val="00DC0C94"/>
    <w:rsid w:val="00DC0DE6"/>
    <w:rsid w:val="00DC0E9A"/>
    <w:rsid w:val="00DC0EE2"/>
    <w:rsid w:val="00DC1369"/>
    <w:rsid w:val="00DC140C"/>
    <w:rsid w:val="00DC145C"/>
    <w:rsid w:val="00DC167C"/>
    <w:rsid w:val="00DC181F"/>
    <w:rsid w:val="00DC1C71"/>
    <w:rsid w:val="00DC1EBE"/>
    <w:rsid w:val="00DC1FD9"/>
    <w:rsid w:val="00DC1FEA"/>
    <w:rsid w:val="00DC217A"/>
    <w:rsid w:val="00DC224B"/>
    <w:rsid w:val="00DC2307"/>
    <w:rsid w:val="00DC2447"/>
    <w:rsid w:val="00DC26E4"/>
    <w:rsid w:val="00DC29D6"/>
    <w:rsid w:val="00DC2BDB"/>
    <w:rsid w:val="00DC2D88"/>
    <w:rsid w:val="00DC2FBF"/>
    <w:rsid w:val="00DC31D1"/>
    <w:rsid w:val="00DC324E"/>
    <w:rsid w:val="00DC3391"/>
    <w:rsid w:val="00DC3421"/>
    <w:rsid w:val="00DC3570"/>
    <w:rsid w:val="00DC357D"/>
    <w:rsid w:val="00DC37AD"/>
    <w:rsid w:val="00DC3A72"/>
    <w:rsid w:val="00DC3AF6"/>
    <w:rsid w:val="00DC3B71"/>
    <w:rsid w:val="00DC3CDA"/>
    <w:rsid w:val="00DC3CED"/>
    <w:rsid w:val="00DC3D15"/>
    <w:rsid w:val="00DC3D70"/>
    <w:rsid w:val="00DC3DC8"/>
    <w:rsid w:val="00DC3DCE"/>
    <w:rsid w:val="00DC3FD1"/>
    <w:rsid w:val="00DC4011"/>
    <w:rsid w:val="00DC419C"/>
    <w:rsid w:val="00DC42CA"/>
    <w:rsid w:val="00DC434F"/>
    <w:rsid w:val="00DC4F25"/>
    <w:rsid w:val="00DC4F53"/>
    <w:rsid w:val="00DC4F59"/>
    <w:rsid w:val="00DC5006"/>
    <w:rsid w:val="00DC502D"/>
    <w:rsid w:val="00DC513F"/>
    <w:rsid w:val="00DC5286"/>
    <w:rsid w:val="00DC5324"/>
    <w:rsid w:val="00DC54C2"/>
    <w:rsid w:val="00DC5519"/>
    <w:rsid w:val="00DC57F2"/>
    <w:rsid w:val="00DC58C3"/>
    <w:rsid w:val="00DC5E5E"/>
    <w:rsid w:val="00DC5E9D"/>
    <w:rsid w:val="00DC60BA"/>
    <w:rsid w:val="00DC6101"/>
    <w:rsid w:val="00DC6245"/>
    <w:rsid w:val="00DC6424"/>
    <w:rsid w:val="00DC678D"/>
    <w:rsid w:val="00DC67DA"/>
    <w:rsid w:val="00DC684C"/>
    <w:rsid w:val="00DC6972"/>
    <w:rsid w:val="00DC6BF7"/>
    <w:rsid w:val="00DC6CAE"/>
    <w:rsid w:val="00DC6DD1"/>
    <w:rsid w:val="00DC7123"/>
    <w:rsid w:val="00DC7141"/>
    <w:rsid w:val="00DC7165"/>
    <w:rsid w:val="00DC723E"/>
    <w:rsid w:val="00DC72CE"/>
    <w:rsid w:val="00DC73CA"/>
    <w:rsid w:val="00DC7485"/>
    <w:rsid w:val="00DC7568"/>
    <w:rsid w:val="00DC7590"/>
    <w:rsid w:val="00DC7713"/>
    <w:rsid w:val="00DC7808"/>
    <w:rsid w:val="00DC782F"/>
    <w:rsid w:val="00DC78DD"/>
    <w:rsid w:val="00DC7922"/>
    <w:rsid w:val="00DC7992"/>
    <w:rsid w:val="00DC7AF4"/>
    <w:rsid w:val="00DC7DF8"/>
    <w:rsid w:val="00DC7F31"/>
    <w:rsid w:val="00DC7F3C"/>
    <w:rsid w:val="00DD003C"/>
    <w:rsid w:val="00DD00AA"/>
    <w:rsid w:val="00DD02CA"/>
    <w:rsid w:val="00DD059C"/>
    <w:rsid w:val="00DD09EB"/>
    <w:rsid w:val="00DD0B06"/>
    <w:rsid w:val="00DD0B0D"/>
    <w:rsid w:val="00DD0B1B"/>
    <w:rsid w:val="00DD0B50"/>
    <w:rsid w:val="00DD0BCD"/>
    <w:rsid w:val="00DD0E41"/>
    <w:rsid w:val="00DD1029"/>
    <w:rsid w:val="00DD10DE"/>
    <w:rsid w:val="00DD1123"/>
    <w:rsid w:val="00DD13C8"/>
    <w:rsid w:val="00DD1443"/>
    <w:rsid w:val="00DD14DB"/>
    <w:rsid w:val="00DD16AE"/>
    <w:rsid w:val="00DD1749"/>
    <w:rsid w:val="00DD1963"/>
    <w:rsid w:val="00DD1A15"/>
    <w:rsid w:val="00DD1C3B"/>
    <w:rsid w:val="00DD217F"/>
    <w:rsid w:val="00DD2276"/>
    <w:rsid w:val="00DD247B"/>
    <w:rsid w:val="00DD2594"/>
    <w:rsid w:val="00DD259D"/>
    <w:rsid w:val="00DD25B9"/>
    <w:rsid w:val="00DD2663"/>
    <w:rsid w:val="00DD266A"/>
    <w:rsid w:val="00DD27F6"/>
    <w:rsid w:val="00DD29BD"/>
    <w:rsid w:val="00DD2A37"/>
    <w:rsid w:val="00DD2B49"/>
    <w:rsid w:val="00DD2CDF"/>
    <w:rsid w:val="00DD2ECB"/>
    <w:rsid w:val="00DD2F0A"/>
    <w:rsid w:val="00DD2FFD"/>
    <w:rsid w:val="00DD301E"/>
    <w:rsid w:val="00DD30BE"/>
    <w:rsid w:val="00DD3625"/>
    <w:rsid w:val="00DD377F"/>
    <w:rsid w:val="00DD381B"/>
    <w:rsid w:val="00DD38B8"/>
    <w:rsid w:val="00DD3BD8"/>
    <w:rsid w:val="00DD3C1D"/>
    <w:rsid w:val="00DD3D47"/>
    <w:rsid w:val="00DD3D55"/>
    <w:rsid w:val="00DD3D97"/>
    <w:rsid w:val="00DD3DC5"/>
    <w:rsid w:val="00DD3F0A"/>
    <w:rsid w:val="00DD40D7"/>
    <w:rsid w:val="00DD4118"/>
    <w:rsid w:val="00DD416C"/>
    <w:rsid w:val="00DD4254"/>
    <w:rsid w:val="00DD42EC"/>
    <w:rsid w:val="00DD4457"/>
    <w:rsid w:val="00DD4530"/>
    <w:rsid w:val="00DD47D5"/>
    <w:rsid w:val="00DD4883"/>
    <w:rsid w:val="00DD48F3"/>
    <w:rsid w:val="00DD49F9"/>
    <w:rsid w:val="00DD4BB1"/>
    <w:rsid w:val="00DD4C19"/>
    <w:rsid w:val="00DD4C2E"/>
    <w:rsid w:val="00DD4D5A"/>
    <w:rsid w:val="00DD4E12"/>
    <w:rsid w:val="00DD4E68"/>
    <w:rsid w:val="00DD4F52"/>
    <w:rsid w:val="00DD4F5E"/>
    <w:rsid w:val="00DD5021"/>
    <w:rsid w:val="00DD5213"/>
    <w:rsid w:val="00DD5228"/>
    <w:rsid w:val="00DD5249"/>
    <w:rsid w:val="00DD547C"/>
    <w:rsid w:val="00DD54F9"/>
    <w:rsid w:val="00DD5509"/>
    <w:rsid w:val="00DD5514"/>
    <w:rsid w:val="00DD5561"/>
    <w:rsid w:val="00DD5624"/>
    <w:rsid w:val="00DD5636"/>
    <w:rsid w:val="00DD5683"/>
    <w:rsid w:val="00DD56A9"/>
    <w:rsid w:val="00DD5B4F"/>
    <w:rsid w:val="00DD5B67"/>
    <w:rsid w:val="00DD5CE2"/>
    <w:rsid w:val="00DD5D38"/>
    <w:rsid w:val="00DD5EC9"/>
    <w:rsid w:val="00DD5F6E"/>
    <w:rsid w:val="00DD6048"/>
    <w:rsid w:val="00DD607E"/>
    <w:rsid w:val="00DD60C2"/>
    <w:rsid w:val="00DD61C6"/>
    <w:rsid w:val="00DD656B"/>
    <w:rsid w:val="00DD6614"/>
    <w:rsid w:val="00DD6700"/>
    <w:rsid w:val="00DD6C0E"/>
    <w:rsid w:val="00DD6C59"/>
    <w:rsid w:val="00DD6E0C"/>
    <w:rsid w:val="00DD6E0E"/>
    <w:rsid w:val="00DD6E54"/>
    <w:rsid w:val="00DD6E7E"/>
    <w:rsid w:val="00DD6F6C"/>
    <w:rsid w:val="00DD701E"/>
    <w:rsid w:val="00DD70B6"/>
    <w:rsid w:val="00DD714D"/>
    <w:rsid w:val="00DD7260"/>
    <w:rsid w:val="00DD7437"/>
    <w:rsid w:val="00DD744F"/>
    <w:rsid w:val="00DD7488"/>
    <w:rsid w:val="00DD7563"/>
    <w:rsid w:val="00DD7607"/>
    <w:rsid w:val="00DD78E2"/>
    <w:rsid w:val="00DD7917"/>
    <w:rsid w:val="00DD7986"/>
    <w:rsid w:val="00DD79F4"/>
    <w:rsid w:val="00DD7A62"/>
    <w:rsid w:val="00DD7BE1"/>
    <w:rsid w:val="00DD7BF3"/>
    <w:rsid w:val="00DD7C81"/>
    <w:rsid w:val="00DD7D90"/>
    <w:rsid w:val="00DD7FF9"/>
    <w:rsid w:val="00DE020A"/>
    <w:rsid w:val="00DE02F6"/>
    <w:rsid w:val="00DE0352"/>
    <w:rsid w:val="00DE06FE"/>
    <w:rsid w:val="00DE07FF"/>
    <w:rsid w:val="00DE0ADB"/>
    <w:rsid w:val="00DE0B00"/>
    <w:rsid w:val="00DE0DEC"/>
    <w:rsid w:val="00DE0E53"/>
    <w:rsid w:val="00DE0E82"/>
    <w:rsid w:val="00DE14BA"/>
    <w:rsid w:val="00DE152D"/>
    <w:rsid w:val="00DE18DF"/>
    <w:rsid w:val="00DE1BDA"/>
    <w:rsid w:val="00DE1C6C"/>
    <w:rsid w:val="00DE1CA7"/>
    <w:rsid w:val="00DE1CB9"/>
    <w:rsid w:val="00DE1D91"/>
    <w:rsid w:val="00DE1DE8"/>
    <w:rsid w:val="00DE1F69"/>
    <w:rsid w:val="00DE1F91"/>
    <w:rsid w:val="00DE2292"/>
    <w:rsid w:val="00DE23F2"/>
    <w:rsid w:val="00DE24D7"/>
    <w:rsid w:val="00DE24FF"/>
    <w:rsid w:val="00DE2927"/>
    <w:rsid w:val="00DE2A06"/>
    <w:rsid w:val="00DE2BAE"/>
    <w:rsid w:val="00DE2BE8"/>
    <w:rsid w:val="00DE2C98"/>
    <w:rsid w:val="00DE2D4F"/>
    <w:rsid w:val="00DE2E31"/>
    <w:rsid w:val="00DE2FD4"/>
    <w:rsid w:val="00DE3089"/>
    <w:rsid w:val="00DE3120"/>
    <w:rsid w:val="00DE3165"/>
    <w:rsid w:val="00DE33ED"/>
    <w:rsid w:val="00DE34A2"/>
    <w:rsid w:val="00DE36FD"/>
    <w:rsid w:val="00DE3826"/>
    <w:rsid w:val="00DE382F"/>
    <w:rsid w:val="00DE3982"/>
    <w:rsid w:val="00DE3ACC"/>
    <w:rsid w:val="00DE3BC0"/>
    <w:rsid w:val="00DE3C90"/>
    <w:rsid w:val="00DE3E16"/>
    <w:rsid w:val="00DE3E28"/>
    <w:rsid w:val="00DE3E7F"/>
    <w:rsid w:val="00DE4006"/>
    <w:rsid w:val="00DE40D3"/>
    <w:rsid w:val="00DE41D2"/>
    <w:rsid w:val="00DE41F5"/>
    <w:rsid w:val="00DE4372"/>
    <w:rsid w:val="00DE44E6"/>
    <w:rsid w:val="00DE45C1"/>
    <w:rsid w:val="00DE45E9"/>
    <w:rsid w:val="00DE4AD0"/>
    <w:rsid w:val="00DE4CD5"/>
    <w:rsid w:val="00DE4D32"/>
    <w:rsid w:val="00DE4E5A"/>
    <w:rsid w:val="00DE4FD4"/>
    <w:rsid w:val="00DE4FF9"/>
    <w:rsid w:val="00DE5037"/>
    <w:rsid w:val="00DE5096"/>
    <w:rsid w:val="00DE52A8"/>
    <w:rsid w:val="00DE52AF"/>
    <w:rsid w:val="00DE52E1"/>
    <w:rsid w:val="00DE537E"/>
    <w:rsid w:val="00DE53C7"/>
    <w:rsid w:val="00DE53FA"/>
    <w:rsid w:val="00DE5559"/>
    <w:rsid w:val="00DE55FD"/>
    <w:rsid w:val="00DE57CA"/>
    <w:rsid w:val="00DE5920"/>
    <w:rsid w:val="00DE59AB"/>
    <w:rsid w:val="00DE59D2"/>
    <w:rsid w:val="00DE5A34"/>
    <w:rsid w:val="00DE5AD9"/>
    <w:rsid w:val="00DE5CDC"/>
    <w:rsid w:val="00DE5D6E"/>
    <w:rsid w:val="00DE5DA4"/>
    <w:rsid w:val="00DE5F8E"/>
    <w:rsid w:val="00DE5FC9"/>
    <w:rsid w:val="00DE5FF3"/>
    <w:rsid w:val="00DE60FB"/>
    <w:rsid w:val="00DE615B"/>
    <w:rsid w:val="00DE62F4"/>
    <w:rsid w:val="00DE651C"/>
    <w:rsid w:val="00DE6541"/>
    <w:rsid w:val="00DE655A"/>
    <w:rsid w:val="00DE6683"/>
    <w:rsid w:val="00DE68CD"/>
    <w:rsid w:val="00DE6972"/>
    <w:rsid w:val="00DE6989"/>
    <w:rsid w:val="00DE6B2E"/>
    <w:rsid w:val="00DE6BA2"/>
    <w:rsid w:val="00DE6BAD"/>
    <w:rsid w:val="00DE6C87"/>
    <w:rsid w:val="00DE6D56"/>
    <w:rsid w:val="00DE6F2C"/>
    <w:rsid w:val="00DE7118"/>
    <w:rsid w:val="00DE7498"/>
    <w:rsid w:val="00DE74C8"/>
    <w:rsid w:val="00DE75EC"/>
    <w:rsid w:val="00DE780A"/>
    <w:rsid w:val="00DE7867"/>
    <w:rsid w:val="00DE791F"/>
    <w:rsid w:val="00DE7A80"/>
    <w:rsid w:val="00DE7B75"/>
    <w:rsid w:val="00DE7C64"/>
    <w:rsid w:val="00DE7C7E"/>
    <w:rsid w:val="00DE7D86"/>
    <w:rsid w:val="00DE7EFB"/>
    <w:rsid w:val="00DF0035"/>
    <w:rsid w:val="00DF010D"/>
    <w:rsid w:val="00DF0220"/>
    <w:rsid w:val="00DF0234"/>
    <w:rsid w:val="00DF0394"/>
    <w:rsid w:val="00DF0514"/>
    <w:rsid w:val="00DF059F"/>
    <w:rsid w:val="00DF0619"/>
    <w:rsid w:val="00DF08A5"/>
    <w:rsid w:val="00DF09BA"/>
    <w:rsid w:val="00DF0A7F"/>
    <w:rsid w:val="00DF0B36"/>
    <w:rsid w:val="00DF0C26"/>
    <w:rsid w:val="00DF0CD3"/>
    <w:rsid w:val="00DF0D80"/>
    <w:rsid w:val="00DF0EA1"/>
    <w:rsid w:val="00DF0F62"/>
    <w:rsid w:val="00DF0FAE"/>
    <w:rsid w:val="00DF1272"/>
    <w:rsid w:val="00DF12C8"/>
    <w:rsid w:val="00DF12DD"/>
    <w:rsid w:val="00DF13C9"/>
    <w:rsid w:val="00DF16D9"/>
    <w:rsid w:val="00DF178E"/>
    <w:rsid w:val="00DF192E"/>
    <w:rsid w:val="00DF1BB8"/>
    <w:rsid w:val="00DF1D27"/>
    <w:rsid w:val="00DF1E33"/>
    <w:rsid w:val="00DF1E7C"/>
    <w:rsid w:val="00DF2004"/>
    <w:rsid w:val="00DF2034"/>
    <w:rsid w:val="00DF20A5"/>
    <w:rsid w:val="00DF2241"/>
    <w:rsid w:val="00DF2393"/>
    <w:rsid w:val="00DF281F"/>
    <w:rsid w:val="00DF28AF"/>
    <w:rsid w:val="00DF29E3"/>
    <w:rsid w:val="00DF2B3A"/>
    <w:rsid w:val="00DF2B73"/>
    <w:rsid w:val="00DF2BDD"/>
    <w:rsid w:val="00DF2BE8"/>
    <w:rsid w:val="00DF2CCF"/>
    <w:rsid w:val="00DF2F1A"/>
    <w:rsid w:val="00DF2FE8"/>
    <w:rsid w:val="00DF3015"/>
    <w:rsid w:val="00DF31B9"/>
    <w:rsid w:val="00DF3637"/>
    <w:rsid w:val="00DF3704"/>
    <w:rsid w:val="00DF373C"/>
    <w:rsid w:val="00DF38FC"/>
    <w:rsid w:val="00DF394A"/>
    <w:rsid w:val="00DF4043"/>
    <w:rsid w:val="00DF40C7"/>
    <w:rsid w:val="00DF41A3"/>
    <w:rsid w:val="00DF41E6"/>
    <w:rsid w:val="00DF41E7"/>
    <w:rsid w:val="00DF43BD"/>
    <w:rsid w:val="00DF43CC"/>
    <w:rsid w:val="00DF43DC"/>
    <w:rsid w:val="00DF4477"/>
    <w:rsid w:val="00DF4CF6"/>
    <w:rsid w:val="00DF4D9F"/>
    <w:rsid w:val="00DF4EE7"/>
    <w:rsid w:val="00DF4FD9"/>
    <w:rsid w:val="00DF504D"/>
    <w:rsid w:val="00DF5125"/>
    <w:rsid w:val="00DF512E"/>
    <w:rsid w:val="00DF5268"/>
    <w:rsid w:val="00DF557E"/>
    <w:rsid w:val="00DF562B"/>
    <w:rsid w:val="00DF597A"/>
    <w:rsid w:val="00DF5DB2"/>
    <w:rsid w:val="00DF5E25"/>
    <w:rsid w:val="00DF6012"/>
    <w:rsid w:val="00DF6113"/>
    <w:rsid w:val="00DF617D"/>
    <w:rsid w:val="00DF6196"/>
    <w:rsid w:val="00DF6206"/>
    <w:rsid w:val="00DF62CF"/>
    <w:rsid w:val="00DF640A"/>
    <w:rsid w:val="00DF65C5"/>
    <w:rsid w:val="00DF6650"/>
    <w:rsid w:val="00DF66E9"/>
    <w:rsid w:val="00DF6B11"/>
    <w:rsid w:val="00DF6B39"/>
    <w:rsid w:val="00DF6EE3"/>
    <w:rsid w:val="00DF72AB"/>
    <w:rsid w:val="00DF7467"/>
    <w:rsid w:val="00DF7714"/>
    <w:rsid w:val="00DF7897"/>
    <w:rsid w:val="00DF7A97"/>
    <w:rsid w:val="00DF7A9D"/>
    <w:rsid w:val="00DF7AAB"/>
    <w:rsid w:val="00DF7AB7"/>
    <w:rsid w:val="00DF7AC5"/>
    <w:rsid w:val="00DF7AE8"/>
    <w:rsid w:val="00DF7C17"/>
    <w:rsid w:val="00DF7C37"/>
    <w:rsid w:val="00DF7CF3"/>
    <w:rsid w:val="00DF7D1D"/>
    <w:rsid w:val="00DF7D79"/>
    <w:rsid w:val="00DF7DB3"/>
    <w:rsid w:val="00DF7EE5"/>
    <w:rsid w:val="00DF7F60"/>
    <w:rsid w:val="00E0037B"/>
    <w:rsid w:val="00E0048A"/>
    <w:rsid w:val="00E005FE"/>
    <w:rsid w:val="00E0071C"/>
    <w:rsid w:val="00E00796"/>
    <w:rsid w:val="00E0082E"/>
    <w:rsid w:val="00E009E3"/>
    <w:rsid w:val="00E00BF8"/>
    <w:rsid w:val="00E00DAA"/>
    <w:rsid w:val="00E00F57"/>
    <w:rsid w:val="00E00FAC"/>
    <w:rsid w:val="00E01152"/>
    <w:rsid w:val="00E01199"/>
    <w:rsid w:val="00E012B0"/>
    <w:rsid w:val="00E0157B"/>
    <w:rsid w:val="00E01745"/>
    <w:rsid w:val="00E01827"/>
    <w:rsid w:val="00E0184C"/>
    <w:rsid w:val="00E0195B"/>
    <w:rsid w:val="00E01976"/>
    <w:rsid w:val="00E01A54"/>
    <w:rsid w:val="00E021CF"/>
    <w:rsid w:val="00E02281"/>
    <w:rsid w:val="00E024B8"/>
    <w:rsid w:val="00E0251C"/>
    <w:rsid w:val="00E02579"/>
    <w:rsid w:val="00E02657"/>
    <w:rsid w:val="00E02866"/>
    <w:rsid w:val="00E0298A"/>
    <w:rsid w:val="00E02CC6"/>
    <w:rsid w:val="00E02DEA"/>
    <w:rsid w:val="00E02DEE"/>
    <w:rsid w:val="00E030D0"/>
    <w:rsid w:val="00E0319C"/>
    <w:rsid w:val="00E032AD"/>
    <w:rsid w:val="00E03550"/>
    <w:rsid w:val="00E036A6"/>
    <w:rsid w:val="00E03756"/>
    <w:rsid w:val="00E0377D"/>
    <w:rsid w:val="00E03BD2"/>
    <w:rsid w:val="00E03BD7"/>
    <w:rsid w:val="00E03C78"/>
    <w:rsid w:val="00E03C8A"/>
    <w:rsid w:val="00E03CA1"/>
    <w:rsid w:val="00E03CDC"/>
    <w:rsid w:val="00E04140"/>
    <w:rsid w:val="00E04168"/>
    <w:rsid w:val="00E04211"/>
    <w:rsid w:val="00E042DF"/>
    <w:rsid w:val="00E044BE"/>
    <w:rsid w:val="00E045C5"/>
    <w:rsid w:val="00E045D6"/>
    <w:rsid w:val="00E0478B"/>
    <w:rsid w:val="00E04985"/>
    <w:rsid w:val="00E04EFB"/>
    <w:rsid w:val="00E04F97"/>
    <w:rsid w:val="00E0500B"/>
    <w:rsid w:val="00E0500E"/>
    <w:rsid w:val="00E05027"/>
    <w:rsid w:val="00E0512E"/>
    <w:rsid w:val="00E05431"/>
    <w:rsid w:val="00E054EE"/>
    <w:rsid w:val="00E05565"/>
    <w:rsid w:val="00E05779"/>
    <w:rsid w:val="00E05832"/>
    <w:rsid w:val="00E05930"/>
    <w:rsid w:val="00E05AA4"/>
    <w:rsid w:val="00E05AC6"/>
    <w:rsid w:val="00E05BF6"/>
    <w:rsid w:val="00E05C0D"/>
    <w:rsid w:val="00E05CE9"/>
    <w:rsid w:val="00E05D4C"/>
    <w:rsid w:val="00E05E30"/>
    <w:rsid w:val="00E06075"/>
    <w:rsid w:val="00E06384"/>
    <w:rsid w:val="00E0645D"/>
    <w:rsid w:val="00E0650B"/>
    <w:rsid w:val="00E0656A"/>
    <w:rsid w:val="00E06753"/>
    <w:rsid w:val="00E06797"/>
    <w:rsid w:val="00E06802"/>
    <w:rsid w:val="00E069A2"/>
    <w:rsid w:val="00E06BB0"/>
    <w:rsid w:val="00E06C4B"/>
    <w:rsid w:val="00E06CBF"/>
    <w:rsid w:val="00E06E40"/>
    <w:rsid w:val="00E06EAF"/>
    <w:rsid w:val="00E06F46"/>
    <w:rsid w:val="00E06F48"/>
    <w:rsid w:val="00E06F89"/>
    <w:rsid w:val="00E0724C"/>
    <w:rsid w:val="00E072A5"/>
    <w:rsid w:val="00E07463"/>
    <w:rsid w:val="00E075B5"/>
    <w:rsid w:val="00E07745"/>
    <w:rsid w:val="00E07939"/>
    <w:rsid w:val="00E07985"/>
    <w:rsid w:val="00E07C99"/>
    <w:rsid w:val="00E07CD8"/>
    <w:rsid w:val="00E07E39"/>
    <w:rsid w:val="00E07F47"/>
    <w:rsid w:val="00E07F8E"/>
    <w:rsid w:val="00E1029F"/>
    <w:rsid w:val="00E1053E"/>
    <w:rsid w:val="00E107D5"/>
    <w:rsid w:val="00E1087C"/>
    <w:rsid w:val="00E109BE"/>
    <w:rsid w:val="00E10A1D"/>
    <w:rsid w:val="00E10A73"/>
    <w:rsid w:val="00E10B87"/>
    <w:rsid w:val="00E10C0E"/>
    <w:rsid w:val="00E10C52"/>
    <w:rsid w:val="00E10DB4"/>
    <w:rsid w:val="00E10EE9"/>
    <w:rsid w:val="00E1102A"/>
    <w:rsid w:val="00E11087"/>
    <w:rsid w:val="00E111F2"/>
    <w:rsid w:val="00E11218"/>
    <w:rsid w:val="00E112BD"/>
    <w:rsid w:val="00E112E0"/>
    <w:rsid w:val="00E1133C"/>
    <w:rsid w:val="00E11493"/>
    <w:rsid w:val="00E115E6"/>
    <w:rsid w:val="00E11635"/>
    <w:rsid w:val="00E1180F"/>
    <w:rsid w:val="00E1195C"/>
    <w:rsid w:val="00E11A69"/>
    <w:rsid w:val="00E11ABF"/>
    <w:rsid w:val="00E11BA7"/>
    <w:rsid w:val="00E11C04"/>
    <w:rsid w:val="00E11E80"/>
    <w:rsid w:val="00E12271"/>
    <w:rsid w:val="00E12476"/>
    <w:rsid w:val="00E1251F"/>
    <w:rsid w:val="00E125D6"/>
    <w:rsid w:val="00E126A1"/>
    <w:rsid w:val="00E126B5"/>
    <w:rsid w:val="00E126C3"/>
    <w:rsid w:val="00E12892"/>
    <w:rsid w:val="00E1289C"/>
    <w:rsid w:val="00E129A7"/>
    <w:rsid w:val="00E12A3C"/>
    <w:rsid w:val="00E12AED"/>
    <w:rsid w:val="00E12BB8"/>
    <w:rsid w:val="00E12CEE"/>
    <w:rsid w:val="00E12D62"/>
    <w:rsid w:val="00E12D8F"/>
    <w:rsid w:val="00E12EE3"/>
    <w:rsid w:val="00E12FE7"/>
    <w:rsid w:val="00E13079"/>
    <w:rsid w:val="00E13146"/>
    <w:rsid w:val="00E13208"/>
    <w:rsid w:val="00E13214"/>
    <w:rsid w:val="00E1326C"/>
    <w:rsid w:val="00E132B5"/>
    <w:rsid w:val="00E1345A"/>
    <w:rsid w:val="00E13746"/>
    <w:rsid w:val="00E1379F"/>
    <w:rsid w:val="00E1383F"/>
    <w:rsid w:val="00E13930"/>
    <w:rsid w:val="00E13971"/>
    <w:rsid w:val="00E1398A"/>
    <w:rsid w:val="00E13A3F"/>
    <w:rsid w:val="00E13AD4"/>
    <w:rsid w:val="00E13CF7"/>
    <w:rsid w:val="00E13E59"/>
    <w:rsid w:val="00E13FFB"/>
    <w:rsid w:val="00E1404A"/>
    <w:rsid w:val="00E141F8"/>
    <w:rsid w:val="00E14263"/>
    <w:rsid w:val="00E1438C"/>
    <w:rsid w:val="00E1443E"/>
    <w:rsid w:val="00E144BD"/>
    <w:rsid w:val="00E14552"/>
    <w:rsid w:val="00E1457C"/>
    <w:rsid w:val="00E14680"/>
    <w:rsid w:val="00E147E7"/>
    <w:rsid w:val="00E148DE"/>
    <w:rsid w:val="00E14A83"/>
    <w:rsid w:val="00E14A99"/>
    <w:rsid w:val="00E14AE4"/>
    <w:rsid w:val="00E14D49"/>
    <w:rsid w:val="00E14DCE"/>
    <w:rsid w:val="00E14F3E"/>
    <w:rsid w:val="00E15083"/>
    <w:rsid w:val="00E15105"/>
    <w:rsid w:val="00E1510D"/>
    <w:rsid w:val="00E15187"/>
    <w:rsid w:val="00E154BC"/>
    <w:rsid w:val="00E15566"/>
    <w:rsid w:val="00E15650"/>
    <w:rsid w:val="00E156B6"/>
    <w:rsid w:val="00E15946"/>
    <w:rsid w:val="00E15AD7"/>
    <w:rsid w:val="00E15B05"/>
    <w:rsid w:val="00E15EC1"/>
    <w:rsid w:val="00E15ED5"/>
    <w:rsid w:val="00E15F40"/>
    <w:rsid w:val="00E15FB8"/>
    <w:rsid w:val="00E15FC1"/>
    <w:rsid w:val="00E1681A"/>
    <w:rsid w:val="00E16879"/>
    <w:rsid w:val="00E16998"/>
    <w:rsid w:val="00E16B5F"/>
    <w:rsid w:val="00E16DAB"/>
    <w:rsid w:val="00E16E08"/>
    <w:rsid w:val="00E170DB"/>
    <w:rsid w:val="00E170EC"/>
    <w:rsid w:val="00E171E3"/>
    <w:rsid w:val="00E172AE"/>
    <w:rsid w:val="00E172BC"/>
    <w:rsid w:val="00E1743E"/>
    <w:rsid w:val="00E1759B"/>
    <w:rsid w:val="00E17644"/>
    <w:rsid w:val="00E177B6"/>
    <w:rsid w:val="00E177B8"/>
    <w:rsid w:val="00E17806"/>
    <w:rsid w:val="00E17876"/>
    <w:rsid w:val="00E1798F"/>
    <w:rsid w:val="00E17AD7"/>
    <w:rsid w:val="00E17B70"/>
    <w:rsid w:val="00E17F1D"/>
    <w:rsid w:val="00E17F99"/>
    <w:rsid w:val="00E20010"/>
    <w:rsid w:val="00E2020E"/>
    <w:rsid w:val="00E206B4"/>
    <w:rsid w:val="00E2079C"/>
    <w:rsid w:val="00E20916"/>
    <w:rsid w:val="00E20A5D"/>
    <w:rsid w:val="00E20AE0"/>
    <w:rsid w:val="00E20C56"/>
    <w:rsid w:val="00E20C59"/>
    <w:rsid w:val="00E20C85"/>
    <w:rsid w:val="00E20C9C"/>
    <w:rsid w:val="00E20D9B"/>
    <w:rsid w:val="00E20E45"/>
    <w:rsid w:val="00E20EF4"/>
    <w:rsid w:val="00E21086"/>
    <w:rsid w:val="00E210B7"/>
    <w:rsid w:val="00E210E3"/>
    <w:rsid w:val="00E21125"/>
    <w:rsid w:val="00E211DC"/>
    <w:rsid w:val="00E211F3"/>
    <w:rsid w:val="00E213A6"/>
    <w:rsid w:val="00E2143D"/>
    <w:rsid w:val="00E21480"/>
    <w:rsid w:val="00E21521"/>
    <w:rsid w:val="00E21537"/>
    <w:rsid w:val="00E21640"/>
    <w:rsid w:val="00E216B6"/>
    <w:rsid w:val="00E216C2"/>
    <w:rsid w:val="00E21817"/>
    <w:rsid w:val="00E21934"/>
    <w:rsid w:val="00E219C2"/>
    <w:rsid w:val="00E21A86"/>
    <w:rsid w:val="00E21BD7"/>
    <w:rsid w:val="00E21C03"/>
    <w:rsid w:val="00E21C34"/>
    <w:rsid w:val="00E21E4E"/>
    <w:rsid w:val="00E22044"/>
    <w:rsid w:val="00E220B3"/>
    <w:rsid w:val="00E22164"/>
    <w:rsid w:val="00E222D1"/>
    <w:rsid w:val="00E22356"/>
    <w:rsid w:val="00E223D3"/>
    <w:rsid w:val="00E2242D"/>
    <w:rsid w:val="00E22579"/>
    <w:rsid w:val="00E22677"/>
    <w:rsid w:val="00E227EA"/>
    <w:rsid w:val="00E2291F"/>
    <w:rsid w:val="00E22BCE"/>
    <w:rsid w:val="00E22C7F"/>
    <w:rsid w:val="00E22CD7"/>
    <w:rsid w:val="00E22D76"/>
    <w:rsid w:val="00E22DBA"/>
    <w:rsid w:val="00E22E34"/>
    <w:rsid w:val="00E22E58"/>
    <w:rsid w:val="00E23010"/>
    <w:rsid w:val="00E2309F"/>
    <w:rsid w:val="00E2335B"/>
    <w:rsid w:val="00E23569"/>
    <w:rsid w:val="00E235E5"/>
    <w:rsid w:val="00E23682"/>
    <w:rsid w:val="00E2383B"/>
    <w:rsid w:val="00E23B5A"/>
    <w:rsid w:val="00E23D5C"/>
    <w:rsid w:val="00E23E28"/>
    <w:rsid w:val="00E23F81"/>
    <w:rsid w:val="00E23F9C"/>
    <w:rsid w:val="00E242AD"/>
    <w:rsid w:val="00E244DF"/>
    <w:rsid w:val="00E2453D"/>
    <w:rsid w:val="00E24794"/>
    <w:rsid w:val="00E24B1C"/>
    <w:rsid w:val="00E24DD8"/>
    <w:rsid w:val="00E24FF2"/>
    <w:rsid w:val="00E2525A"/>
    <w:rsid w:val="00E2549D"/>
    <w:rsid w:val="00E254F8"/>
    <w:rsid w:val="00E25645"/>
    <w:rsid w:val="00E2566C"/>
    <w:rsid w:val="00E256B1"/>
    <w:rsid w:val="00E25A00"/>
    <w:rsid w:val="00E25A4D"/>
    <w:rsid w:val="00E25B0A"/>
    <w:rsid w:val="00E25E8B"/>
    <w:rsid w:val="00E25EF1"/>
    <w:rsid w:val="00E25F58"/>
    <w:rsid w:val="00E25F9A"/>
    <w:rsid w:val="00E26029"/>
    <w:rsid w:val="00E260D5"/>
    <w:rsid w:val="00E26192"/>
    <w:rsid w:val="00E2632E"/>
    <w:rsid w:val="00E26371"/>
    <w:rsid w:val="00E264E6"/>
    <w:rsid w:val="00E264EC"/>
    <w:rsid w:val="00E265D4"/>
    <w:rsid w:val="00E266E7"/>
    <w:rsid w:val="00E2672F"/>
    <w:rsid w:val="00E268CE"/>
    <w:rsid w:val="00E26961"/>
    <w:rsid w:val="00E26A87"/>
    <w:rsid w:val="00E26ACD"/>
    <w:rsid w:val="00E26E12"/>
    <w:rsid w:val="00E26F80"/>
    <w:rsid w:val="00E271C3"/>
    <w:rsid w:val="00E27378"/>
    <w:rsid w:val="00E2741F"/>
    <w:rsid w:val="00E274B3"/>
    <w:rsid w:val="00E274D9"/>
    <w:rsid w:val="00E275DB"/>
    <w:rsid w:val="00E275E1"/>
    <w:rsid w:val="00E276E6"/>
    <w:rsid w:val="00E277F2"/>
    <w:rsid w:val="00E279A7"/>
    <w:rsid w:val="00E27C37"/>
    <w:rsid w:val="00E27D14"/>
    <w:rsid w:val="00E27D9C"/>
    <w:rsid w:val="00E27E88"/>
    <w:rsid w:val="00E27EB3"/>
    <w:rsid w:val="00E30058"/>
    <w:rsid w:val="00E3015F"/>
    <w:rsid w:val="00E302A7"/>
    <w:rsid w:val="00E306A0"/>
    <w:rsid w:val="00E307C5"/>
    <w:rsid w:val="00E30846"/>
    <w:rsid w:val="00E30974"/>
    <w:rsid w:val="00E309FF"/>
    <w:rsid w:val="00E30A4D"/>
    <w:rsid w:val="00E30A88"/>
    <w:rsid w:val="00E30B01"/>
    <w:rsid w:val="00E30B3C"/>
    <w:rsid w:val="00E30C31"/>
    <w:rsid w:val="00E30CB6"/>
    <w:rsid w:val="00E30CC9"/>
    <w:rsid w:val="00E30E5E"/>
    <w:rsid w:val="00E30E7D"/>
    <w:rsid w:val="00E31080"/>
    <w:rsid w:val="00E310FF"/>
    <w:rsid w:val="00E31274"/>
    <w:rsid w:val="00E312EA"/>
    <w:rsid w:val="00E3132C"/>
    <w:rsid w:val="00E3133F"/>
    <w:rsid w:val="00E314A5"/>
    <w:rsid w:val="00E3156F"/>
    <w:rsid w:val="00E315C0"/>
    <w:rsid w:val="00E317B8"/>
    <w:rsid w:val="00E317C4"/>
    <w:rsid w:val="00E317C7"/>
    <w:rsid w:val="00E31846"/>
    <w:rsid w:val="00E318E8"/>
    <w:rsid w:val="00E31917"/>
    <w:rsid w:val="00E319BA"/>
    <w:rsid w:val="00E31A1A"/>
    <w:rsid w:val="00E31AC1"/>
    <w:rsid w:val="00E31ADC"/>
    <w:rsid w:val="00E31B19"/>
    <w:rsid w:val="00E31F67"/>
    <w:rsid w:val="00E31F6E"/>
    <w:rsid w:val="00E31FD7"/>
    <w:rsid w:val="00E31FE2"/>
    <w:rsid w:val="00E320E3"/>
    <w:rsid w:val="00E32221"/>
    <w:rsid w:val="00E32324"/>
    <w:rsid w:val="00E32382"/>
    <w:rsid w:val="00E323A6"/>
    <w:rsid w:val="00E32404"/>
    <w:rsid w:val="00E3241C"/>
    <w:rsid w:val="00E325B5"/>
    <w:rsid w:val="00E325FB"/>
    <w:rsid w:val="00E32780"/>
    <w:rsid w:val="00E3287A"/>
    <w:rsid w:val="00E32B19"/>
    <w:rsid w:val="00E32B30"/>
    <w:rsid w:val="00E32C4F"/>
    <w:rsid w:val="00E32EE9"/>
    <w:rsid w:val="00E32F91"/>
    <w:rsid w:val="00E33014"/>
    <w:rsid w:val="00E33023"/>
    <w:rsid w:val="00E33111"/>
    <w:rsid w:val="00E33233"/>
    <w:rsid w:val="00E3359F"/>
    <w:rsid w:val="00E33C60"/>
    <w:rsid w:val="00E33C6E"/>
    <w:rsid w:val="00E33D59"/>
    <w:rsid w:val="00E33E25"/>
    <w:rsid w:val="00E33F1F"/>
    <w:rsid w:val="00E34418"/>
    <w:rsid w:val="00E345C2"/>
    <w:rsid w:val="00E34771"/>
    <w:rsid w:val="00E349B8"/>
    <w:rsid w:val="00E34B5B"/>
    <w:rsid w:val="00E34CF2"/>
    <w:rsid w:val="00E3506E"/>
    <w:rsid w:val="00E353F0"/>
    <w:rsid w:val="00E3548C"/>
    <w:rsid w:val="00E354C9"/>
    <w:rsid w:val="00E357FB"/>
    <w:rsid w:val="00E358F7"/>
    <w:rsid w:val="00E35A4C"/>
    <w:rsid w:val="00E35B54"/>
    <w:rsid w:val="00E35C09"/>
    <w:rsid w:val="00E35D3C"/>
    <w:rsid w:val="00E35D85"/>
    <w:rsid w:val="00E35DCE"/>
    <w:rsid w:val="00E35DDC"/>
    <w:rsid w:val="00E35EC0"/>
    <w:rsid w:val="00E36028"/>
    <w:rsid w:val="00E360D2"/>
    <w:rsid w:val="00E366B0"/>
    <w:rsid w:val="00E366DE"/>
    <w:rsid w:val="00E36B60"/>
    <w:rsid w:val="00E36BF8"/>
    <w:rsid w:val="00E36C24"/>
    <w:rsid w:val="00E36DBC"/>
    <w:rsid w:val="00E36E44"/>
    <w:rsid w:val="00E370C3"/>
    <w:rsid w:val="00E372C4"/>
    <w:rsid w:val="00E373B8"/>
    <w:rsid w:val="00E37613"/>
    <w:rsid w:val="00E37749"/>
    <w:rsid w:val="00E37820"/>
    <w:rsid w:val="00E37969"/>
    <w:rsid w:val="00E379B0"/>
    <w:rsid w:val="00E37A22"/>
    <w:rsid w:val="00E37D65"/>
    <w:rsid w:val="00E37D97"/>
    <w:rsid w:val="00E37E37"/>
    <w:rsid w:val="00E37EE3"/>
    <w:rsid w:val="00E400F5"/>
    <w:rsid w:val="00E40165"/>
    <w:rsid w:val="00E4016B"/>
    <w:rsid w:val="00E4078F"/>
    <w:rsid w:val="00E408D8"/>
    <w:rsid w:val="00E40956"/>
    <w:rsid w:val="00E40CAA"/>
    <w:rsid w:val="00E40CCD"/>
    <w:rsid w:val="00E40D2C"/>
    <w:rsid w:val="00E40D31"/>
    <w:rsid w:val="00E40EA0"/>
    <w:rsid w:val="00E40FAA"/>
    <w:rsid w:val="00E410FE"/>
    <w:rsid w:val="00E41207"/>
    <w:rsid w:val="00E412F1"/>
    <w:rsid w:val="00E413EE"/>
    <w:rsid w:val="00E41449"/>
    <w:rsid w:val="00E414B0"/>
    <w:rsid w:val="00E4154A"/>
    <w:rsid w:val="00E419DB"/>
    <w:rsid w:val="00E41A2D"/>
    <w:rsid w:val="00E41A61"/>
    <w:rsid w:val="00E41A7E"/>
    <w:rsid w:val="00E41CD1"/>
    <w:rsid w:val="00E41F5D"/>
    <w:rsid w:val="00E41F8F"/>
    <w:rsid w:val="00E420CD"/>
    <w:rsid w:val="00E425FC"/>
    <w:rsid w:val="00E42642"/>
    <w:rsid w:val="00E4268E"/>
    <w:rsid w:val="00E4293C"/>
    <w:rsid w:val="00E42A4B"/>
    <w:rsid w:val="00E42B0D"/>
    <w:rsid w:val="00E42B4D"/>
    <w:rsid w:val="00E42CB7"/>
    <w:rsid w:val="00E42CE6"/>
    <w:rsid w:val="00E42D16"/>
    <w:rsid w:val="00E42E7E"/>
    <w:rsid w:val="00E42F80"/>
    <w:rsid w:val="00E42F9F"/>
    <w:rsid w:val="00E43014"/>
    <w:rsid w:val="00E433FA"/>
    <w:rsid w:val="00E434AC"/>
    <w:rsid w:val="00E43557"/>
    <w:rsid w:val="00E43625"/>
    <w:rsid w:val="00E43733"/>
    <w:rsid w:val="00E4373A"/>
    <w:rsid w:val="00E4379E"/>
    <w:rsid w:val="00E438E5"/>
    <w:rsid w:val="00E43992"/>
    <w:rsid w:val="00E43A73"/>
    <w:rsid w:val="00E43B3B"/>
    <w:rsid w:val="00E43B88"/>
    <w:rsid w:val="00E43D1D"/>
    <w:rsid w:val="00E43E37"/>
    <w:rsid w:val="00E44107"/>
    <w:rsid w:val="00E441D1"/>
    <w:rsid w:val="00E44353"/>
    <w:rsid w:val="00E443ED"/>
    <w:rsid w:val="00E4441F"/>
    <w:rsid w:val="00E4443A"/>
    <w:rsid w:val="00E44448"/>
    <w:rsid w:val="00E4448D"/>
    <w:rsid w:val="00E444C8"/>
    <w:rsid w:val="00E44532"/>
    <w:rsid w:val="00E445B9"/>
    <w:rsid w:val="00E446A2"/>
    <w:rsid w:val="00E446C3"/>
    <w:rsid w:val="00E4480F"/>
    <w:rsid w:val="00E44C66"/>
    <w:rsid w:val="00E44C69"/>
    <w:rsid w:val="00E44CAF"/>
    <w:rsid w:val="00E44CF0"/>
    <w:rsid w:val="00E44E93"/>
    <w:rsid w:val="00E44FBA"/>
    <w:rsid w:val="00E453AE"/>
    <w:rsid w:val="00E45482"/>
    <w:rsid w:val="00E454DE"/>
    <w:rsid w:val="00E454EF"/>
    <w:rsid w:val="00E4557B"/>
    <w:rsid w:val="00E455BD"/>
    <w:rsid w:val="00E4566B"/>
    <w:rsid w:val="00E456E1"/>
    <w:rsid w:val="00E45740"/>
    <w:rsid w:val="00E4575E"/>
    <w:rsid w:val="00E45975"/>
    <w:rsid w:val="00E45AB5"/>
    <w:rsid w:val="00E45C2A"/>
    <w:rsid w:val="00E45C43"/>
    <w:rsid w:val="00E45D14"/>
    <w:rsid w:val="00E45E00"/>
    <w:rsid w:val="00E45E30"/>
    <w:rsid w:val="00E45E65"/>
    <w:rsid w:val="00E45EE0"/>
    <w:rsid w:val="00E45FAF"/>
    <w:rsid w:val="00E45FEF"/>
    <w:rsid w:val="00E465C9"/>
    <w:rsid w:val="00E46623"/>
    <w:rsid w:val="00E466A7"/>
    <w:rsid w:val="00E469E0"/>
    <w:rsid w:val="00E46A3A"/>
    <w:rsid w:val="00E46BBD"/>
    <w:rsid w:val="00E46C3D"/>
    <w:rsid w:val="00E46C56"/>
    <w:rsid w:val="00E46D36"/>
    <w:rsid w:val="00E46D48"/>
    <w:rsid w:val="00E4701A"/>
    <w:rsid w:val="00E47208"/>
    <w:rsid w:val="00E47368"/>
    <w:rsid w:val="00E47383"/>
    <w:rsid w:val="00E475D7"/>
    <w:rsid w:val="00E478AF"/>
    <w:rsid w:val="00E478D2"/>
    <w:rsid w:val="00E47B2B"/>
    <w:rsid w:val="00E47CA1"/>
    <w:rsid w:val="00E47CD0"/>
    <w:rsid w:val="00E47E07"/>
    <w:rsid w:val="00E50198"/>
    <w:rsid w:val="00E502D8"/>
    <w:rsid w:val="00E502FF"/>
    <w:rsid w:val="00E507A8"/>
    <w:rsid w:val="00E50926"/>
    <w:rsid w:val="00E5096C"/>
    <w:rsid w:val="00E50B55"/>
    <w:rsid w:val="00E510E0"/>
    <w:rsid w:val="00E5111B"/>
    <w:rsid w:val="00E51126"/>
    <w:rsid w:val="00E51536"/>
    <w:rsid w:val="00E51618"/>
    <w:rsid w:val="00E517ED"/>
    <w:rsid w:val="00E51850"/>
    <w:rsid w:val="00E5189B"/>
    <w:rsid w:val="00E51B3C"/>
    <w:rsid w:val="00E51C0E"/>
    <w:rsid w:val="00E51CF6"/>
    <w:rsid w:val="00E51D58"/>
    <w:rsid w:val="00E51DAF"/>
    <w:rsid w:val="00E5216D"/>
    <w:rsid w:val="00E52227"/>
    <w:rsid w:val="00E52274"/>
    <w:rsid w:val="00E522CC"/>
    <w:rsid w:val="00E5245B"/>
    <w:rsid w:val="00E524FD"/>
    <w:rsid w:val="00E5266E"/>
    <w:rsid w:val="00E52805"/>
    <w:rsid w:val="00E528F5"/>
    <w:rsid w:val="00E52A64"/>
    <w:rsid w:val="00E52B30"/>
    <w:rsid w:val="00E52B69"/>
    <w:rsid w:val="00E52D08"/>
    <w:rsid w:val="00E52FA8"/>
    <w:rsid w:val="00E5313B"/>
    <w:rsid w:val="00E53296"/>
    <w:rsid w:val="00E53706"/>
    <w:rsid w:val="00E53863"/>
    <w:rsid w:val="00E538B3"/>
    <w:rsid w:val="00E539D4"/>
    <w:rsid w:val="00E53D97"/>
    <w:rsid w:val="00E5401F"/>
    <w:rsid w:val="00E54034"/>
    <w:rsid w:val="00E54137"/>
    <w:rsid w:val="00E542F6"/>
    <w:rsid w:val="00E543E5"/>
    <w:rsid w:val="00E5452D"/>
    <w:rsid w:val="00E545AC"/>
    <w:rsid w:val="00E548D5"/>
    <w:rsid w:val="00E54994"/>
    <w:rsid w:val="00E54A2F"/>
    <w:rsid w:val="00E54A79"/>
    <w:rsid w:val="00E54DEF"/>
    <w:rsid w:val="00E5515F"/>
    <w:rsid w:val="00E55264"/>
    <w:rsid w:val="00E55320"/>
    <w:rsid w:val="00E5535A"/>
    <w:rsid w:val="00E553B3"/>
    <w:rsid w:val="00E554F3"/>
    <w:rsid w:val="00E5553C"/>
    <w:rsid w:val="00E555F8"/>
    <w:rsid w:val="00E55802"/>
    <w:rsid w:val="00E55D68"/>
    <w:rsid w:val="00E55E85"/>
    <w:rsid w:val="00E55F08"/>
    <w:rsid w:val="00E5603F"/>
    <w:rsid w:val="00E560AB"/>
    <w:rsid w:val="00E56285"/>
    <w:rsid w:val="00E56289"/>
    <w:rsid w:val="00E5694D"/>
    <w:rsid w:val="00E56AE5"/>
    <w:rsid w:val="00E56BA0"/>
    <w:rsid w:val="00E56BE4"/>
    <w:rsid w:val="00E56CD9"/>
    <w:rsid w:val="00E56D36"/>
    <w:rsid w:val="00E56E10"/>
    <w:rsid w:val="00E56E73"/>
    <w:rsid w:val="00E56EA5"/>
    <w:rsid w:val="00E5712E"/>
    <w:rsid w:val="00E57149"/>
    <w:rsid w:val="00E57171"/>
    <w:rsid w:val="00E571C4"/>
    <w:rsid w:val="00E57306"/>
    <w:rsid w:val="00E57431"/>
    <w:rsid w:val="00E57652"/>
    <w:rsid w:val="00E5771A"/>
    <w:rsid w:val="00E57775"/>
    <w:rsid w:val="00E577E2"/>
    <w:rsid w:val="00E57817"/>
    <w:rsid w:val="00E578A4"/>
    <w:rsid w:val="00E579F8"/>
    <w:rsid w:val="00E57D3E"/>
    <w:rsid w:val="00E57E18"/>
    <w:rsid w:val="00E57EED"/>
    <w:rsid w:val="00E60126"/>
    <w:rsid w:val="00E6028E"/>
    <w:rsid w:val="00E602A9"/>
    <w:rsid w:val="00E60438"/>
    <w:rsid w:val="00E604C5"/>
    <w:rsid w:val="00E60C04"/>
    <w:rsid w:val="00E60E65"/>
    <w:rsid w:val="00E60EE9"/>
    <w:rsid w:val="00E61005"/>
    <w:rsid w:val="00E6112D"/>
    <w:rsid w:val="00E612C6"/>
    <w:rsid w:val="00E615E9"/>
    <w:rsid w:val="00E61636"/>
    <w:rsid w:val="00E61811"/>
    <w:rsid w:val="00E61819"/>
    <w:rsid w:val="00E6186F"/>
    <w:rsid w:val="00E618B8"/>
    <w:rsid w:val="00E61977"/>
    <w:rsid w:val="00E61A15"/>
    <w:rsid w:val="00E61BAE"/>
    <w:rsid w:val="00E61BCA"/>
    <w:rsid w:val="00E62044"/>
    <w:rsid w:val="00E620D1"/>
    <w:rsid w:val="00E62177"/>
    <w:rsid w:val="00E62396"/>
    <w:rsid w:val="00E6255A"/>
    <w:rsid w:val="00E62812"/>
    <w:rsid w:val="00E628AC"/>
    <w:rsid w:val="00E62959"/>
    <w:rsid w:val="00E62A23"/>
    <w:rsid w:val="00E62ACF"/>
    <w:rsid w:val="00E62DC7"/>
    <w:rsid w:val="00E62F3D"/>
    <w:rsid w:val="00E62F48"/>
    <w:rsid w:val="00E62FD8"/>
    <w:rsid w:val="00E6303C"/>
    <w:rsid w:val="00E630D9"/>
    <w:rsid w:val="00E6317B"/>
    <w:rsid w:val="00E63274"/>
    <w:rsid w:val="00E633BD"/>
    <w:rsid w:val="00E633D7"/>
    <w:rsid w:val="00E635BB"/>
    <w:rsid w:val="00E63B00"/>
    <w:rsid w:val="00E63B56"/>
    <w:rsid w:val="00E63D2F"/>
    <w:rsid w:val="00E63E46"/>
    <w:rsid w:val="00E63E86"/>
    <w:rsid w:val="00E64069"/>
    <w:rsid w:val="00E64075"/>
    <w:rsid w:val="00E64149"/>
    <w:rsid w:val="00E64227"/>
    <w:rsid w:val="00E643E9"/>
    <w:rsid w:val="00E644B3"/>
    <w:rsid w:val="00E6458D"/>
    <w:rsid w:val="00E64701"/>
    <w:rsid w:val="00E64714"/>
    <w:rsid w:val="00E6497F"/>
    <w:rsid w:val="00E64AED"/>
    <w:rsid w:val="00E64CC2"/>
    <w:rsid w:val="00E64D60"/>
    <w:rsid w:val="00E6502B"/>
    <w:rsid w:val="00E6514D"/>
    <w:rsid w:val="00E6528F"/>
    <w:rsid w:val="00E652DA"/>
    <w:rsid w:val="00E65320"/>
    <w:rsid w:val="00E654DE"/>
    <w:rsid w:val="00E6556C"/>
    <w:rsid w:val="00E6562C"/>
    <w:rsid w:val="00E658C3"/>
    <w:rsid w:val="00E659A4"/>
    <w:rsid w:val="00E65A4B"/>
    <w:rsid w:val="00E65AB2"/>
    <w:rsid w:val="00E65C87"/>
    <w:rsid w:val="00E65D8B"/>
    <w:rsid w:val="00E66064"/>
    <w:rsid w:val="00E66158"/>
    <w:rsid w:val="00E66467"/>
    <w:rsid w:val="00E66698"/>
    <w:rsid w:val="00E667AE"/>
    <w:rsid w:val="00E6685D"/>
    <w:rsid w:val="00E66895"/>
    <w:rsid w:val="00E668AF"/>
    <w:rsid w:val="00E66986"/>
    <w:rsid w:val="00E66AE6"/>
    <w:rsid w:val="00E66C5F"/>
    <w:rsid w:val="00E66D8A"/>
    <w:rsid w:val="00E66E8F"/>
    <w:rsid w:val="00E66F46"/>
    <w:rsid w:val="00E66F63"/>
    <w:rsid w:val="00E66FAC"/>
    <w:rsid w:val="00E67193"/>
    <w:rsid w:val="00E67255"/>
    <w:rsid w:val="00E6726B"/>
    <w:rsid w:val="00E67270"/>
    <w:rsid w:val="00E67294"/>
    <w:rsid w:val="00E67296"/>
    <w:rsid w:val="00E673B5"/>
    <w:rsid w:val="00E67435"/>
    <w:rsid w:val="00E67482"/>
    <w:rsid w:val="00E674A2"/>
    <w:rsid w:val="00E67521"/>
    <w:rsid w:val="00E67660"/>
    <w:rsid w:val="00E67683"/>
    <w:rsid w:val="00E67713"/>
    <w:rsid w:val="00E67770"/>
    <w:rsid w:val="00E678F1"/>
    <w:rsid w:val="00E67CE5"/>
    <w:rsid w:val="00E67D37"/>
    <w:rsid w:val="00E67E73"/>
    <w:rsid w:val="00E67E84"/>
    <w:rsid w:val="00E67F06"/>
    <w:rsid w:val="00E70068"/>
    <w:rsid w:val="00E7007A"/>
    <w:rsid w:val="00E70099"/>
    <w:rsid w:val="00E701EF"/>
    <w:rsid w:val="00E702B0"/>
    <w:rsid w:val="00E702F0"/>
    <w:rsid w:val="00E70330"/>
    <w:rsid w:val="00E7034F"/>
    <w:rsid w:val="00E704FC"/>
    <w:rsid w:val="00E70593"/>
    <w:rsid w:val="00E706C1"/>
    <w:rsid w:val="00E70AD3"/>
    <w:rsid w:val="00E70D08"/>
    <w:rsid w:val="00E70DD6"/>
    <w:rsid w:val="00E70E6C"/>
    <w:rsid w:val="00E70E82"/>
    <w:rsid w:val="00E70E9E"/>
    <w:rsid w:val="00E70F71"/>
    <w:rsid w:val="00E7100F"/>
    <w:rsid w:val="00E71012"/>
    <w:rsid w:val="00E710B5"/>
    <w:rsid w:val="00E7174D"/>
    <w:rsid w:val="00E717C9"/>
    <w:rsid w:val="00E717E6"/>
    <w:rsid w:val="00E71833"/>
    <w:rsid w:val="00E71846"/>
    <w:rsid w:val="00E71D29"/>
    <w:rsid w:val="00E71D9C"/>
    <w:rsid w:val="00E7223E"/>
    <w:rsid w:val="00E72276"/>
    <w:rsid w:val="00E722C3"/>
    <w:rsid w:val="00E72366"/>
    <w:rsid w:val="00E723B4"/>
    <w:rsid w:val="00E723D9"/>
    <w:rsid w:val="00E724EA"/>
    <w:rsid w:val="00E72584"/>
    <w:rsid w:val="00E7259E"/>
    <w:rsid w:val="00E72861"/>
    <w:rsid w:val="00E72ABA"/>
    <w:rsid w:val="00E72B2C"/>
    <w:rsid w:val="00E72F11"/>
    <w:rsid w:val="00E72FA9"/>
    <w:rsid w:val="00E72FB0"/>
    <w:rsid w:val="00E72FF4"/>
    <w:rsid w:val="00E730BD"/>
    <w:rsid w:val="00E73166"/>
    <w:rsid w:val="00E731D5"/>
    <w:rsid w:val="00E73253"/>
    <w:rsid w:val="00E7329B"/>
    <w:rsid w:val="00E733B8"/>
    <w:rsid w:val="00E733C2"/>
    <w:rsid w:val="00E73494"/>
    <w:rsid w:val="00E735D2"/>
    <w:rsid w:val="00E7361C"/>
    <w:rsid w:val="00E7364C"/>
    <w:rsid w:val="00E73673"/>
    <w:rsid w:val="00E736F1"/>
    <w:rsid w:val="00E73923"/>
    <w:rsid w:val="00E73C69"/>
    <w:rsid w:val="00E73F6E"/>
    <w:rsid w:val="00E740D5"/>
    <w:rsid w:val="00E74145"/>
    <w:rsid w:val="00E7416C"/>
    <w:rsid w:val="00E7428D"/>
    <w:rsid w:val="00E742FD"/>
    <w:rsid w:val="00E74453"/>
    <w:rsid w:val="00E744D6"/>
    <w:rsid w:val="00E7451C"/>
    <w:rsid w:val="00E746B8"/>
    <w:rsid w:val="00E747EF"/>
    <w:rsid w:val="00E74863"/>
    <w:rsid w:val="00E74928"/>
    <w:rsid w:val="00E74981"/>
    <w:rsid w:val="00E74D70"/>
    <w:rsid w:val="00E751A5"/>
    <w:rsid w:val="00E751DB"/>
    <w:rsid w:val="00E75202"/>
    <w:rsid w:val="00E75225"/>
    <w:rsid w:val="00E75493"/>
    <w:rsid w:val="00E75524"/>
    <w:rsid w:val="00E756AC"/>
    <w:rsid w:val="00E75810"/>
    <w:rsid w:val="00E75912"/>
    <w:rsid w:val="00E75A5B"/>
    <w:rsid w:val="00E75B93"/>
    <w:rsid w:val="00E75DB5"/>
    <w:rsid w:val="00E75DD9"/>
    <w:rsid w:val="00E75F62"/>
    <w:rsid w:val="00E7612C"/>
    <w:rsid w:val="00E76190"/>
    <w:rsid w:val="00E7619D"/>
    <w:rsid w:val="00E76220"/>
    <w:rsid w:val="00E762BB"/>
    <w:rsid w:val="00E763EA"/>
    <w:rsid w:val="00E76611"/>
    <w:rsid w:val="00E76618"/>
    <w:rsid w:val="00E76630"/>
    <w:rsid w:val="00E76643"/>
    <w:rsid w:val="00E766A6"/>
    <w:rsid w:val="00E7673E"/>
    <w:rsid w:val="00E767B6"/>
    <w:rsid w:val="00E76840"/>
    <w:rsid w:val="00E7684A"/>
    <w:rsid w:val="00E76867"/>
    <w:rsid w:val="00E768E7"/>
    <w:rsid w:val="00E76AD0"/>
    <w:rsid w:val="00E76B1F"/>
    <w:rsid w:val="00E76BC3"/>
    <w:rsid w:val="00E76BEF"/>
    <w:rsid w:val="00E76F17"/>
    <w:rsid w:val="00E76F26"/>
    <w:rsid w:val="00E772F8"/>
    <w:rsid w:val="00E77346"/>
    <w:rsid w:val="00E77398"/>
    <w:rsid w:val="00E7766C"/>
    <w:rsid w:val="00E77694"/>
    <w:rsid w:val="00E77831"/>
    <w:rsid w:val="00E77AB9"/>
    <w:rsid w:val="00E77B11"/>
    <w:rsid w:val="00E77B87"/>
    <w:rsid w:val="00E77BB3"/>
    <w:rsid w:val="00E77C3A"/>
    <w:rsid w:val="00E77E10"/>
    <w:rsid w:val="00E77E2A"/>
    <w:rsid w:val="00E77EE4"/>
    <w:rsid w:val="00E80169"/>
    <w:rsid w:val="00E803BE"/>
    <w:rsid w:val="00E804C9"/>
    <w:rsid w:val="00E80653"/>
    <w:rsid w:val="00E806E7"/>
    <w:rsid w:val="00E80B8F"/>
    <w:rsid w:val="00E80BBC"/>
    <w:rsid w:val="00E80F52"/>
    <w:rsid w:val="00E80F84"/>
    <w:rsid w:val="00E81009"/>
    <w:rsid w:val="00E81010"/>
    <w:rsid w:val="00E8101B"/>
    <w:rsid w:val="00E81134"/>
    <w:rsid w:val="00E8117D"/>
    <w:rsid w:val="00E81237"/>
    <w:rsid w:val="00E81327"/>
    <w:rsid w:val="00E813B4"/>
    <w:rsid w:val="00E8143E"/>
    <w:rsid w:val="00E814D1"/>
    <w:rsid w:val="00E81704"/>
    <w:rsid w:val="00E8185A"/>
    <w:rsid w:val="00E819D6"/>
    <w:rsid w:val="00E81A64"/>
    <w:rsid w:val="00E81B38"/>
    <w:rsid w:val="00E81D55"/>
    <w:rsid w:val="00E81FD0"/>
    <w:rsid w:val="00E81FE7"/>
    <w:rsid w:val="00E820AB"/>
    <w:rsid w:val="00E82338"/>
    <w:rsid w:val="00E825A8"/>
    <w:rsid w:val="00E82676"/>
    <w:rsid w:val="00E826C4"/>
    <w:rsid w:val="00E826DE"/>
    <w:rsid w:val="00E82849"/>
    <w:rsid w:val="00E829C9"/>
    <w:rsid w:val="00E82A23"/>
    <w:rsid w:val="00E82BC9"/>
    <w:rsid w:val="00E82F09"/>
    <w:rsid w:val="00E82F30"/>
    <w:rsid w:val="00E83136"/>
    <w:rsid w:val="00E831ED"/>
    <w:rsid w:val="00E83264"/>
    <w:rsid w:val="00E835BA"/>
    <w:rsid w:val="00E8379A"/>
    <w:rsid w:val="00E8383D"/>
    <w:rsid w:val="00E83928"/>
    <w:rsid w:val="00E8394A"/>
    <w:rsid w:val="00E83984"/>
    <w:rsid w:val="00E839FC"/>
    <w:rsid w:val="00E83A50"/>
    <w:rsid w:val="00E83C81"/>
    <w:rsid w:val="00E83DEB"/>
    <w:rsid w:val="00E83DFD"/>
    <w:rsid w:val="00E84043"/>
    <w:rsid w:val="00E84153"/>
    <w:rsid w:val="00E8461C"/>
    <w:rsid w:val="00E84752"/>
    <w:rsid w:val="00E8479A"/>
    <w:rsid w:val="00E847AA"/>
    <w:rsid w:val="00E84956"/>
    <w:rsid w:val="00E8497A"/>
    <w:rsid w:val="00E84B39"/>
    <w:rsid w:val="00E84C36"/>
    <w:rsid w:val="00E84D12"/>
    <w:rsid w:val="00E84E0C"/>
    <w:rsid w:val="00E84E28"/>
    <w:rsid w:val="00E84E34"/>
    <w:rsid w:val="00E85073"/>
    <w:rsid w:val="00E851A5"/>
    <w:rsid w:val="00E851C3"/>
    <w:rsid w:val="00E85239"/>
    <w:rsid w:val="00E85378"/>
    <w:rsid w:val="00E854E7"/>
    <w:rsid w:val="00E859D3"/>
    <w:rsid w:val="00E85A36"/>
    <w:rsid w:val="00E85AAC"/>
    <w:rsid w:val="00E85AAE"/>
    <w:rsid w:val="00E85E47"/>
    <w:rsid w:val="00E85F20"/>
    <w:rsid w:val="00E85FC5"/>
    <w:rsid w:val="00E85FD6"/>
    <w:rsid w:val="00E8613D"/>
    <w:rsid w:val="00E861E9"/>
    <w:rsid w:val="00E863FA"/>
    <w:rsid w:val="00E86591"/>
    <w:rsid w:val="00E8665F"/>
    <w:rsid w:val="00E86762"/>
    <w:rsid w:val="00E86850"/>
    <w:rsid w:val="00E86890"/>
    <w:rsid w:val="00E86A42"/>
    <w:rsid w:val="00E86AAC"/>
    <w:rsid w:val="00E86B09"/>
    <w:rsid w:val="00E86CAC"/>
    <w:rsid w:val="00E872C0"/>
    <w:rsid w:val="00E875A9"/>
    <w:rsid w:val="00E875CE"/>
    <w:rsid w:val="00E875D8"/>
    <w:rsid w:val="00E87725"/>
    <w:rsid w:val="00E87762"/>
    <w:rsid w:val="00E877C5"/>
    <w:rsid w:val="00E877ED"/>
    <w:rsid w:val="00E87814"/>
    <w:rsid w:val="00E87843"/>
    <w:rsid w:val="00E87BDA"/>
    <w:rsid w:val="00E87E2A"/>
    <w:rsid w:val="00E87E55"/>
    <w:rsid w:val="00E87F8B"/>
    <w:rsid w:val="00E87FD6"/>
    <w:rsid w:val="00E90006"/>
    <w:rsid w:val="00E90206"/>
    <w:rsid w:val="00E902D7"/>
    <w:rsid w:val="00E90380"/>
    <w:rsid w:val="00E9039C"/>
    <w:rsid w:val="00E904F5"/>
    <w:rsid w:val="00E90567"/>
    <w:rsid w:val="00E909B1"/>
    <w:rsid w:val="00E90A1E"/>
    <w:rsid w:val="00E90B36"/>
    <w:rsid w:val="00E90B76"/>
    <w:rsid w:val="00E90BF7"/>
    <w:rsid w:val="00E90C6F"/>
    <w:rsid w:val="00E90CA6"/>
    <w:rsid w:val="00E90E9B"/>
    <w:rsid w:val="00E90F3D"/>
    <w:rsid w:val="00E91117"/>
    <w:rsid w:val="00E91181"/>
    <w:rsid w:val="00E912E3"/>
    <w:rsid w:val="00E913F7"/>
    <w:rsid w:val="00E91422"/>
    <w:rsid w:val="00E91985"/>
    <w:rsid w:val="00E91B7E"/>
    <w:rsid w:val="00E91BF3"/>
    <w:rsid w:val="00E91CDA"/>
    <w:rsid w:val="00E91E58"/>
    <w:rsid w:val="00E91E6E"/>
    <w:rsid w:val="00E92089"/>
    <w:rsid w:val="00E92108"/>
    <w:rsid w:val="00E92158"/>
    <w:rsid w:val="00E92290"/>
    <w:rsid w:val="00E92292"/>
    <w:rsid w:val="00E92312"/>
    <w:rsid w:val="00E924DA"/>
    <w:rsid w:val="00E9272F"/>
    <w:rsid w:val="00E92856"/>
    <w:rsid w:val="00E928F1"/>
    <w:rsid w:val="00E929B1"/>
    <w:rsid w:val="00E92A3F"/>
    <w:rsid w:val="00E92A43"/>
    <w:rsid w:val="00E92A7C"/>
    <w:rsid w:val="00E92A8A"/>
    <w:rsid w:val="00E92B78"/>
    <w:rsid w:val="00E92B91"/>
    <w:rsid w:val="00E92BD5"/>
    <w:rsid w:val="00E92C68"/>
    <w:rsid w:val="00E92D1F"/>
    <w:rsid w:val="00E93239"/>
    <w:rsid w:val="00E9325B"/>
    <w:rsid w:val="00E9341E"/>
    <w:rsid w:val="00E9363E"/>
    <w:rsid w:val="00E936C3"/>
    <w:rsid w:val="00E9378A"/>
    <w:rsid w:val="00E938DA"/>
    <w:rsid w:val="00E939F6"/>
    <w:rsid w:val="00E93A47"/>
    <w:rsid w:val="00E93A98"/>
    <w:rsid w:val="00E93B46"/>
    <w:rsid w:val="00E93E3F"/>
    <w:rsid w:val="00E93F7A"/>
    <w:rsid w:val="00E940D2"/>
    <w:rsid w:val="00E94174"/>
    <w:rsid w:val="00E94212"/>
    <w:rsid w:val="00E943C2"/>
    <w:rsid w:val="00E94619"/>
    <w:rsid w:val="00E9461E"/>
    <w:rsid w:val="00E94799"/>
    <w:rsid w:val="00E94943"/>
    <w:rsid w:val="00E94983"/>
    <w:rsid w:val="00E94C18"/>
    <w:rsid w:val="00E94C76"/>
    <w:rsid w:val="00E94DC8"/>
    <w:rsid w:val="00E94F20"/>
    <w:rsid w:val="00E951F0"/>
    <w:rsid w:val="00E9534B"/>
    <w:rsid w:val="00E953BB"/>
    <w:rsid w:val="00E954AA"/>
    <w:rsid w:val="00E956FE"/>
    <w:rsid w:val="00E95731"/>
    <w:rsid w:val="00E95876"/>
    <w:rsid w:val="00E95911"/>
    <w:rsid w:val="00E95933"/>
    <w:rsid w:val="00E959C1"/>
    <w:rsid w:val="00E95BCA"/>
    <w:rsid w:val="00E95C00"/>
    <w:rsid w:val="00E95C55"/>
    <w:rsid w:val="00E9604C"/>
    <w:rsid w:val="00E9606F"/>
    <w:rsid w:val="00E9614B"/>
    <w:rsid w:val="00E961E9"/>
    <w:rsid w:val="00E96299"/>
    <w:rsid w:val="00E96318"/>
    <w:rsid w:val="00E96604"/>
    <w:rsid w:val="00E9662F"/>
    <w:rsid w:val="00E966EE"/>
    <w:rsid w:val="00E966FC"/>
    <w:rsid w:val="00E96713"/>
    <w:rsid w:val="00E96773"/>
    <w:rsid w:val="00E96A8A"/>
    <w:rsid w:val="00E96AFA"/>
    <w:rsid w:val="00E96BD2"/>
    <w:rsid w:val="00E96DA3"/>
    <w:rsid w:val="00E96EA7"/>
    <w:rsid w:val="00E96EC6"/>
    <w:rsid w:val="00E96F59"/>
    <w:rsid w:val="00E96F5B"/>
    <w:rsid w:val="00E97015"/>
    <w:rsid w:val="00E97051"/>
    <w:rsid w:val="00E97074"/>
    <w:rsid w:val="00E9709F"/>
    <w:rsid w:val="00E97629"/>
    <w:rsid w:val="00E976F0"/>
    <w:rsid w:val="00E97926"/>
    <w:rsid w:val="00E97AD9"/>
    <w:rsid w:val="00E97CD6"/>
    <w:rsid w:val="00E97CF3"/>
    <w:rsid w:val="00E97D9C"/>
    <w:rsid w:val="00E97E35"/>
    <w:rsid w:val="00E97E4A"/>
    <w:rsid w:val="00E97F4A"/>
    <w:rsid w:val="00E97F7E"/>
    <w:rsid w:val="00E97FD0"/>
    <w:rsid w:val="00EA034F"/>
    <w:rsid w:val="00EA03F6"/>
    <w:rsid w:val="00EA0429"/>
    <w:rsid w:val="00EA045E"/>
    <w:rsid w:val="00EA04A5"/>
    <w:rsid w:val="00EA06FC"/>
    <w:rsid w:val="00EA0A55"/>
    <w:rsid w:val="00EA0A88"/>
    <w:rsid w:val="00EA0B37"/>
    <w:rsid w:val="00EA0D26"/>
    <w:rsid w:val="00EA0E91"/>
    <w:rsid w:val="00EA0F0A"/>
    <w:rsid w:val="00EA10A3"/>
    <w:rsid w:val="00EA111D"/>
    <w:rsid w:val="00EA1205"/>
    <w:rsid w:val="00EA1335"/>
    <w:rsid w:val="00EA15C2"/>
    <w:rsid w:val="00EA1681"/>
    <w:rsid w:val="00EA1688"/>
    <w:rsid w:val="00EA16FA"/>
    <w:rsid w:val="00EA1747"/>
    <w:rsid w:val="00EA1790"/>
    <w:rsid w:val="00EA1848"/>
    <w:rsid w:val="00EA1874"/>
    <w:rsid w:val="00EA18E8"/>
    <w:rsid w:val="00EA1997"/>
    <w:rsid w:val="00EA1ACD"/>
    <w:rsid w:val="00EA1C68"/>
    <w:rsid w:val="00EA1F1D"/>
    <w:rsid w:val="00EA20C0"/>
    <w:rsid w:val="00EA21EE"/>
    <w:rsid w:val="00EA2312"/>
    <w:rsid w:val="00EA242D"/>
    <w:rsid w:val="00EA248A"/>
    <w:rsid w:val="00EA24CB"/>
    <w:rsid w:val="00EA27DB"/>
    <w:rsid w:val="00EA2B7E"/>
    <w:rsid w:val="00EA2BD0"/>
    <w:rsid w:val="00EA2DBC"/>
    <w:rsid w:val="00EA2F41"/>
    <w:rsid w:val="00EA3000"/>
    <w:rsid w:val="00EA3337"/>
    <w:rsid w:val="00EA3395"/>
    <w:rsid w:val="00EA34D7"/>
    <w:rsid w:val="00EA365D"/>
    <w:rsid w:val="00EA370D"/>
    <w:rsid w:val="00EA3736"/>
    <w:rsid w:val="00EA384A"/>
    <w:rsid w:val="00EA38B5"/>
    <w:rsid w:val="00EA398F"/>
    <w:rsid w:val="00EA3A5D"/>
    <w:rsid w:val="00EA3B3A"/>
    <w:rsid w:val="00EA3B44"/>
    <w:rsid w:val="00EA3C6D"/>
    <w:rsid w:val="00EA3C80"/>
    <w:rsid w:val="00EA3EF8"/>
    <w:rsid w:val="00EA3FEB"/>
    <w:rsid w:val="00EA472A"/>
    <w:rsid w:val="00EA478D"/>
    <w:rsid w:val="00EA4861"/>
    <w:rsid w:val="00EA49E4"/>
    <w:rsid w:val="00EA4A2E"/>
    <w:rsid w:val="00EA4C9D"/>
    <w:rsid w:val="00EA4D73"/>
    <w:rsid w:val="00EA4DBE"/>
    <w:rsid w:val="00EA4EC2"/>
    <w:rsid w:val="00EA507C"/>
    <w:rsid w:val="00EA5442"/>
    <w:rsid w:val="00EA551D"/>
    <w:rsid w:val="00EA5845"/>
    <w:rsid w:val="00EA589F"/>
    <w:rsid w:val="00EA58FA"/>
    <w:rsid w:val="00EA5A3C"/>
    <w:rsid w:val="00EA5C78"/>
    <w:rsid w:val="00EA5CC9"/>
    <w:rsid w:val="00EA5ED0"/>
    <w:rsid w:val="00EA5FF9"/>
    <w:rsid w:val="00EA60A6"/>
    <w:rsid w:val="00EA61E1"/>
    <w:rsid w:val="00EA63DC"/>
    <w:rsid w:val="00EA63E4"/>
    <w:rsid w:val="00EA6584"/>
    <w:rsid w:val="00EA6732"/>
    <w:rsid w:val="00EA6956"/>
    <w:rsid w:val="00EA697A"/>
    <w:rsid w:val="00EA69E0"/>
    <w:rsid w:val="00EA6D42"/>
    <w:rsid w:val="00EA6D70"/>
    <w:rsid w:val="00EA6E8E"/>
    <w:rsid w:val="00EA6F83"/>
    <w:rsid w:val="00EA7207"/>
    <w:rsid w:val="00EA723E"/>
    <w:rsid w:val="00EA7446"/>
    <w:rsid w:val="00EA7516"/>
    <w:rsid w:val="00EA76F1"/>
    <w:rsid w:val="00EA77B3"/>
    <w:rsid w:val="00EA78AF"/>
    <w:rsid w:val="00EA78F8"/>
    <w:rsid w:val="00EA7AC3"/>
    <w:rsid w:val="00EA7ACE"/>
    <w:rsid w:val="00EA7D9D"/>
    <w:rsid w:val="00EA7DD6"/>
    <w:rsid w:val="00EA7EEB"/>
    <w:rsid w:val="00EA7F2E"/>
    <w:rsid w:val="00EB023A"/>
    <w:rsid w:val="00EB03D0"/>
    <w:rsid w:val="00EB05AB"/>
    <w:rsid w:val="00EB06CB"/>
    <w:rsid w:val="00EB085E"/>
    <w:rsid w:val="00EB0940"/>
    <w:rsid w:val="00EB09D6"/>
    <w:rsid w:val="00EB0B77"/>
    <w:rsid w:val="00EB0EC1"/>
    <w:rsid w:val="00EB0ED9"/>
    <w:rsid w:val="00EB0FBA"/>
    <w:rsid w:val="00EB141A"/>
    <w:rsid w:val="00EB15D3"/>
    <w:rsid w:val="00EB174B"/>
    <w:rsid w:val="00EB1751"/>
    <w:rsid w:val="00EB17EF"/>
    <w:rsid w:val="00EB1818"/>
    <w:rsid w:val="00EB1834"/>
    <w:rsid w:val="00EB1840"/>
    <w:rsid w:val="00EB193C"/>
    <w:rsid w:val="00EB19E5"/>
    <w:rsid w:val="00EB1A04"/>
    <w:rsid w:val="00EB1A9B"/>
    <w:rsid w:val="00EB1AE1"/>
    <w:rsid w:val="00EB1B24"/>
    <w:rsid w:val="00EB1B26"/>
    <w:rsid w:val="00EB1C09"/>
    <w:rsid w:val="00EB1FCC"/>
    <w:rsid w:val="00EB1FE3"/>
    <w:rsid w:val="00EB2025"/>
    <w:rsid w:val="00EB2026"/>
    <w:rsid w:val="00EB2036"/>
    <w:rsid w:val="00EB2069"/>
    <w:rsid w:val="00EB207B"/>
    <w:rsid w:val="00EB2235"/>
    <w:rsid w:val="00EB22C0"/>
    <w:rsid w:val="00EB22CF"/>
    <w:rsid w:val="00EB24C9"/>
    <w:rsid w:val="00EB2630"/>
    <w:rsid w:val="00EB2833"/>
    <w:rsid w:val="00EB29EC"/>
    <w:rsid w:val="00EB2AEB"/>
    <w:rsid w:val="00EB2B08"/>
    <w:rsid w:val="00EB2FB5"/>
    <w:rsid w:val="00EB30BD"/>
    <w:rsid w:val="00EB3346"/>
    <w:rsid w:val="00EB3369"/>
    <w:rsid w:val="00EB33B9"/>
    <w:rsid w:val="00EB33F3"/>
    <w:rsid w:val="00EB34A7"/>
    <w:rsid w:val="00EB35BC"/>
    <w:rsid w:val="00EB35ED"/>
    <w:rsid w:val="00EB39D6"/>
    <w:rsid w:val="00EB3C77"/>
    <w:rsid w:val="00EB3D41"/>
    <w:rsid w:val="00EB3F06"/>
    <w:rsid w:val="00EB3F71"/>
    <w:rsid w:val="00EB3F82"/>
    <w:rsid w:val="00EB4017"/>
    <w:rsid w:val="00EB4234"/>
    <w:rsid w:val="00EB43A4"/>
    <w:rsid w:val="00EB43C7"/>
    <w:rsid w:val="00EB4569"/>
    <w:rsid w:val="00EB4597"/>
    <w:rsid w:val="00EB49F2"/>
    <w:rsid w:val="00EB4AD9"/>
    <w:rsid w:val="00EB4BB8"/>
    <w:rsid w:val="00EB4BF4"/>
    <w:rsid w:val="00EB4BFE"/>
    <w:rsid w:val="00EB4E5C"/>
    <w:rsid w:val="00EB5023"/>
    <w:rsid w:val="00EB5108"/>
    <w:rsid w:val="00EB5202"/>
    <w:rsid w:val="00EB52CB"/>
    <w:rsid w:val="00EB5304"/>
    <w:rsid w:val="00EB538E"/>
    <w:rsid w:val="00EB55BF"/>
    <w:rsid w:val="00EB5641"/>
    <w:rsid w:val="00EB57F5"/>
    <w:rsid w:val="00EB57F6"/>
    <w:rsid w:val="00EB58D9"/>
    <w:rsid w:val="00EB5989"/>
    <w:rsid w:val="00EB5A91"/>
    <w:rsid w:val="00EB5AF0"/>
    <w:rsid w:val="00EB5BD3"/>
    <w:rsid w:val="00EB5C2E"/>
    <w:rsid w:val="00EB5C76"/>
    <w:rsid w:val="00EB5C81"/>
    <w:rsid w:val="00EB5C97"/>
    <w:rsid w:val="00EB5F2D"/>
    <w:rsid w:val="00EB600C"/>
    <w:rsid w:val="00EB63C2"/>
    <w:rsid w:val="00EB6457"/>
    <w:rsid w:val="00EB64EA"/>
    <w:rsid w:val="00EB65ED"/>
    <w:rsid w:val="00EB664D"/>
    <w:rsid w:val="00EB66CA"/>
    <w:rsid w:val="00EB6759"/>
    <w:rsid w:val="00EB67BE"/>
    <w:rsid w:val="00EB69F8"/>
    <w:rsid w:val="00EB6A90"/>
    <w:rsid w:val="00EB6AFF"/>
    <w:rsid w:val="00EB6C06"/>
    <w:rsid w:val="00EB6D08"/>
    <w:rsid w:val="00EB6E77"/>
    <w:rsid w:val="00EB6FDD"/>
    <w:rsid w:val="00EB706B"/>
    <w:rsid w:val="00EB7390"/>
    <w:rsid w:val="00EB7480"/>
    <w:rsid w:val="00EB7492"/>
    <w:rsid w:val="00EB760E"/>
    <w:rsid w:val="00EB7B75"/>
    <w:rsid w:val="00EB7D98"/>
    <w:rsid w:val="00EC004A"/>
    <w:rsid w:val="00EC04C7"/>
    <w:rsid w:val="00EC05FB"/>
    <w:rsid w:val="00EC0755"/>
    <w:rsid w:val="00EC079B"/>
    <w:rsid w:val="00EC084D"/>
    <w:rsid w:val="00EC0899"/>
    <w:rsid w:val="00EC09CA"/>
    <w:rsid w:val="00EC0B91"/>
    <w:rsid w:val="00EC0C0B"/>
    <w:rsid w:val="00EC0C29"/>
    <w:rsid w:val="00EC0C9B"/>
    <w:rsid w:val="00EC1098"/>
    <w:rsid w:val="00EC11E3"/>
    <w:rsid w:val="00EC12B4"/>
    <w:rsid w:val="00EC1341"/>
    <w:rsid w:val="00EC159D"/>
    <w:rsid w:val="00EC15F4"/>
    <w:rsid w:val="00EC1799"/>
    <w:rsid w:val="00EC17A8"/>
    <w:rsid w:val="00EC17DC"/>
    <w:rsid w:val="00EC1864"/>
    <w:rsid w:val="00EC196F"/>
    <w:rsid w:val="00EC1C29"/>
    <w:rsid w:val="00EC2090"/>
    <w:rsid w:val="00EC20EF"/>
    <w:rsid w:val="00EC238A"/>
    <w:rsid w:val="00EC281A"/>
    <w:rsid w:val="00EC2845"/>
    <w:rsid w:val="00EC286B"/>
    <w:rsid w:val="00EC2AA8"/>
    <w:rsid w:val="00EC2AEB"/>
    <w:rsid w:val="00EC2B2C"/>
    <w:rsid w:val="00EC2C7C"/>
    <w:rsid w:val="00EC2D5E"/>
    <w:rsid w:val="00EC2F67"/>
    <w:rsid w:val="00EC312A"/>
    <w:rsid w:val="00EC322D"/>
    <w:rsid w:val="00EC328D"/>
    <w:rsid w:val="00EC32EC"/>
    <w:rsid w:val="00EC33A0"/>
    <w:rsid w:val="00EC3484"/>
    <w:rsid w:val="00EC3578"/>
    <w:rsid w:val="00EC3581"/>
    <w:rsid w:val="00EC3592"/>
    <w:rsid w:val="00EC3689"/>
    <w:rsid w:val="00EC385F"/>
    <w:rsid w:val="00EC39CC"/>
    <w:rsid w:val="00EC3A20"/>
    <w:rsid w:val="00EC3DBE"/>
    <w:rsid w:val="00EC3DBF"/>
    <w:rsid w:val="00EC3E26"/>
    <w:rsid w:val="00EC3FA8"/>
    <w:rsid w:val="00EC4162"/>
    <w:rsid w:val="00EC4780"/>
    <w:rsid w:val="00EC4AE1"/>
    <w:rsid w:val="00EC4B7B"/>
    <w:rsid w:val="00EC4B7C"/>
    <w:rsid w:val="00EC4E4E"/>
    <w:rsid w:val="00EC4F1D"/>
    <w:rsid w:val="00EC4F23"/>
    <w:rsid w:val="00EC4F25"/>
    <w:rsid w:val="00EC4FB0"/>
    <w:rsid w:val="00EC5334"/>
    <w:rsid w:val="00EC5577"/>
    <w:rsid w:val="00EC561F"/>
    <w:rsid w:val="00EC5740"/>
    <w:rsid w:val="00EC5936"/>
    <w:rsid w:val="00EC5AD2"/>
    <w:rsid w:val="00EC5BA3"/>
    <w:rsid w:val="00EC5C31"/>
    <w:rsid w:val="00EC5D2D"/>
    <w:rsid w:val="00EC63C7"/>
    <w:rsid w:val="00EC6503"/>
    <w:rsid w:val="00EC65EA"/>
    <w:rsid w:val="00EC6652"/>
    <w:rsid w:val="00EC6A78"/>
    <w:rsid w:val="00EC6AD2"/>
    <w:rsid w:val="00EC6D5A"/>
    <w:rsid w:val="00EC6D84"/>
    <w:rsid w:val="00EC6E63"/>
    <w:rsid w:val="00EC7194"/>
    <w:rsid w:val="00EC72E6"/>
    <w:rsid w:val="00EC7497"/>
    <w:rsid w:val="00EC78E3"/>
    <w:rsid w:val="00EC794F"/>
    <w:rsid w:val="00EC7A5B"/>
    <w:rsid w:val="00EC7AFE"/>
    <w:rsid w:val="00EC7B66"/>
    <w:rsid w:val="00EC7B73"/>
    <w:rsid w:val="00EC7C6F"/>
    <w:rsid w:val="00EC7D65"/>
    <w:rsid w:val="00EC7E33"/>
    <w:rsid w:val="00EC7F4A"/>
    <w:rsid w:val="00ED01B0"/>
    <w:rsid w:val="00ED038C"/>
    <w:rsid w:val="00ED0428"/>
    <w:rsid w:val="00ED0479"/>
    <w:rsid w:val="00ED0540"/>
    <w:rsid w:val="00ED06B3"/>
    <w:rsid w:val="00ED06C9"/>
    <w:rsid w:val="00ED0756"/>
    <w:rsid w:val="00ED077F"/>
    <w:rsid w:val="00ED07C1"/>
    <w:rsid w:val="00ED08E9"/>
    <w:rsid w:val="00ED0958"/>
    <w:rsid w:val="00ED0C2F"/>
    <w:rsid w:val="00ED0D20"/>
    <w:rsid w:val="00ED0DAA"/>
    <w:rsid w:val="00ED0F7C"/>
    <w:rsid w:val="00ED114C"/>
    <w:rsid w:val="00ED11A2"/>
    <w:rsid w:val="00ED157F"/>
    <w:rsid w:val="00ED17B9"/>
    <w:rsid w:val="00ED18C9"/>
    <w:rsid w:val="00ED19F3"/>
    <w:rsid w:val="00ED1A96"/>
    <w:rsid w:val="00ED1C41"/>
    <w:rsid w:val="00ED1C43"/>
    <w:rsid w:val="00ED1CA1"/>
    <w:rsid w:val="00ED1E19"/>
    <w:rsid w:val="00ED1F0E"/>
    <w:rsid w:val="00ED2214"/>
    <w:rsid w:val="00ED2338"/>
    <w:rsid w:val="00ED234B"/>
    <w:rsid w:val="00ED262E"/>
    <w:rsid w:val="00ED2661"/>
    <w:rsid w:val="00ED2762"/>
    <w:rsid w:val="00ED278A"/>
    <w:rsid w:val="00ED27C3"/>
    <w:rsid w:val="00ED28D2"/>
    <w:rsid w:val="00ED2A3A"/>
    <w:rsid w:val="00ED2D1D"/>
    <w:rsid w:val="00ED2DC9"/>
    <w:rsid w:val="00ED2E0F"/>
    <w:rsid w:val="00ED2E24"/>
    <w:rsid w:val="00ED2E9B"/>
    <w:rsid w:val="00ED375F"/>
    <w:rsid w:val="00ED39F6"/>
    <w:rsid w:val="00ED3C2C"/>
    <w:rsid w:val="00ED3C7A"/>
    <w:rsid w:val="00ED3DE7"/>
    <w:rsid w:val="00ED40E2"/>
    <w:rsid w:val="00ED41C0"/>
    <w:rsid w:val="00ED4232"/>
    <w:rsid w:val="00ED4275"/>
    <w:rsid w:val="00ED4326"/>
    <w:rsid w:val="00ED44EB"/>
    <w:rsid w:val="00ED4531"/>
    <w:rsid w:val="00ED454A"/>
    <w:rsid w:val="00ED4778"/>
    <w:rsid w:val="00ED4779"/>
    <w:rsid w:val="00ED47A1"/>
    <w:rsid w:val="00ED4A1E"/>
    <w:rsid w:val="00ED4A2E"/>
    <w:rsid w:val="00ED4E42"/>
    <w:rsid w:val="00ED4EBB"/>
    <w:rsid w:val="00ED4F07"/>
    <w:rsid w:val="00ED5074"/>
    <w:rsid w:val="00ED519E"/>
    <w:rsid w:val="00ED5286"/>
    <w:rsid w:val="00ED54C8"/>
    <w:rsid w:val="00ED55F4"/>
    <w:rsid w:val="00ED5879"/>
    <w:rsid w:val="00ED58D0"/>
    <w:rsid w:val="00ED599D"/>
    <w:rsid w:val="00ED5A93"/>
    <w:rsid w:val="00ED5B0D"/>
    <w:rsid w:val="00ED5C28"/>
    <w:rsid w:val="00ED5CA6"/>
    <w:rsid w:val="00ED5E42"/>
    <w:rsid w:val="00ED5FF2"/>
    <w:rsid w:val="00ED6078"/>
    <w:rsid w:val="00ED613B"/>
    <w:rsid w:val="00ED620D"/>
    <w:rsid w:val="00ED6285"/>
    <w:rsid w:val="00ED659C"/>
    <w:rsid w:val="00ED6795"/>
    <w:rsid w:val="00ED67BB"/>
    <w:rsid w:val="00ED6833"/>
    <w:rsid w:val="00ED68FF"/>
    <w:rsid w:val="00ED69E9"/>
    <w:rsid w:val="00ED6CFF"/>
    <w:rsid w:val="00ED6E66"/>
    <w:rsid w:val="00ED70A7"/>
    <w:rsid w:val="00ED7321"/>
    <w:rsid w:val="00ED73E5"/>
    <w:rsid w:val="00ED7524"/>
    <w:rsid w:val="00ED763B"/>
    <w:rsid w:val="00ED76B5"/>
    <w:rsid w:val="00ED76CE"/>
    <w:rsid w:val="00ED771C"/>
    <w:rsid w:val="00ED7BE7"/>
    <w:rsid w:val="00ED7C18"/>
    <w:rsid w:val="00ED7D08"/>
    <w:rsid w:val="00ED7D17"/>
    <w:rsid w:val="00ED7D82"/>
    <w:rsid w:val="00ED7D8D"/>
    <w:rsid w:val="00ED7D99"/>
    <w:rsid w:val="00ED7F9E"/>
    <w:rsid w:val="00EE0338"/>
    <w:rsid w:val="00EE03B6"/>
    <w:rsid w:val="00EE0475"/>
    <w:rsid w:val="00EE049F"/>
    <w:rsid w:val="00EE05AE"/>
    <w:rsid w:val="00EE072A"/>
    <w:rsid w:val="00EE078C"/>
    <w:rsid w:val="00EE0A0A"/>
    <w:rsid w:val="00EE0A32"/>
    <w:rsid w:val="00EE0C27"/>
    <w:rsid w:val="00EE0C82"/>
    <w:rsid w:val="00EE0E90"/>
    <w:rsid w:val="00EE0EAC"/>
    <w:rsid w:val="00EE1037"/>
    <w:rsid w:val="00EE10DE"/>
    <w:rsid w:val="00EE1173"/>
    <w:rsid w:val="00EE120C"/>
    <w:rsid w:val="00EE1511"/>
    <w:rsid w:val="00EE15D1"/>
    <w:rsid w:val="00EE15F2"/>
    <w:rsid w:val="00EE1898"/>
    <w:rsid w:val="00EE18B5"/>
    <w:rsid w:val="00EE192B"/>
    <w:rsid w:val="00EE1CB6"/>
    <w:rsid w:val="00EE1D3C"/>
    <w:rsid w:val="00EE2066"/>
    <w:rsid w:val="00EE227A"/>
    <w:rsid w:val="00EE2342"/>
    <w:rsid w:val="00EE2379"/>
    <w:rsid w:val="00EE24DB"/>
    <w:rsid w:val="00EE2652"/>
    <w:rsid w:val="00EE2731"/>
    <w:rsid w:val="00EE2A96"/>
    <w:rsid w:val="00EE2BE7"/>
    <w:rsid w:val="00EE2C88"/>
    <w:rsid w:val="00EE2E2D"/>
    <w:rsid w:val="00EE3206"/>
    <w:rsid w:val="00EE3284"/>
    <w:rsid w:val="00EE342A"/>
    <w:rsid w:val="00EE34D8"/>
    <w:rsid w:val="00EE34DB"/>
    <w:rsid w:val="00EE380A"/>
    <w:rsid w:val="00EE3B0E"/>
    <w:rsid w:val="00EE3E6F"/>
    <w:rsid w:val="00EE3E85"/>
    <w:rsid w:val="00EE41C4"/>
    <w:rsid w:val="00EE44AD"/>
    <w:rsid w:val="00EE451E"/>
    <w:rsid w:val="00EE473B"/>
    <w:rsid w:val="00EE475C"/>
    <w:rsid w:val="00EE476B"/>
    <w:rsid w:val="00EE483E"/>
    <w:rsid w:val="00EE48AA"/>
    <w:rsid w:val="00EE48EA"/>
    <w:rsid w:val="00EE4A35"/>
    <w:rsid w:val="00EE4B8E"/>
    <w:rsid w:val="00EE4C18"/>
    <w:rsid w:val="00EE4CB5"/>
    <w:rsid w:val="00EE4EB4"/>
    <w:rsid w:val="00EE4F2E"/>
    <w:rsid w:val="00EE4F41"/>
    <w:rsid w:val="00EE4FC2"/>
    <w:rsid w:val="00EE4FF0"/>
    <w:rsid w:val="00EE5175"/>
    <w:rsid w:val="00EE51AE"/>
    <w:rsid w:val="00EE51D6"/>
    <w:rsid w:val="00EE5297"/>
    <w:rsid w:val="00EE532E"/>
    <w:rsid w:val="00EE53D6"/>
    <w:rsid w:val="00EE54AD"/>
    <w:rsid w:val="00EE57B5"/>
    <w:rsid w:val="00EE57BE"/>
    <w:rsid w:val="00EE5887"/>
    <w:rsid w:val="00EE59B6"/>
    <w:rsid w:val="00EE5A2A"/>
    <w:rsid w:val="00EE5A3A"/>
    <w:rsid w:val="00EE5A89"/>
    <w:rsid w:val="00EE5B60"/>
    <w:rsid w:val="00EE5BD5"/>
    <w:rsid w:val="00EE5F13"/>
    <w:rsid w:val="00EE5FC3"/>
    <w:rsid w:val="00EE60BA"/>
    <w:rsid w:val="00EE611C"/>
    <w:rsid w:val="00EE6891"/>
    <w:rsid w:val="00EE68DE"/>
    <w:rsid w:val="00EE693E"/>
    <w:rsid w:val="00EE6D84"/>
    <w:rsid w:val="00EE6E98"/>
    <w:rsid w:val="00EE6EFD"/>
    <w:rsid w:val="00EE741F"/>
    <w:rsid w:val="00EE7523"/>
    <w:rsid w:val="00EE7536"/>
    <w:rsid w:val="00EE76A6"/>
    <w:rsid w:val="00EE7944"/>
    <w:rsid w:val="00EE79EC"/>
    <w:rsid w:val="00EE7B7F"/>
    <w:rsid w:val="00EE7C1A"/>
    <w:rsid w:val="00EE7DC6"/>
    <w:rsid w:val="00EE7DDC"/>
    <w:rsid w:val="00EE7DF0"/>
    <w:rsid w:val="00EE7E90"/>
    <w:rsid w:val="00EE7FA2"/>
    <w:rsid w:val="00EF017F"/>
    <w:rsid w:val="00EF0223"/>
    <w:rsid w:val="00EF0426"/>
    <w:rsid w:val="00EF0444"/>
    <w:rsid w:val="00EF0479"/>
    <w:rsid w:val="00EF04E4"/>
    <w:rsid w:val="00EF051E"/>
    <w:rsid w:val="00EF05F9"/>
    <w:rsid w:val="00EF0701"/>
    <w:rsid w:val="00EF0727"/>
    <w:rsid w:val="00EF073D"/>
    <w:rsid w:val="00EF090A"/>
    <w:rsid w:val="00EF0963"/>
    <w:rsid w:val="00EF0AB6"/>
    <w:rsid w:val="00EF0B66"/>
    <w:rsid w:val="00EF0CB5"/>
    <w:rsid w:val="00EF0CEF"/>
    <w:rsid w:val="00EF0CF1"/>
    <w:rsid w:val="00EF0F00"/>
    <w:rsid w:val="00EF0F86"/>
    <w:rsid w:val="00EF106A"/>
    <w:rsid w:val="00EF1210"/>
    <w:rsid w:val="00EF1384"/>
    <w:rsid w:val="00EF1641"/>
    <w:rsid w:val="00EF17A6"/>
    <w:rsid w:val="00EF186C"/>
    <w:rsid w:val="00EF18A1"/>
    <w:rsid w:val="00EF1A75"/>
    <w:rsid w:val="00EF1BE7"/>
    <w:rsid w:val="00EF1E02"/>
    <w:rsid w:val="00EF1E25"/>
    <w:rsid w:val="00EF1E9A"/>
    <w:rsid w:val="00EF1FB1"/>
    <w:rsid w:val="00EF20CE"/>
    <w:rsid w:val="00EF20E8"/>
    <w:rsid w:val="00EF2569"/>
    <w:rsid w:val="00EF25BA"/>
    <w:rsid w:val="00EF25F8"/>
    <w:rsid w:val="00EF288C"/>
    <w:rsid w:val="00EF28CF"/>
    <w:rsid w:val="00EF2B0C"/>
    <w:rsid w:val="00EF2B18"/>
    <w:rsid w:val="00EF2D58"/>
    <w:rsid w:val="00EF2E7E"/>
    <w:rsid w:val="00EF2F0F"/>
    <w:rsid w:val="00EF311B"/>
    <w:rsid w:val="00EF3858"/>
    <w:rsid w:val="00EF38E1"/>
    <w:rsid w:val="00EF3A12"/>
    <w:rsid w:val="00EF3A69"/>
    <w:rsid w:val="00EF3A8C"/>
    <w:rsid w:val="00EF3AC9"/>
    <w:rsid w:val="00EF3F14"/>
    <w:rsid w:val="00EF41EB"/>
    <w:rsid w:val="00EF4238"/>
    <w:rsid w:val="00EF435D"/>
    <w:rsid w:val="00EF4403"/>
    <w:rsid w:val="00EF4446"/>
    <w:rsid w:val="00EF44A0"/>
    <w:rsid w:val="00EF4502"/>
    <w:rsid w:val="00EF4577"/>
    <w:rsid w:val="00EF46EB"/>
    <w:rsid w:val="00EF4869"/>
    <w:rsid w:val="00EF4BEB"/>
    <w:rsid w:val="00EF4C93"/>
    <w:rsid w:val="00EF4D37"/>
    <w:rsid w:val="00EF4E8C"/>
    <w:rsid w:val="00EF4F60"/>
    <w:rsid w:val="00EF5009"/>
    <w:rsid w:val="00EF52D1"/>
    <w:rsid w:val="00EF53A6"/>
    <w:rsid w:val="00EF545F"/>
    <w:rsid w:val="00EF5505"/>
    <w:rsid w:val="00EF5540"/>
    <w:rsid w:val="00EF5732"/>
    <w:rsid w:val="00EF5786"/>
    <w:rsid w:val="00EF57BE"/>
    <w:rsid w:val="00EF5857"/>
    <w:rsid w:val="00EF5944"/>
    <w:rsid w:val="00EF59F0"/>
    <w:rsid w:val="00EF5AFC"/>
    <w:rsid w:val="00EF5BF1"/>
    <w:rsid w:val="00EF5C03"/>
    <w:rsid w:val="00EF5FE7"/>
    <w:rsid w:val="00EF608E"/>
    <w:rsid w:val="00EF60DD"/>
    <w:rsid w:val="00EF60EA"/>
    <w:rsid w:val="00EF6168"/>
    <w:rsid w:val="00EF6220"/>
    <w:rsid w:val="00EF64A6"/>
    <w:rsid w:val="00EF6694"/>
    <w:rsid w:val="00EF66A9"/>
    <w:rsid w:val="00EF679C"/>
    <w:rsid w:val="00EF687B"/>
    <w:rsid w:val="00EF6BB1"/>
    <w:rsid w:val="00EF6E82"/>
    <w:rsid w:val="00EF6F33"/>
    <w:rsid w:val="00EF71BC"/>
    <w:rsid w:val="00EF76F5"/>
    <w:rsid w:val="00EF7766"/>
    <w:rsid w:val="00EF7AA9"/>
    <w:rsid w:val="00EF7B48"/>
    <w:rsid w:val="00EF7E82"/>
    <w:rsid w:val="00EF7F49"/>
    <w:rsid w:val="00F0002D"/>
    <w:rsid w:val="00F000F7"/>
    <w:rsid w:val="00F00211"/>
    <w:rsid w:val="00F003C2"/>
    <w:rsid w:val="00F003D6"/>
    <w:rsid w:val="00F00618"/>
    <w:rsid w:val="00F00744"/>
    <w:rsid w:val="00F0077B"/>
    <w:rsid w:val="00F0094C"/>
    <w:rsid w:val="00F00B11"/>
    <w:rsid w:val="00F00DC0"/>
    <w:rsid w:val="00F00E7D"/>
    <w:rsid w:val="00F00F62"/>
    <w:rsid w:val="00F00F90"/>
    <w:rsid w:val="00F00FFD"/>
    <w:rsid w:val="00F01227"/>
    <w:rsid w:val="00F0122A"/>
    <w:rsid w:val="00F014F2"/>
    <w:rsid w:val="00F01576"/>
    <w:rsid w:val="00F0169B"/>
    <w:rsid w:val="00F017DA"/>
    <w:rsid w:val="00F01806"/>
    <w:rsid w:val="00F01831"/>
    <w:rsid w:val="00F01AAB"/>
    <w:rsid w:val="00F01ACC"/>
    <w:rsid w:val="00F01B64"/>
    <w:rsid w:val="00F01CCF"/>
    <w:rsid w:val="00F01CFA"/>
    <w:rsid w:val="00F01CFF"/>
    <w:rsid w:val="00F01D15"/>
    <w:rsid w:val="00F01DEB"/>
    <w:rsid w:val="00F01E2F"/>
    <w:rsid w:val="00F01E35"/>
    <w:rsid w:val="00F01E6A"/>
    <w:rsid w:val="00F01E6F"/>
    <w:rsid w:val="00F01EA9"/>
    <w:rsid w:val="00F01F60"/>
    <w:rsid w:val="00F0200F"/>
    <w:rsid w:val="00F02262"/>
    <w:rsid w:val="00F0246C"/>
    <w:rsid w:val="00F02649"/>
    <w:rsid w:val="00F02686"/>
    <w:rsid w:val="00F02774"/>
    <w:rsid w:val="00F02883"/>
    <w:rsid w:val="00F0289B"/>
    <w:rsid w:val="00F028D4"/>
    <w:rsid w:val="00F02E53"/>
    <w:rsid w:val="00F02E9C"/>
    <w:rsid w:val="00F03051"/>
    <w:rsid w:val="00F03346"/>
    <w:rsid w:val="00F03472"/>
    <w:rsid w:val="00F0358F"/>
    <w:rsid w:val="00F035E8"/>
    <w:rsid w:val="00F036D8"/>
    <w:rsid w:val="00F03A2D"/>
    <w:rsid w:val="00F03B3B"/>
    <w:rsid w:val="00F03BD2"/>
    <w:rsid w:val="00F03C76"/>
    <w:rsid w:val="00F03E6F"/>
    <w:rsid w:val="00F0405D"/>
    <w:rsid w:val="00F04271"/>
    <w:rsid w:val="00F04397"/>
    <w:rsid w:val="00F043C3"/>
    <w:rsid w:val="00F043DF"/>
    <w:rsid w:val="00F0446A"/>
    <w:rsid w:val="00F04529"/>
    <w:rsid w:val="00F045B0"/>
    <w:rsid w:val="00F04629"/>
    <w:rsid w:val="00F04682"/>
    <w:rsid w:val="00F04688"/>
    <w:rsid w:val="00F047C0"/>
    <w:rsid w:val="00F04815"/>
    <w:rsid w:val="00F048EE"/>
    <w:rsid w:val="00F04B7F"/>
    <w:rsid w:val="00F04B99"/>
    <w:rsid w:val="00F04C35"/>
    <w:rsid w:val="00F04C97"/>
    <w:rsid w:val="00F04D0F"/>
    <w:rsid w:val="00F04D3B"/>
    <w:rsid w:val="00F04E31"/>
    <w:rsid w:val="00F04F46"/>
    <w:rsid w:val="00F0516B"/>
    <w:rsid w:val="00F05263"/>
    <w:rsid w:val="00F055CD"/>
    <w:rsid w:val="00F0574D"/>
    <w:rsid w:val="00F057BA"/>
    <w:rsid w:val="00F059CD"/>
    <w:rsid w:val="00F05AED"/>
    <w:rsid w:val="00F05B01"/>
    <w:rsid w:val="00F05B3B"/>
    <w:rsid w:val="00F05BB8"/>
    <w:rsid w:val="00F05C80"/>
    <w:rsid w:val="00F05CAD"/>
    <w:rsid w:val="00F05EBA"/>
    <w:rsid w:val="00F05EFA"/>
    <w:rsid w:val="00F0619E"/>
    <w:rsid w:val="00F061A8"/>
    <w:rsid w:val="00F062D1"/>
    <w:rsid w:val="00F0631C"/>
    <w:rsid w:val="00F06601"/>
    <w:rsid w:val="00F06B30"/>
    <w:rsid w:val="00F06B31"/>
    <w:rsid w:val="00F06F88"/>
    <w:rsid w:val="00F0706D"/>
    <w:rsid w:val="00F070DF"/>
    <w:rsid w:val="00F071E4"/>
    <w:rsid w:val="00F0722E"/>
    <w:rsid w:val="00F07262"/>
    <w:rsid w:val="00F07276"/>
    <w:rsid w:val="00F07293"/>
    <w:rsid w:val="00F0745A"/>
    <w:rsid w:val="00F0754E"/>
    <w:rsid w:val="00F07842"/>
    <w:rsid w:val="00F07AFD"/>
    <w:rsid w:val="00F07CD1"/>
    <w:rsid w:val="00F07D63"/>
    <w:rsid w:val="00F07E70"/>
    <w:rsid w:val="00F07F58"/>
    <w:rsid w:val="00F07F70"/>
    <w:rsid w:val="00F10012"/>
    <w:rsid w:val="00F1001C"/>
    <w:rsid w:val="00F100D3"/>
    <w:rsid w:val="00F1011C"/>
    <w:rsid w:val="00F1016C"/>
    <w:rsid w:val="00F1031F"/>
    <w:rsid w:val="00F103D2"/>
    <w:rsid w:val="00F10418"/>
    <w:rsid w:val="00F10922"/>
    <w:rsid w:val="00F10940"/>
    <w:rsid w:val="00F10C0C"/>
    <w:rsid w:val="00F10C69"/>
    <w:rsid w:val="00F10C6A"/>
    <w:rsid w:val="00F10D20"/>
    <w:rsid w:val="00F10D8F"/>
    <w:rsid w:val="00F10ED7"/>
    <w:rsid w:val="00F10F66"/>
    <w:rsid w:val="00F1111A"/>
    <w:rsid w:val="00F111A3"/>
    <w:rsid w:val="00F11391"/>
    <w:rsid w:val="00F11C5F"/>
    <w:rsid w:val="00F11D9D"/>
    <w:rsid w:val="00F11EB6"/>
    <w:rsid w:val="00F12238"/>
    <w:rsid w:val="00F122CF"/>
    <w:rsid w:val="00F12484"/>
    <w:rsid w:val="00F12565"/>
    <w:rsid w:val="00F12576"/>
    <w:rsid w:val="00F128AD"/>
    <w:rsid w:val="00F12943"/>
    <w:rsid w:val="00F12AB7"/>
    <w:rsid w:val="00F12B2D"/>
    <w:rsid w:val="00F12BAB"/>
    <w:rsid w:val="00F12BD0"/>
    <w:rsid w:val="00F12D38"/>
    <w:rsid w:val="00F13125"/>
    <w:rsid w:val="00F13387"/>
    <w:rsid w:val="00F13587"/>
    <w:rsid w:val="00F135E6"/>
    <w:rsid w:val="00F13828"/>
    <w:rsid w:val="00F13A57"/>
    <w:rsid w:val="00F13AEE"/>
    <w:rsid w:val="00F13B85"/>
    <w:rsid w:val="00F13C5A"/>
    <w:rsid w:val="00F13D82"/>
    <w:rsid w:val="00F13FF6"/>
    <w:rsid w:val="00F14097"/>
    <w:rsid w:val="00F140B2"/>
    <w:rsid w:val="00F1416D"/>
    <w:rsid w:val="00F1440F"/>
    <w:rsid w:val="00F14652"/>
    <w:rsid w:val="00F14700"/>
    <w:rsid w:val="00F148F3"/>
    <w:rsid w:val="00F149D1"/>
    <w:rsid w:val="00F14BCC"/>
    <w:rsid w:val="00F14BD6"/>
    <w:rsid w:val="00F14CF8"/>
    <w:rsid w:val="00F14EDE"/>
    <w:rsid w:val="00F14F03"/>
    <w:rsid w:val="00F15075"/>
    <w:rsid w:val="00F15264"/>
    <w:rsid w:val="00F152A7"/>
    <w:rsid w:val="00F153A1"/>
    <w:rsid w:val="00F1543A"/>
    <w:rsid w:val="00F15457"/>
    <w:rsid w:val="00F154F8"/>
    <w:rsid w:val="00F1568B"/>
    <w:rsid w:val="00F15713"/>
    <w:rsid w:val="00F15763"/>
    <w:rsid w:val="00F157CF"/>
    <w:rsid w:val="00F15846"/>
    <w:rsid w:val="00F15CBC"/>
    <w:rsid w:val="00F15EAB"/>
    <w:rsid w:val="00F15EFC"/>
    <w:rsid w:val="00F15F22"/>
    <w:rsid w:val="00F15F51"/>
    <w:rsid w:val="00F15FC2"/>
    <w:rsid w:val="00F1608F"/>
    <w:rsid w:val="00F160C4"/>
    <w:rsid w:val="00F1659A"/>
    <w:rsid w:val="00F16643"/>
    <w:rsid w:val="00F16681"/>
    <w:rsid w:val="00F167B1"/>
    <w:rsid w:val="00F16B5C"/>
    <w:rsid w:val="00F17193"/>
    <w:rsid w:val="00F171C8"/>
    <w:rsid w:val="00F172D2"/>
    <w:rsid w:val="00F175D8"/>
    <w:rsid w:val="00F175F3"/>
    <w:rsid w:val="00F17699"/>
    <w:rsid w:val="00F176AF"/>
    <w:rsid w:val="00F177C5"/>
    <w:rsid w:val="00F177E6"/>
    <w:rsid w:val="00F179F2"/>
    <w:rsid w:val="00F17B45"/>
    <w:rsid w:val="00F17B89"/>
    <w:rsid w:val="00F17ED8"/>
    <w:rsid w:val="00F17F12"/>
    <w:rsid w:val="00F20609"/>
    <w:rsid w:val="00F20685"/>
    <w:rsid w:val="00F207ED"/>
    <w:rsid w:val="00F20B19"/>
    <w:rsid w:val="00F20B42"/>
    <w:rsid w:val="00F20B91"/>
    <w:rsid w:val="00F20CC3"/>
    <w:rsid w:val="00F20F64"/>
    <w:rsid w:val="00F210B4"/>
    <w:rsid w:val="00F2112F"/>
    <w:rsid w:val="00F21196"/>
    <w:rsid w:val="00F214F5"/>
    <w:rsid w:val="00F215D1"/>
    <w:rsid w:val="00F2172D"/>
    <w:rsid w:val="00F219CB"/>
    <w:rsid w:val="00F21A92"/>
    <w:rsid w:val="00F21E78"/>
    <w:rsid w:val="00F22093"/>
    <w:rsid w:val="00F22128"/>
    <w:rsid w:val="00F222A6"/>
    <w:rsid w:val="00F22367"/>
    <w:rsid w:val="00F22381"/>
    <w:rsid w:val="00F2246D"/>
    <w:rsid w:val="00F22492"/>
    <w:rsid w:val="00F22538"/>
    <w:rsid w:val="00F226E7"/>
    <w:rsid w:val="00F2279E"/>
    <w:rsid w:val="00F2288E"/>
    <w:rsid w:val="00F228A1"/>
    <w:rsid w:val="00F228D3"/>
    <w:rsid w:val="00F229C8"/>
    <w:rsid w:val="00F22CC8"/>
    <w:rsid w:val="00F22D09"/>
    <w:rsid w:val="00F22D24"/>
    <w:rsid w:val="00F22D46"/>
    <w:rsid w:val="00F22DAD"/>
    <w:rsid w:val="00F23043"/>
    <w:rsid w:val="00F2315D"/>
    <w:rsid w:val="00F23224"/>
    <w:rsid w:val="00F23314"/>
    <w:rsid w:val="00F236AF"/>
    <w:rsid w:val="00F23797"/>
    <w:rsid w:val="00F238F0"/>
    <w:rsid w:val="00F23969"/>
    <w:rsid w:val="00F2396C"/>
    <w:rsid w:val="00F23B9D"/>
    <w:rsid w:val="00F23CB5"/>
    <w:rsid w:val="00F23D2F"/>
    <w:rsid w:val="00F23DBE"/>
    <w:rsid w:val="00F23EE4"/>
    <w:rsid w:val="00F24014"/>
    <w:rsid w:val="00F24020"/>
    <w:rsid w:val="00F24142"/>
    <w:rsid w:val="00F241F2"/>
    <w:rsid w:val="00F2433A"/>
    <w:rsid w:val="00F2455D"/>
    <w:rsid w:val="00F24601"/>
    <w:rsid w:val="00F24669"/>
    <w:rsid w:val="00F24857"/>
    <w:rsid w:val="00F248AB"/>
    <w:rsid w:val="00F24950"/>
    <w:rsid w:val="00F249A3"/>
    <w:rsid w:val="00F24ACA"/>
    <w:rsid w:val="00F24E1D"/>
    <w:rsid w:val="00F24F00"/>
    <w:rsid w:val="00F24F12"/>
    <w:rsid w:val="00F25076"/>
    <w:rsid w:val="00F253BC"/>
    <w:rsid w:val="00F25423"/>
    <w:rsid w:val="00F25458"/>
    <w:rsid w:val="00F255B8"/>
    <w:rsid w:val="00F2566C"/>
    <w:rsid w:val="00F2570C"/>
    <w:rsid w:val="00F25991"/>
    <w:rsid w:val="00F25A46"/>
    <w:rsid w:val="00F25B57"/>
    <w:rsid w:val="00F25BAE"/>
    <w:rsid w:val="00F25EA7"/>
    <w:rsid w:val="00F25EFD"/>
    <w:rsid w:val="00F25F7E"/>
    <w:rsid w:val="00F261CA"/>
    <w:rsid w:val="00F26350"/>
    <w:rsid w:val="00F26380"/>
    <w:rsid w:val="00F265AB"/>
    <w:rsid w:val="00F265DE"/>
    <w:rsid w:val="00F26623"/>
    <w:rsid w:val="00F26723"/>
    <w:rsid w:val="00F267DD"/>
    <w:rsid w:val="00F26822"/>
    <w:rsid w:val="00F26980"/>
    <w:rsid w:val="00F26A62"/>
    <w:rsid w:val="00F26C41"/>
    <w:rsid w:val="00F26E87"/>
    <w:rsid w:val="00F26EFC"/>
    <w:rsid w:val="00F26FCC"/>
    <w:rsid w:val="00F270D2"/>
    <w:rsid w:val="00F27131"/>
    <w:rsid w:val="00F27188"/>
    <w:rsid w:val="00F27191"/>
    <w:rsid w:val="00F271F3"/>
    <w:rsid w:val="00F2750C"/>
    <w:rsid w:val="00F27654"/>
    <w:rsid w:val="00F27733"/>
    <w:rsid w:val="00F2780E"/>
    <w:rsid w:val="00F2787D"/>
    <w:rsid w:val="00F27959"/>
    <w:rsid w:val="00F27C44"/>
    <w:rsid w:val="00F27C6B"/>
    <w:rsid w:val="00F27D57"/>
    <w:rsid w:val="00F27D87"/>
    <w:rsid w:val="00F27DF0"/>
    <w:rsid w:val="00F27E6D"/>
    <w:rsid w:val="00F27F09"/>
    <w:rsid w:val="00F27FCF"/>
    <w:rsid w:val="00F30013"/>
    <w:rsid w:val="00F30307"/>
    <w:rsid w:val="00F3077A"/>
    <w:rsid w:val="00F3080D"/>
    <w:rsid w:val="00F30928"/>
    <w:rsid w:val="00F3095A"/>
    <w:rsid w:val="00F309BF"/>
    <w:rsid w:val="00F30A66"/>
    <w:rsid w:val="00F30DF8"/>
    <w:rsid w:val="00F30E7F"/>
    <w:rsid w:val="00F31280"/>
    <w:rsid w:val="00F313BC"/>
    <w:rsid w:val="00F314CE"/>
    <w:rsid w:val="00F31873"/>
    <w:rsid w:val="00F318FD"/>
    <w:rsid w:val="00F31C48"/>
    <w:rsid w:val="00F31E9D"/>
    <w:rsid w:val="00F31EA7"/>
    <w:rsid w:val="00F31EBB"/>
    <w:rsid w:val="00F31F9A"/>
    <w:rsid w:val="00F31FD9"/>
    <w:rsid w:val="00F32039"/>
    <w:rsid w:val="00F320A5"/>
    <w:rsid w:val="00F321A8"/>
    <w:rsid w:val="00F321D1"/>
    <w:rsid w:val="00F32308"/>
    <w:rsid w:val="00F323AC"/>
    <w:rsid w:val="00F323D3"/>
    <w:rsid w:val="00F3251F"/>
    <w:rsid w:val="00F3252C"/>
    <w:rsid w:val="00F32564"/>
    <w:rsid w:val="00F325B1"/>
    <w:rsid w:val="00F325B5"/>
    <w:rsid w:val="00F32695"/>
    <w:rsid w:val="00F32922"/>
    <w:rsid w:val="00F32944"/>
    <w:rsid w:val="00F32999"/>
    <w:rsid w:val="00F32A2C"/>
    <w:rsid w:val="00F32AA4"/>
    <w:rsid w:val="00F32C8F"/>
    <w:rsid w:val="00F32CFC"/>
    <w:rsid w:val="00F32E68"/>
    <w:rsid w:val="00F331A3"/>
    <w:rsid w:val="00F331F4"/>
    <w:rsid w:val="00F3334C"/>
    <w:rsid w:val="00F3355F"/>
    <w:rsid w:val="00F33976"/>
    <w:rsid w:val="00F33A90"/>
    <w:rsid w:val="00F33B39"/>
    <w:rsid w:val="00F33CEA"/>
    <w:rsid w:val="00F33D94"/>
    <w:rsid w:val="00F341E4"/>
    <w:rsid w:val="00F34340"/>
    <w:rsid w:val="00F34383"/>
    <w:rsid w:val="00F343A9"/>
    <w:rsid w:val="00F346E9"/>
    <w:rsid w:val="00F34829"/>
    <w:rsid w:val="00F34898"/>
    <w:rsid w:val="00F348E8"/>
    <w:rsid w:val="00F34AC8"/>
    <w:rsid w:val="00F34B5A"/>
    <w:rsid w:val="00F34D10"/>
    <w:rsid w:val="00F34D3B"/>
    <w:rsid w:val="00F34D72"/>
    <w:rsid w:val="00F34D90"/>
    <w:rsid w:val="00F34F0B"/>
    <w:rsid w:val="00F34F10"/>
    <w:rsid w:val="00F35046"/>
    <w:rsid w:val="00F352F8"/>
    <w:rsid w:val="00F354F9"/>
    <w:rsid w:val="00F35620"/>
    <w:rsid w:val="00F35931"/>
    <w:rsid w:val="00F35A70"/>
    <w:rsid w:val="00F35B82"/>
    <w:rsid w:val="00F35B85"/>
    <w:rsid w:val="00F35C20"/>
    <w:rsid w:val="00F35C50"/>
    <w:rsid w:val="00F35CCE"/>
    <w:rsid w:val="00F35D20"/>
    <w:rsid w:val="00F35F4E"/>
    <w:rsid w:val="00F35FE8"/>
    <w:rsid w:val="00F3620F"/>
    <w:rsid w:val="00F36221"/>
    <w:rsid w:val="00F36358"/>
    <w:rsid w:val="00F364E5"/>
    <w:rsid w:val="00F36581"/>
    <w:rsid w:val="00F36B77"/>
    <w:rsid w:val="00F36D5E"/>
    <w:rsid w:val="00F37051"/>
    <w:rsid w:val="00F37148"/>
    <w:rsid w:val="00F3714A"/>
    <w:rsid w:val="00F37212"/>
    <w:rsid w:val="00F372CF"/>
    <w:rsid w:val="00F37311"/>
    <w:rsid w:val="00F3742F"/>
    <w:rsid w:val="00F37470"/>
    <w:rsid w:val="00F374DD"/>
    <w:rsid w:val="00F374E2"/>
    <w:rsid w:val="00F37510"/>
    <w:rsid w:val="00F375C8"/>
    <w:rsid w:val="00F3765B"/>
    <w:rsid w:val="00F37675"/>
    <w:rsid w:val="00F37731"/>
    <w:rsid w:val="00F377C4"/>
    <w:rsid w:val="00F37811"/>
    <w:rsid w:val="00F37A6E"/>
    <w:rsid w:val="00F37E33"/>
    <w:rsid w:val="00F37E77"/>
    <w:rsid w:val="00F37FAF"/>
    <w:rsid w:val="00F37FD7"/>
    <w:rsid w:val="00F402DD"/>
    <w:rsid w:val="00F4032E"/>
    <w:rsid w:val="00F4033C"/>
    <w:rsid w:val="00F403BF"/>
    <w:rsid w:val="00F40457"/>
    <w:rsid w:val="00F404B3"/>
    <w:rsid w:val="00F40557"/>
    <w:rsid w:val="00F40585"/>
    <w:rsid w:val="00F406C7"/>
    <w:rsid w:val="00F406DB"/>
    <w:rsid w:val="00F4070A"/>
    <w:rsid w:val="00F407A5"/>
    <w:rsid w:val="00F40808"/>
    <w:rsid w:val="00F40A30"/>
    <w:rsid w:val="00F40A81"/>
    <w:rsid w:val="00F40B58"/>
    <w:rsid w:val="00F40DEF"/>
    <w:rsid w:val="00F40EED"/>
    <w:rsid w:val="00F4108C"/>
    <w:rsid w:val="00F410B0"/>
    <w:rsid w:val="00F41169"/>
    <w:rsid w:val="00F411FD"/>
    <w:rsid w:val="00F4136D"/>
    <w:rsid w:val="00F4158D"/>
    <w:rsid w:val="00F416B4"/>
    <w:rsid w:val="00F4171A"/>
    <w:rsid w:val="00F417DE"/>
    <w:rsid w:val="00F418A0"/>
    <w:rsid w:val="00F41B20"/>
    <w:rsid w:val="00F41B49"/>
    <w:rsid w:val="00F41C15"/>
    <w:rsid w:val="00F41C3D"/>
    <w:rsid w:val="00F41E6F"/>
    <w:rsid w:val="00F42025"/>
    <w:rsid w:val="00F420C0"/>
    <w:rsid w:val="00F420C9"/>
    <w:rsid w:val="00F420CE"/>
    <w:rsid w:val="00F421A8"/>
    <w:rsid w:val="00F42214"/>
    <w:rsid w:val="00F4228B"/>
    <w:rsid w:val="00F423A0"/>
    <w:rsid w:val="00F423BF"/>
    <w:rsid w:val="00F42661"/>
    <w:rsid w:val="00F427CA"/>
    <w:rsid w:val="00F427DF"/>
    <w:rsid w:val="00F428DF"/>
    <w:rsid w:val="00F42B45"/>
    <w:rsid w:val="00F42DBB"/>
    <w:rsid w:val="00F42EBC"/>
    <w:rsid w:val="00F42FDA"/>
    <w:rsid w:val="00F431B6"/>
    <w:rsid w:val="00F43344"/>
    <w:rsid w:val="00F43638"/>
    <w:rsid w:val="00F43749"/>
    <w:rsid w:val="00F438A5"/>
    <w:rsid w:val="00F43972"/>
    <w:rsid w:val="00F43A5B"/>
    <w:rsid w:val="00F43AC9"/>
    <w:rsid w:val="00F43B5C"/>
    <w:rsid w:val="00F43BD8"/>
    <w:rsid w:val="00F43C01"/>
    <w:rsid w:val="00F43C45"/>
    <w:rsid w:val="00F43D28"/>
    <w:rsid w:val="00F43E7E"/>
    <w:rsid w:val="00F43E98"/>
    <w:rsid w:val="00F43FED"/>
    <w:rsid w:val="00F4400E"/>
    <w:rsid w:val="00F44086"/>
    <w:rsid w:val="00F44116"/>
    <w:rsid w:val="00F4413D"/>
    <w:rsid w:val="00F44310"/>
    <w:rsid w:val="00F443F9"/>
    <w:rsid w:val="00F44552"/>
    <w:rsid w:val="00F44578"/>
    <w:rsid w:val="00F44884"/>
    <w:rsid w:val="00F4488E"/>
    <w:rsid w:val="00F44908"/>
    <w:rsid w:val="00F44916"/>
    <w:rsid w:val="00F449AB"/>
    <w:rsid w:val="00F44AB1"/>
    <w:rsid w:val="00F44ADB"/>
    <w:rsid w:val="00F44B5F"/>
    <w:rsid w:val="00F44B68"/>
    <w:rsid w:val="00F44D9A"/>
    <w:rsid w:val="00F44FB8"/>
    <w:rsid w:val="00F451EE"/>
    <w:rsid w:val="00F451FC"/>
    <w:rsid w:val="00F458DC"/>
    <w:rsid w:val="00F459CA"/>
    <w:rsid w:val="00F45BC0"/>
    <w:rsid w:val="00F45C26"/>
    <w:rsid w:val="00F45CE9"/>
    <w:rsid w:val="00F45D1F"/>
    <w:rsid w:val="00F45D92"/>
    <w:rsid w:val="00F4608E"/>
    <w:rsid w:val="00F460CE"/>
    <w:rsid w:val="00F460D8"/>
    <w:rsid w:val="00F46184"/>
    <w:rsid w:val="00F461D4"/>
    <w:rsid w:val="00F46394"/>
    <w:rsid w:val="00F46422"/>
    <w:rsid w:val="00F46437"/>
    <w:rsid w:val="00F466E2"/>
    <w:rsid w:val="00F467F3"/>
    <w:rsid w:val="00F46ABF"/>
    <w:rsid w:val="00F46BA5"/>
    <w:rsid w:val="00F46C0B"/>
    <w:rsid w:val="00F46CB5"/>
    <w:rsid w:val="00F471A5"/>
    <w:rsid w:val="00F47302"/>
    <w:rsid w:val="00F479B4"/>
    <w:rsid w:val="00F47C7C"/>
    <w:rsid w:val="00F47D72"/>
    <w:rsid w:val="00F47D9D"/>
    <w:rsid w:val="00F47EA2"/>
    <w:rsid w:val="00F5007B"/>
    <w:rsid w:val="00F500D8"/>
    <w:rsid w:val="00F500F6"/>
    <w:rsid w:val="00F500F8"/>
    <w:rsid w:val="00F501DF"/>
    <w:rsid w:val="00F50246"/>
    <w:rsid w:val="00F507E2"/>
    <w:rsid w:val="00F50B3D"/>
    <w:rsid w:val="00F50B84"/>
    <w:rsid w:val="00F50C55"/>
    <w:rsid w:val="00F50CBD"/>
    <w:rsid w:val="00F510D1"/>
    <w:rsid w:val="00F51206"/>
    <w:rsid w:val="00F51699"/>
    <w:rsid w:val="00F519BE"/>
    <w:rsid w:val="00F51E07"/>
    <w:rsid w:val="00F51EBD"/>
    <w:rsid w:val="00F5200E"/>
    <w:rsid w:val="00F521AA"/>
    <w:rsid w:val="00F522E6"/>
    <w:rsid w:val="00F5235A"/>
    <w:rsid w:val="00F5252F"/>
    <w:rsid w:val="00F52574"/>
    <w:rsid w:val="00F525B5"/>
    <w:rsid w:val="00F52649"/>
    <w:rsid w:val="00F5264D"/>
    <w:rsid w:val="00F52913"/>
    <w:rsid w:val="00F52BBF"/>
    <w:rsid w:val="00F52CBC"/>
    <w:rsid w:val="00F52D2B"/>
    <w:rsid w:val="00F52E95"/>
    <w:rsid w:val="00F531EC"/>
    <w:rsid w:val="00F5344C"/>
    <w:rsid w:val="00F53517"/>
    <w:rsid w:val="00F535BF"/>
    <w:rsid w:val="00F537EB"/>
    <w:rsid w:val="00F53908"/>
    <w:rsid w:val="00F53939"/>
    <w:rsid w:val="00F539A9"/>
    <w:rsid w:val="00F53C05"/>
    <w:rsid w:val="00F53F61"/>
    <w:rsid w:val="00F53FF9"/>
    <w:rsid w:val="00F540A6"/>
    <w:rsid w:val="00F54181"/>
    <w:rsid w:val="00F541A0"/>
    <w:rsid w:val="00F5426E"/>
    <w:rsid w:val="00F542B7"/>
    <w:rsid w:val="00F543CF"/>
    <w:rsid w:val="00F5444C"/>
    <w:rsid w:val="00F5452A"/>
    <w:rsid w:val="00F54557"/>
    <w:rsid w:val="00F54661"/>
    <w:rsid w:val="00F54810"/>
    <w:rsid w:val="00F54982"/>
    <w:rsid w:val="00F54CD4"/>
    <w:rsid w:val="00F54D33"/>
    <w:rsid w:val="00F54DAF"/>
    <w:rsid w:val="00F5500D"/>
    <w:rsid w:val="00F55123"/>
    <w:rsid w:val="00F551C3"/>
    <w:rsid w:val="00F55286"/>
    <w:rsid w:val="00F55334"/>
    <w:rsid w:val="00F553B1"/>
    <w:rsid w:val="00F55495"/>
    <w:rsid w:val="00F554B8"/>
    <w:rsid w:val="00F554D6"/>
    <w:rsid w:val="00F554E5"/>
    <w:rsid w:val="00F5550D"/>
    <w:rsid w:val="00F55623"/>
    <w:rsid w:val="00F5577C"/>
    <w:rsid w:val="00F55833"/>
    <w:rsid w:val="00F55A50"/>
    <w:rsid w:val="00F55A80"/>
    <w:rsid w:val="00F55B38"/>
    <w:rsid w:val="00F55D32"/>
    <w:rsid w:val="00F55D6A"/>
    <w:rsid w:val="00F55DA3"/>
    <w:rsid w:val="00F5612F"/>
    <w:rsid w:val="00F561B1"/>
    <w:rsid w:val="00F562D6"/>
    <w:rsid w:val="00F56322"/>
    <w:rsid w:val="00F56432"/>
    <w:rsid w:val="00F56498"/>
    <w:rsid w:val="00F564B1"/>
    <w:rsid w:val="00F565EC"/>
    <w:rsid w:val="00F5693C"/>
    <w:rsid w:val="00F56A0D"/>
    <w:rsid w:val="00F56A75"/>
    <w:rsid w:val="00F56C75"/>
    <w:rsid w:val="00F56D1D"/>
    <w:rsid w:val="00F56EB8"/>
    <w:rsid w:val="00F56EE2"/>
    <w:rsid w:val="00F56EE7"/>
    <w:rsid w:val="00F5703E"/>
    <w:rsid w:val="00F57074"/>
    <w:rsid w:val="00F570D3"/>
    <w:rsid w:val="00F5714F"/>
    <w:rsid w:val="00F57199"/>
    <w:rsid w:val="00F57400"/>
    <w:rsid w:val="00F5747C"/>
    <w:rsid w:val="00F57678"/>
    <w:rsid w:val="00F578D8"/>
    <w:rsid w:val="00F579FD"/>
    <w:rsid w:val="00F57A6F"/>
    <w:rsid w:val="00F57D84"/>
    <w:rsid w:val="00F57E77"/>
    <w:rsid w:val="00F57EE9"/>
    <w:rsid w:val="00F57F63"/>
    <w:rsid w:val="00F60208"/>
    <w:rsid w:val="00F602EF"/>
    <w:rsid w:val="00F6047E"/>
    <w:rsid w:val="00F60486"/>
    <w:rsid w:val="00F60497"/>
    <w:rsid w:val="00F604FD"/>
    <w:rsid w:val="00F6050F"/>
    <w:rsid w:val="00F6057C"/>
    <w:rsid w:val="00F605A1"/>
    <w:rsid w:val="00F60760"/>
    <w:rsid w:val="00F6092F"/>
    <w:rsid w:val="00F6097A"/>
    <w:rsid w:val="00F60AAA"/>
    <w:rsid w:val="00F60B6C"/>
    <w:rsid w:val="00F60C15"/>
    <w:rsid w:val="00F60FD0"/>
    <w:rsid w:val="00F6141C"/>
    <w:rsid w:val="00F617FC"/>
    <w:rsid w:val="00F6197D"/>
    <w:rsid w:val="00F61A8B"/>
    <w:rsid w:val="00F61B01"/>
    <w:rsid w:val="00F61C64"/>
    <w:rsid w:val="00F61E6A"/>
    <w:rsid w:val="00F620A0"/>
    <w:rsid w:val="00F621E0"/>
    <w:rsid w:val="00F6220C"/>
    <w:rsid w:val="00F6275F"/>
    <w:rsid w:val="00F6289B"/>
    <w:rsid w:val="00F629F8"/>
    <w:rsid w:val="00F62A5B"/>
    <w:rsid w:val="00F62AC5"/>
    <w:rsid w:val="00F62C59"/>
    <w:rsid w:val="00F62DA9"/>
    <w:rsid w:val="00F62EC9"/>
    <w:rsid w:val="00F62EE9"/>
    <w:rsid w:val="00F62F1A"/>
    <w:rsid w:val="00F63003"/>
    <w:rsid w:val="00F63131"/>
    <w:rsid w:val="00F6314F"/>
    <w:rsid w:val="00F633C4"/>
    <w:rsid w:val="00F6341E"/>
    <w:rsid w:val="00F63572"/>
    <w:rsid w:val="00F63A0B"/>
    <w:rsid w:val="00F63B76"/>
    <w:rsid w:val="00F63C5F"/>
    <w:rsid w:val="00F63F7B"/>
    <w:rsid w:val="00F641C6"/>
    <w:rsid w:val="00F64247"/>
    <w:rsid w:val="00F643C5"/>
    <w:rsid w:val="00F6450A"/>
    <w:rsid w:val="00F64574"/>
    <w:rsid w:val="00F64633"/>
    <w:rsid w:val="00F64699"/>
    <w:rsid w:val="00F64826"/>
    <w:rsid w:val="00F6492B"/>
    <w:rsid w:val="00F6496D"/>
    <w:rsid w:val="00F64C13"/>
    <w:rsid w:val="00F64DA2"/>
    <w:rsid w:val="00F64E75"/>
    <w:rsid w:val="00F64E81"/>
    <w:rsid w:val="00F64EA5"/>
    <w:rsid w:val="00F6513A"/>
    <w:rsid w:val="00F6519D"/>
    <w:rsid w:val="00F6526E"/>
    <w:rsid w:val="00F652AA"/>
    <w:rsid w:val="00F6553C"/>
    <w:rsid w:val="00F655FD"/>
    <w:rsid w:val="00F65751"/>
    <w:rsid w:val="00F657BC"/>
    <w:rsid w:val="00F6588A"/>
    <w:rsid w:val="00F658B1"/>
    <w:rsid w:val="00F658DB"/>
    <w:rsid w:val="00F65A31"/>
    <w:rsid w:val="00F65CB4"/>
    <w:rsid w:val="00F65D5F"/>
    <w:rsid w:val="00F65E9B"/>
    <w:rsid w:val="00F65FC8"/>
    <w:rsid w:val="00F65FE6"/>
    <w:rsid w:val="00F66055"/>
    <w:rsid w:val="00F66482"/>
    <w:rsid w:val="00F66580"/>
    <w:rsid w:val="00F6666E"/>
    <w:rsid w:val="00F66767"/>
    <w:rsid w:val="00F66942"/>
    <w:rsid w:val="00F66996"/>
    <w:rsid w:val="00F66AE8"/>
    <w:rsid w:val="00F66BD2"/>
    <w:rsid w:val="00F66DDB"/>
    <w:rsid w:val="00F66E2D"/>
    <w:rsid w:val="00F66E99"/>
    <w:rsid w:val="00F66E9C"/>
    <w:rsid w:val="00F66F99"/>
    <w:rsid w:val="00F6703E"/>
    <w:rsid w:val="00F671AD"/>
    <w:rsid w:val="00F6751E"/>
    <w:rsid w:val="00F6753A"/>
    <w:rsid w:val="00F675E4"/>
    <w:rsid w:val="00F676DA"/>
    <w:rsid w:val="00F67B0E"/>
    <w:rsid w:val="00F67B84"/>
    <w:rsid w:val="00F67BAD"/>
    <w:rsid w:val="00F67CF7"/>
    <w:rsid w:val="00F70052"/>
    <w:rsid w:val="00F7011B"/>
    <w:rsid w:val="00F701C2"/>
    <w:rsid w:val="00F7031D"/>
    <w:rsid w:val="00F70376"/>
    <w:rsid w:val="00F70394"/>
    <w:rsid w:val="00F70597"/>
    <w:rsid w:val="00F70698"/>
    <w:rsid w:val="00F706B5"/>
    <w:rsid w:val="00F708B2"/>
    <w:rsid w:val="00F708CE"/>
    <w:rsid w:val="00F70AAD"/>
    <w:rsid w:val="00F70F63"/>
    <w:rsid w:val="00F70FF5"/>
    <w:rsid w:val="00F71073"/>
    <w:rsid w:val="00F710A7"/>
    <w:rsid w:val="00F711A0"/>
    <w:rsid w:val="00F713DB"/>
    <w:rsid w:val="00F713ED"/>
    <w:rsid w:val="00F71485"/>
    <w:rsid w:val="00F7172B"/>
    <w:rsid w:val="00F71760"/>
    <w:rsid w:val="00F71B7F"/>
    <w:rsid w:val="00F71D7A"/>
    <w:rsid w:val="00F71EEA"/>
    <w:rsid w:val="00F72014"/>
    <w:rsid w:val="00F720C6"/>
    <w:rsid w:val="00F7220E"/>
    <w:rsid w:val="00F723D0"/>
    <w:rsid w:val="00F723F7"/>
    <w:rsid w:val="00F72613"/>
    <w:rsid w:val="00F7266A"/>
    <w:rsid w:val="00F72680"/>
    <w:rsid w:val="00F726AA"/>
    <w:rsid w:val="00F72789"/>
    <w:rsid w:val="00F7296E"/>
    <w:rsid w:val="00F72C16"/>
    <w:rsid w:val="00F72D50"/>
    <w:rsid w:val="00F72D7E"/>
    <w:rsid w:val="00F731E8"/>
    <w:rsid w:val="00F7334C"/>
    <w:rsid w:val="00F734F3"/>
    <w:rsid w:val="00F73546"/>
    <w:rsid w:val="00F73714"/>
    <w:rsid w:val="00F73856"/>
    <w:rsid w:val="00F73866"/>
    <w:rsid w:val="00F7392B"/>
    <w:rsid w:val="00F73ADA"/>
    <w:rsid w:val="00F73B11"/>
    <w:rsid w:val="00F73BCA"/>
    <w:rsid w:val="00F73E49"/>
    <w:rsid w:val="00F73F87"/>
    <w:rsid w:val="00F74037"/>
    <w:rsid w:val="00F74117"/>
    <w:rsid w:val="00F74675"/>
    <w:rsid w:val="00F74691"/>
    <w:rsid w:val="00F748E1"/>
    <w:rsid w:val="00F749F3"/>
    <w:rsid w:val="00F74AD7"/>
    <w:rsid w:val="00F74CDC"/>
    <w:rsid w:val="00F74DC1"/>
    <w:rsid w:val="00F74E35"/>
    <w:rsid w:val="00F74EDF"/>
    <w:rsid w:val="00F74F95"/>
    <w:rsid w:val="00F75031"/>
    <w:rsid w:val="00F75190"/>
    <w:rsid w:val="00F7533D"/>
    <w:rsid w:val="00F754CC"/>
    <w:rsid w:val="00F75597"/>
    <w:rsid w:val="00F755F2"/>
    <w:rsid w:val="00F75782"/>
    <w:rsid w:val="00F75892"/>
    <w:rsid w:val="00F7591A"/>
    <w:rsid w:val="00F75973"/>
    <w:rsid w:val="00F75A61"/>
    <w:rsid w:val="00F75A7A"/>
    <w:rsid w:val="00F7600B"/>
    <w:rsid w:val="00F76296"/>
    <w:rsid w:val="00F764F7"/>
    <w:rsid w:val="00F76588"/>
    <w:rsid w:val="00F767E4"/>
    <w:rsid w:val="00F76976"/>
    <w:rsid w:val="00F769B7"/>
    <w:rsid w:val="00F76B03"/>
    <w:rsid w:val="00F76B46"/>
    <w:rsid w:val="00F76B82"/>
    <w:rsid w:val="00F76C5E"/>
    <w:rsid w:val="00F76F4F"/>
    <w:rsid w:val="00F77125"/>
    <w:rsid w:val="00F77428"/>
    <w:rsid w:val="00F7747D"/>
    <w:rsid w:val="00F77B39"/>
    <w:rsid w:val="00F77BCE"/>
    <w:rsid w:val="00F77CF5"/>
    <w:rsid w:val="00F77E29"/>
    <w:rsid w:val="00F77E5F"/>
    <w:rsid w:val="00F77FE9"/>
    <w:rsid w:val="00F8030E"/>
    <w:rsid w:val="00F80508"/>
    <w:rsid w:val="00F80663"/>
    <w:rsid w:val="00F806BC"/>
    <w:rsid w:val="00F807CF"/>
    <w:rsid w:val="00F808DA"/>
    <w:rsid w:val="00F80B08"/>
    <w:rsid w:val="00F80C0D"/>
    <w:rsid w:val="00F80C3C"/>
    <w:rsid w:val="00F80DAC"/>
    <w:rsid w:val="00F80F0A"/>
    <w:rsid w:val="00F80F4F"/>
    <w:rsid w:val="00F80F6A"/>
    <w:rsid w:val="00F80FE9"/>
    <w:rsid w:val="00F80FEF"/>
    <w:rsid w:val="00F81012"/>
    <w:rsid w:val="00F81061"/>
    <w:rsid w:val="00F810FE"/>
    <w:rsid w:val="00F8112F"/>
    <w:rsid w:val="00F8115F"/>
    <w:rsid w:val="00F81226"/>
    <w:rsid w:val="00F813C6"/>
    <w:rsid w:val="00F81419"/>
    <w:rsid w:val="00F81458"/>
    <w:rsid w:val="00F8165A"/>
    <w:rsid w:val="00F816CE"/>
    <w:rsid w:val="00F81745"/>
    <w:rsid w:val="00F817D5"/>
    <w:rsid w:val="00F8180B"/>
    <w:rsid w:val="00F81974"/>
    <w:rsid w:val="00F81BE2"/>
    <w:rsid w:val="00F8204D"/>
    <w:rsid w:val="00F82221"/>
    <w:rsid w:val="00F82389"/>
    <w:rsid w:val="00F82685"/>
    <w:rsid w:val="00F828D4"/>
    <w:rsid w:val="00F82921"/>
    <w:rsid w:val="00F82BDB"/>
    <w:rsid w:val="00F82C02"/>
    <w:rsid w:val="00F82CAF"/>
    <w:rsid w:val="00F82EAE"/>
    <w:rsid w:val="00F8344E"/>
    <w:rsid w:val="00F83564"/>
    <w:rsid w:val="00F8358D"/>
    <w:rsid w:val="00F838AB"/>
    <w:rsid w:val="00F838D5"/>
    <w:rsid w:val="00F83AC6"/>
    <w:rsid w:val="00F83B50"/>
    <w:rsid w:val="00F83C20"/>
    <w:rsid w:val="00F83D49"/>
    <w:rsid w:val="00F83DAD"/>
    <w:rsid w:val="00F83E3B"/>
    <w:rsid w:val="00F83F67"/>
    <w:rsid w:val="00F84102"/>
    <w:rsid w:val="00F8418E"/>
    <w:rsid w:val="00F84250"/>
    <w:rsid w:val="00F84478"/>
    <w:rsid w:val="00F8470A"/>
    <w:rsid w:val="00F8473A"/>
    <w:rsid w:val="00F8474B"/>
    <w:rsid w:val="00F84A08"/>
    <w:rsid w:val="00F84A52"/>
    <w:rsid w:val="00F84B60"/>
    <w:rsid w:val="00F84BF4"/>
    <w:rsid w:val="00F851AB"/>
    <w:rsid w:val="00F85326"/>
    <w:rsid w:val="00F8537B"/>
    <w:rsid w:val="00F85426"/>
    <w:rsid w:val="00F8552D"/>
    <w:rsid w:val="00F855F1"/>
    <w:rsid w:val="00F8564C"/>
    <w:rsid w:val="00F8573D"/>
    <w:rsid w:val="00F858D1"/>
    <w:rsid w:val="00F85A60"/>
    <w:rsid w:val="00F85A95"/>
    <w:rsid w:val="00F85F75"/>
    <w:rsid w:val="00F8601C"/>
    <w:rsid w:val="00F860DE"/>
    <w:rsid w:val="00F86101"/>
    <w:rsid w:val="00F862D8"/>
    <w:rsid w:val="00F8631C"/>
    <w:rsid w:val="00F86344"/>
    <w:rsid w:val="00F863BD"/>
    <w:rsid w:val="00F8663F"/>
    <w:rsid w:val="00F867D6"/>
    <w:rsid w:val="00F8692B"/>
    <w:rsid w:val="00F86B6F"/>
    <w:rsid w:val="00F86BAF"/>
    <w:rsid w:val="00F86D2B"/>
    <w:rsid w:val="00F86E13"/>
    <w:rsid w:val="00F86E93"/>
    <w:rsid w:val="00F86F79"/>
    <w:rsid w:val="00F87141"/>
    <w:rsid w:val="00F87581"/>
    <w:rsid w:val="00F87615"/>
    <w:rsid w:val="00F87693"/>
    <w:rsid w:val="00F87753"/>
    <w:rsid w:val="00F877FC"/>
    <w:rsid w:val="00F87942"/>
    <w:rsid w:val="00F87973"/>
    <w:rsid w:val="00F87E2B"/>
    <w:rsid w:val="00F87F1A"/>
    <w:rsid w:val="00F9000B"/>
    <w:rsid w:val="00F900F1"/>
    <w:rsid w:val="00F9047B"/>
    <w:rsid w:val="00F90483"/>
    <w:rsid w:val="00F904EA"/>
    <w:rsid w:val="00F9057F"/>
    <w:rsid w:val="00F907CA"/>
    <w:rsid w:val="00F90863"/>
    <w:rsid w:val="00F90891"/>
    <w:rsid w:val="00F90941"/>
    <w:rsid w:val="00F90AEB"/>
    <w:rsid w:val="00F90C8C"/>
    <w:rsid w:val="00F90F6D"/>
    <w:rsid w:val="00F910EA"/>
    <w:rsid w:val="00F9110A"/>
    <w:rsid w:val="00F91165"/>
    <w:rsid w:val="00F911FC"/>
    <w:rsid w:val="00F9122A"/>
    <w:rsid w:val="00F9140C"/>
    <w:rsid w:val="00F916E6"/>
    <w:rsid w:val="00F91735"/>
    <w:rsid w:val="00F917E7"/>
    <w:rsid w:val="00F91BCE"/>
    <w:rsid w:val="00F91C42"/>
    <w:rsid w:val="00F91C61"/>
    <w:rsid w:val="00F91DAA"/>
    <w:rsid w:val="00F91E01"/>
    <w:rsid w:val="00F91FEE"/>
    <w:rsid w:val="00F92030"/>
    <w:rsid w:val="00F92275"/>
    <w:rsid w:val="00F922A9"/>
    <w:rsid w:val="00F922B9"/>
    <w:rsid w:val="00F9248A"/>
    <w:rsid w:val="00F92550"/>
    <w:rsid w:val="00F92589"/>
    <w:rsid w:val="00F92664"/>
    <w:rsid w:val="00F9269C"/>
    <w:rsid w:val="00F926B3"/>
    <w:rsid w:val="00F926CA"/>
    <w:rsid w:val="00F92765"/>
    <w:rsid w:val="00F927A8"/>
    <w:rsid w:val="00F92833"/>
    <w:rsid w:val="00F929D1"/>
    <w:rsid w:val="00F92BA1"/>
    <w:rsid w:val="00F92DA4"/>
    <w:rsid w:val="00F930B8"/>
    <w:rsid w:val="00F931CD"/>
    <w:rsid w:val="00F9357B"/>
    <w:rsid w:val="00F9379B"/>
    <w:rsid w:val="00F93A49"/>
    <w:rsid w:val="00F93B98"/>
    <w:rsid w:val="00F93BDB"/>
    <w:rsid w:val="00F93BF7"/>
    <w:rsid w:val="00F93C58"/>
    <w:rsid w:val="00F93CAE"/>
    <w:rsid w:val="00F93D17"/>
    <w:rsid w:val="00F93D91"/>
    <w:rsid w:val="00F93E1E"/>
    <w:rsid w:val="00F93F6A"/>
    <w:rsid w:val="00F9402C"/>
    <w:rsid w:val="00F9438A"/>
    <w:rsid w:val="00F943D7"/>
    <w:rsid w:val="00F94454"/>
    <w:rsid w:val="00F9446C"/>
    <w:rsid w:val="00F94552"/>
    <w:rsid w:val="00F945AC"/>
    <w:rsid w:val="00F94673"/>
    <w:rsid w:val="00F94709"/>
    <w:rsid w:val="00F94792"/>
    <w:rsid w:val="00F9486B"/>
    <w:rsid w:val="00F949E0"/>
    <w:rsid w:val="00F94B25"/>
    <w:rsid w:val="00F94CB7"/>
    <w:rsid w:val="00F94ECC"/>
    <w:rsid w:val="00F94F63"/>
    <w:rsid w:val="00F94FAF"/>
    <w:rsid w:val="00F9506A"/>
    <w:rsid w:val="00F952BC"/>
    <w:rsid w:val="00F9560E"/>
    <w:rsid w:val="00F95672"/>
    <w:rsid w:val="00F95676"/>
    <w:rsid w:val="00F956DD"/>
    <w:rsid w:val="00F957A3"/>
    <w:rsid w:val="00F95916"/>
    <w:rsid w:val="00F95935"/>
    <w:rsid w:val="00F95A2C"/>
    <w:rsid w:val="00F95B29"/>
    <w:rsid w:val="00F95B77"/>
    <w:rsid w:val="00F95CD8"/>
    <w:rsid w:val="00F95CDF"/>
    <w:rsid w:val="00F95F8E"/>
    <w:rsid w:val="00F96033"/>
    <w:rsid w:val="00F96450"/>
    <w:rsid w:val="00F96596"/>
    <w:rsid w:val="00F965BB"/>
    <w:rsid w:val="00F967D0"/>
    <w:rsid w:val="00F9692D"/>
    <w:rsid w:val="00F96A0F"/>
    <w:rsid w:val="00F96D5A"/>
    <w:rsid w:val="00F96DD2"/>
    <w:rsid w:val="00F96E2E"/>
    <w:rsid w:val="00F96E40"/>
    <w:rsid w:val="00F96F30"/>
    <w:rsid w:val="00F9721A"/>
    <w:rsid w:val="00F973FA"/>
    <w:rsid w:val="00F9745C"/>
    <w:rsid w:val="00F9776E"/>
    <w:rsid w:val="00F97782"/>
    <w:rsid w:val="00F9782A"/>
    <w:rsid w:val="00F978A2"/>
    <w:rsid w:val="00F978BB"/>
    <w:rsid w:val="00F97A33"/>
    <w:rsid w:val="00F97ABB"/>
    <w:rsid w:val="00F97BD8"/>
    <w:rsid w:val="00F97BE1"/>
    <w:rsid w:val="00F97C9F"/>
    <w:rsid w:val="00F97E31"/>
    <w:rsid w:val="00F97F04"/>
    <w:rsid w:val="00FA0032"/>
    <w:rsid w:val="00FA02A6"/>
    <w:rsid w:val="00FA02C5"/>
    <w:rsid w:val="00FA02FC"/>
    <w:rsid w:val="00FA0384"/>
    <w:rsid w:val="00FA07E9"/>
    <w:rsid w:val="00FA083C"/>
    <w:rsid w:val="00FA0A38"/>
    <w:rsid w:val="00FA0C4D"/>
    <w:rsid w:val="00FA0CB0"/>
    <w:rsid w:val="00FA0DC7"/>
    <w:rsid w:val="00FA0E72"/>
    <w:rsid w:val="00FA0E98"/>
    <w:rsid w:val="00FA0F11"/>
    <w:rsid w:val="00FA10D6"/>
    <w:rsid w:val="00FA115E"/>
    <w:rsid w:val="00FA1167"/>
    <w:rsid w:val="00FA13AC"/>
    <w:rsid w:val="00FA1627"/>
    <w:rsid w:val="00FA1948"/>
    <w:rsid w:val="00FA1A65"/>
    <w:rsid w:val="00FA1AAF"/>
    <w:rsid w:val="00FA1B58"/>
    <w:rsid w:val="00FA1CB6"/>
    <w:rsid w:val="00FA1D98"/>
    <w:rsid w:val="00FA1DF9"/>
    <w:rsid w:val="00FA204C"/>
    <w:rsid w:val="00FA20FA"/>
    <w:rsid w:val="00FA23FE"/>
    <w:rsid w:val="00FA2694"/>
    <w:rsid w:val="00FA2756"/>
    <w:rsid w:val="00FA2AB6"/>
    <w:rsid w:val="00FA2BAB"/>
    <w:rsid w:val="00FA2BED"/>
    <w:rsid w:val="00FA2C1B"/>
    <w:rsid w:val="00FA2C38"/>
    <w:rsid w:val="00FA2D70"/>
    <w:rsid w:val="00FA2DA3"/>
    <w:rsid w:val="00FA2F73"/>
    <w:rsid w:val="00FA301B"/>
    <w:rsid w:val="00FA31B4"/>
    <w:rsid w:val="00FA31D0"/>
    <w:rsid w:val="00FA33B6"/>
    <w:rsid w:val="00FA33BF"/>
    <w:rsid w:val="00FA33C5"/>
    <w:rsid w:val="00FA342C"/>
    <w:rsid w:val="00FA34E8"/>
    <w:rsid w:val="00FA34EF"/>
    <w:rsid w:val="00FA35F8"/>
    <w:rsid w:val="00FA3619"/>
    <w:rsid w:val="00FA3658"/>
    <w:rsid w:val="00FA36B3"/>
    <w:rsid w:val="00FA3732"/>
    <w:rsid w:val="00FA3C93"/>
    <w:rsid w:val="00FA4222"/>
    <w:rsid w:val="00FA42C1"/>
    <w:rsid w:val="00FA434C"/>
    <w:rsid w:val="00FA4413"/>
    <w:rsid w:val="00FA4598"/>
    <w:rsid w:val="00FA4607"/>
    <w:rsid w:val="00FA4685"/>
    <w:rsid w:val="00FA46E0"/>
    <w:rsid w:val="00FA46E5"/>
    <w:rsid w:val="00FA4819"/>
    <w:rsid w:val="00FA4857"/>
    <w:rsid w:val="00FA4875"/>
    <w:rsid w:val="00FA48FF"/>
    <w:rsid w:val="00FA49D3"/>
    <w:rsid w:val="00FA4C85"/>
    <w:rsid w:val="00FA4D5E"/>
    <w:rsid w:val="00FA4DA0"/>
    <w:rsid w:val="00FA4EC2"/>
    <w:rsid w:val="00FA4EC5"/>
    <w:rsid w:val="00FA4F78"/>
    <w:rsid w:val="00FA4FA2"/>
    <w:rsid w:val="00FA5048"/>
    <w:rsid w:val="00FA504A"/>
    <w:rsid w:val="00FA54EF"/>
    <w:rsid w:val="00FA555C"/>
    <w:rsid w:val="00FA5743"/>
    <w:rsid w:val="00FA5747"/>
    <w:rsid w:val="00FA5A10"/>
    <w:rsid w:val="00FA5C69"/>
    <w:rsid w:val="00FA6108"/>
    <w:rsid w:val="00FA6394"/>
    <w:rsid w:val="00FA652F"/>
    <w:rsid w:val="00FA66AC"/>
    <w:rsid w:val="00FA67F2"/>
    <w:rsid w:val="00FA6AB8"/>
    <w:rsid w:val="00FA6B12"/>
    <w:rsid w:val="00FA6B2E"/>
    <w:rsid w:val="00FA6B4B"/>
    <w:rsid w:val="00FA6E95"/>
    <w:rsid w:val="00FA6FBE"/>
    <w:rsid w:val="00FA6FC3"/>
    <w:rsid w:val="00FA70EA"/>
    <w:rsid w:val="00FA72A6"/>
    <w:rsid w:val="00FA7351"/>
    <w:rsid w:val="00FA74D5"/>
    <w:rsid w:val="00FA761F"/>
    <w:rsid w:val="00FA772A"/>
    <w:rsid w:val="00FA7743"/>
    <w:rsid w:val="00FA774D"/>
    <w:rsid w:val="00FA77F1"/>
    <w:rsid w:val="00FA7A34"/>
    <w:rsid w:val="00FA7CA1"/>
    <w:rsid w:val="00FA7E4A"/>
    <w:rsid w:val="00FA7EE3"/>
    <w:rsid w:val="00FA7FBA"/>
    <w:rsid w:val="00FA7FD2"/>
    <w:rsid w:val="00FB02C2"/>
    <w:rsid w:val="00FB02FB"/>
    <w:rsid w:val="00FB0636"/>
    <w:rsid w:val="00FB08AA"/>
    <w:rsid w:val="00FB08F6"/>
    <w:rsid w:val="00FB0937"/>
    <w:rsid w:val="00FB0A50"/>
    <w:rsid w:val="00FB0A69"/>
    <w:rsid w:val="00FB0A94"/>
    <w:rsid w:val="00FB0AEA"/>
    <w:rsid w:val="00FB0D60"/>
    <w:rsid w:val="00FB0DE1"/>
    <w:rsid w:val="00FB0ED4"/>
    <w:rsid w:val="00FB0EEE"/>
    <w:rsid w:val="00FB0F47"/>
    <w:rsid w:val="00FB0F56"/>
    <w:rsid w:val="00FB12F8"/>
    <w:rsid w:val="00FB132C"/>
    <w:rsid w:val="00FB14BF"/>
    <w:rsid w:val="00FB14D6"/>
    <w:rsid w:val="00FB14EB"/>
    <w:rsid w:val="00FB1546"/>
    <w:rsid w:val="00FB159C"/>
    <w:rsid w:val="00FB171A"/>
    <w:rsid w:val="00FB18B6"/>
    <w:rsid w:val="00FB1BA3"/>
    <w:rsid w:val="00FB1BCB"/>
    <w:rsid w:val="00FB1DF7"/>
    <w:rsid w:val="00FB1E04"/>
    <w:rsid w:val="00FB1F80"/>
    <w:rsid w:val="00FB1FC0"/>
    <w:rsid w:val="00FB20C1"/>
    <w:rsid w:val="00FB22F9"/>
    <w:rsid w:val="00FB232D"/>
    <w:rsid w:val="00FB2392"/>
    <w:rsid w:val="00FB23DB"/>
    <w:rsid w:val="00FB2419"/>
    <w:rsid w:val="00FB249F"/>
    <w:rsid w:val="00FB2587"/>
    <w:rsid w:val="00FB2666"/>
    <w:rsid w:val="00FB268D"/>
    <w:rsid w:val="00FB269B"/>
    <w:rsid w:val="00FB283A"/>
    <w:rsid w:val="00FB2881"/>
    <w:rsid w:val="00FB2C67"/>
    <w:rsid w:val="00FB2EAE"/>
    <w:rsid w:val="00FB2FFE"/>
    <w:rsid w:val="00FB30CF"/>
    <w:rsid w:val="00FB31FD"/>
    <w:rsid w:val="00FB3386"/>
    <w:rsid w:val="00FB3436"/>
    <w:rsid w:val="00FB3551"/>
    <w:rsid w:val="00FB35F1"/>
    <w:rsid w:val="00FB3874"/>
    <w:rsid w:val="00FB39A8"/>
    <w:rsid w:val="00FB3F0D"/>
    <w:rsid w:val="00FB3F4E"/>
    <w:rsid w:val="00FB4013"/>
    <w:rsid w:val="00FB40BC"/>
    <w:rsid w:val="00FB42AD"/>
    <w:rsid w:val="00FB4453"/>
    <w:rsid w:val="00FB4761"/>
    <w:rsid w:val="00FB494C"/>
    <w:rsid w:val="00FB49D3"/>
    <w:rsid w:val="00FB4A2A"/>
    <w:rsid w:val="00FB4A4D"/>
    <w:rsid w:val="00FB4A6E"/>
    <w:rsid w:val="00FB4BF4"/>
    <w:rsid w:val="00FB4DBD"/>
    <w:rsid w:val="00FB4DE3"/>
    <w:rsid w:val="00FB4DFE"/>
    <w:rsid w:val="00FB4EAD"/>
    <w:rsid w:val="00FB4F16"/>
    <w:rsid w:val="00FB4F6B"/>
    <w:rsid w:val="00FB5031"/>
    <w:rsid w:val="00FB504A"/>
    <w:rsid w:val="00FB50A3"/>
    <w:rsid w:val="00FB50EE"/>
    <w:rsid w:val="00FB517E"/>
    <w:rsid w:val="00FB51C1"/>
    <w:rsid w:val="00FB52F4"/>
    <w:rsid w:val="00FB52F5"/>
    <w:rsid w:val="00FB5610"/>
    <w:rsid w:val="00FB56A0"/>
    <w:rsid w:val="00FB571D"/>
    <w:rsid w:val="00FB57B3"/>
    <w:rsid w:val="00FB587B"/>
    <w:rsid w:val="00FB587E"/>
    <w:rsid w:val="00FB5920"/>
    <w:rsid w:val="00FB5CE6"/>
    <w:rsid w:val="00FB5D85"/>
    <w:rsid w:val="00FB5FAE"/>
    <w:rsid w:val="00FB610B"/>
    <w:rsid w:val="00FB612D"/>
    <w:rsid w:val="00FB638C"/>
    <w:rsid w:val="00FB66C0"/>
    <w:rsid w:val="00FB673D"/>
    <w:rsid w:val="00FB6743"/>
    <w:rsid w:val="00FB68B7"/>
    <w:rsid w:val="00FB6996"/>
    <w:rsid w:val="00FB6BE1"/>
    <w:rsid w:val="00FB6BE8"/>
    <w:rsid w:val="00FB6BF8"/>
    <w:rsid w:val="00FB6D38"/>
    <w:rsid w:val="00FB6D77"/>
    <w:rsid w:val="00FB6FA4"/>
    <w:rsid w:val="00FB6FD0"/>
    <w:rsid w:val="00FB70A6"/>
    <w:rsid w:val="00FB70B8"/>
    <w:rsid w:val="00FB724B"/>
    <w:rsid w:val="00FB73BC"/>
    <w:rsid w:val="00FB7445"/>
    <w:rsid w:val="00FB74BB"/>
    <w:rsid w:val="00FB781A"/>
    <w:rsid w:val="00FB797A"/>
    <w:rsid w:val="00FB7BE1"/>
    <w:rsid w:val="00FB7D1C"/>
    <w:rsid w:val="00FC0038"/>
    <w:rsid w:val="00FC0068"/>
    <w:rsid w:val="00FC014F"/>
    <w:rsid w:val="00FC015C"/>
    <w:rsid w:val="00FC0358"/>
    <w:rsid w:val="00FC03DD"/>
    <w:rsid w:val="00FC05BA"/>
    <w:rsid w:val="00FC0B03"/>
    <w:rsid w:val="00FC0C49"/>
    <w:rsid w:val="00FC0CCD"/>
    <w:rsid w:val="00FC0D4C"/>
    <w:rsid w:val="00FC0E40"/>
    <w:rsid w:val="00FC0F0E"/>
    <w:rsid w:val="00FC13D1"/>
    <w:rsid w:val="00FC1502"/>
    <w:rsid w:val="00FC15C3"/>
    <w:rsid w:val="00FC192A"/>
    <w:rsid w:val="00FC1A45"/>
    <w:rsid w:val="00FC1E42"/>
    <w:rsid w:val="00FC216C"/>
    <w:rsid w:val="00FC2177"/>
    <w:rsid w:val="00FC2492"/>
    <w:rsid w:val="00FC25C5"/>
    <w:rsid w:val="00FC25CF"/>
    <w:rsid w:val="00FC272E"/>
    <w:rsid w:val="00FC27BF"/>
    <w:rsid w:val="00FC27E9"/>
    <w:rsid w:val="00FC2832"/>
    <w:rsid w:val="00FC29BC"/>
    <w:rsid w:val="00FC29E0"/>
    <w:rsid w:val="00FC2CCE"/>
    <w:rsid w:val="00FC2D80"/>
    <w:rsid w:val="00FC2E90"/>
    <w:rsid w:val="00FC2F09"/>
    <w:rsid w:val="00FC2F8C"/>
    <w:rsid w:val="00FC3085"/>
    <w:rsid w:val="00FC30DA"/>
    <w:rsid w:val="00FC31C2"/>
    <w:rsid w:val="00FC31E7"/>
    <w:rsid w:val="00FC32B4"/>
    <w:rsid w:val="00FC32DC"/>
    <w:rsid w:val="00FC34C5"/>
    <w:rsid w:val="00FC360F"/>
    <w:rsid w:val="00FC369A"/>
    <w:rsid w:val="00FC373B"/>
    <w:rsid w:val="00FC3792"/>
    <w:rsid w:val="00FC3818"/>
    <w:rsid w:val="00FC390F"/>
    <w:rsid w:val="00FC3C23"/>
    <w:rsid w:val="00FC3D05"/>
    <w:rsid w:val="00FC3DF6"/>
    <w:rsid w:val="00FC3E6F"/>
    <w:rsid w:val="00FC3ED2"/>
    <w:rsid w:val="00FC3ED8"/>
    <w:rsid w:val="00FC3F21"/>
    <w:rsid w:val="00FC407A"/>
    <w:rsid w:val="00FC4333"/>
    <w:rsid w:val="00FC4345"/>
    <w:rsid w:val="00FC43BE"/>
    <w:rsid w:val="00FC4430"/>
    <w:rsid w:val="00FC45EA"/>
    <w:rsid w:val="00FC47BB"/>
    <w:rsid w:val="00FC4C41"/>
    <w:rsid w:val="00FC4CDE"/>
    <w:rsid w:val="00FC4EA8"/>
    <w:rsid w:val="00FC4F31"/>
    <w:rsid w:val="00FC50A4"/>
    <w:rsid w:val="00FC5248"/>
    <w:rsid w:val="00FC52A8"/>
    <w:rsid w:val="00FC5344"/>
    <w:rsid w:val="00FC53C6"/>
    <w:rsid w:val="00FC5459"/>
    <w:rsid w:val="00FC5696"/>
    <w:rsid w:val="00FC5888"/>
    <w:rsid w:val="00FC58B5"/>
    <w:rsid w:val="00FC5C17"/>
    <w:rsid w:val="00FC5CAE"/>
    <w:rsid w:val="00FC60B5"/>
    <w:rsid w:val="00FC61E2"/>
    <w:rsid w:val="00FC627E"/>
    <w:rsid w:val="00FC63C7"/>
    <w:rsid w:val="00FC6454"/>
    <w:rsid w:val="00FC6517"/>
    <w:rsid w:val="00FC65A1"/>
    <w:rsid w:val="00FC6606"/>
    <w:rsid w:val="00FC6753"/>
    <w:rsid w:val="00FC69F7"/>
    <w:rsid w:val="00FC6AA7"/>
    <w:rsid w:val="00FC6AE4"/>
    <w:rsid w:val="00FC6AF7"/>
    <w:rsid w:val="00FC6CDB"/>
    <w:rsid w:val="00FC6D85"/>
    <w:rsid w:val="00FC6DE1"/>
    <w:rsid w:val="00FC6DEB"/>
    <w:rsid w:val="00FC6E5A"/>
    <w:rsid w:val="00FC6ECE"/>
    <w:rsid w:val="00FC7022"/>
    <w:rsid w:val="00FC7724"/>
    <w:rsid w:val="00FC77FA"/>
    <w:rsid w:val="00FC7865"/>
    <w:rsid w:val="00FC78FB"/>
    <w:rsid w:val="00FC7931"/>
    <w:rsid w:val="00FC79AB"/>
    <w:rsid w:val="00FC7B17"/>
    <w:rsid w:val="00FC7C3A"/>
    <w:rsid w:val="00FC7F53"/>
    <w:rsid w:val="00FD003C"/>
    <w:rsid w:val="00FD0092"/>
    <w:rsid w:val="00FD01E0"/>
    <w:rsid w:val="00FD0589"/>
    <w:rsid w:val="00FD0620"/>
    <w:rsid w:val="00FD06C0"/>
    <w:rsid w:val="00FD08B5"/>
    <w:rsid w:val="00FD0B8A"/>
    <w:rsid w:val="00FD0B8E"/>
    <w:rsid w:val="00FD0E90"/>
    <w:rsid w:val="00FD1077"/>
    <w:rsid w:val="00FD1190"/>
    <w:rsid w:val="00FD14F9"/>
    <w:rsid w:val="00FD1547"/>
    <w:rsid w:val="00FD156C"/>
    <w:rsid w:val="00FD163E"/>
    <w:rsid w:val="00FD1750"/>
    <w:rsid w:val="00FD1811"/>
    <w:rsid w:val="00FD19BC"/>
    <w:rsid w:val="00FD1A0D"/>
    <w:rsid w:val="00FD1DCF"/>
    <w:rsid w:val="00FD1F00"/>
    <w:rsid w:val="00FD1F71"/>
    <w:rsid w:val="00FD1F88"/>
    <w:rsid w:val="00FD1FBA"/>
    <w:rsid w:val="00FD229B"/>
    <w:rsid w:val="00FD232C"/>
    <w:rsid w:val="00FD236B"/>
    <w:rsid w:val="00FD24F6"/>
    <w:rsid w:val="00FD266E"/>
    <w:rsid w:val="00FD2719"/>
    <w:rsid w:val="00FD2785"/>
    <w:rsid w:val="00FD2838"/>
    <w:rsid w:val="00FD2987"/>
    <w:rsid w:val="00FD2A74"/>
    <w:rsid w:val="00FD2A77"/>
    <w:rsid w:val="00FD2A78"/>
    <w:rsid w:val="00FD2B78"/>
    <w:rsid w:val="00FD2C33"/>
    <w:rsid w:val="00FD2F04"/>
    <w:rsid w:val="00FD30D1"/>
    <w:rsid w:val="00FD30ED"/>
    <w:rsid w:val="00FD30FB"/>
    <w:rsid w:val="00FD310E"/>
    <w:rsid w:val="00FD325A"/>
    <w:rsid w:val="00FD3467"/>
    <w:rsid w:val="00FD34C8"/>
    <w:rsid w:val="00FD34E4"/>
    <w:rsid w:val="00FD36A3"/>
    <w:rsid w:val="00FD36AB"/>
    <w:rsid w:val="00FD370B"/>
    <w:rsid w:val="00FD3799"/>
    <w:rsid w:val="00FD38A0"/>
    <w:rsid w:val="00FD3C09"/>
    <w:rsid w:val="00FD3D68"/>
    <w:rsid w:val="00FD3DE4"/>
    <w:rsid w:val="00FD3E98"/>
    <w:rsid w:val="00FD3F60"/>
    <w:rsid w:val="00FD3FB9"/>
    <w:rsid w:val="00FD3FD6"/>
    <w:rsid w:val="00FD3FEA"/>
    <w:rsid w:val="00FD4008"/>
    <w:rsid w:val="00FD4011"/>
    <w:rsid w:val="00FD40BC"/>
    <w:rsid w:val="00FD4102"/>
    <w:rsid w:val="00FD452C"/>
    <w:rsid w:val="00FD4811"/>
    <w:rsid w:val="00FD4884"/>
    <w:rsid w:val="00FD4AAD"/>
    <w:rsid w:val="00FD4AF4"/>
    <w:rsid w:val="00FD4C82"/>
    <w:rsid w:val="00FD4D82"/>
    <w:rsid w:val="00FD4E37"/>
    <w:rsid w:val="00FD4E3D"/>
    <w:rsid w:val="00FD4EEB"/>
    <w:rsid w:val="00FD50B6"/>
    <w:rsid w:val="00FD52A6"/>
    <w:rsid w:val="00FD54B3"/>
    <w:rsid w:val="00FD576E"/>
    <w:rsid w:val="00FD57FB"/>
    <w:rsid w:val="00FD58F5"/>
    <w:rsid w:val="00FD592C"/>
    <w:rsid w:val="00FD5A94"/>
    <w:rsid w:val="00FD5B0F"/>
    <w:rsid w:val="00FD5EAE"/>
    <w:rsid w:val="00FD5F12"/>
    <w:rsid w:val="00FD5FF6"/>
    <w:rsid w:val="00FD6030"/>
    <w:rsid w:val="00FD6059"/>
    <w:rsid w:val="00FD619A"/>
    <w:rsid w:val="00FD646D"/>
    <w:rsid w:val="00FD64EF"/>
    <w:rsid w:val="00FD6516"/>
    <w:rsid w:val="00FD66E1"/>
    <w:rsid w:val="00FD671B"/>
    <w:rsid w:val="00FD6982"/>
    <w:rsid w:val="00FD6CC7"/>
    <w:rsid w:val="00FD6D7A"/>
    <w:rsid w:val="00FD6DF4"/>
    <w:rsid w:val="00FD6F84"/>
    <w:rsid w:val="00FD70C5"/>
    <w:rsid w:val="00FD71DE"/>
    <w:rsid w:val="00FD7306"/>
    <w:rsid w:val="00FD733E"/>
    <w:rsid w:val="00FD7378"/>
    <w:rsid w:val="00FD73B8"/>
    <w:rsid w:val="00FD74CB"/>
    <w:rsid w:val="00FD75F7"/>
    <w:rsid w:val="00FD7786"/>
    <w:rsid w:val="00FD77D6"/>
    <w:rsid w:val="00FD7925"/>
    <w:rsid w:val="00FD7A12"/>
    <w:rsid w:val="00FD7A76"/>
    <w:rsid w:val="00FD7AFD"/>
    <w:rsid w:val="00FD7E42"/>
    <w:rsid w:val="00FD7F77"/>
    <w:rsid w:val="00FE003F"/>
    <w:rsid w:val="00FE0053"/>
    <w:rsid w:val="00FE00AB"/>
    <w:rsid w:val="00FE01BF"/>
    <w:rsid w:val="00FE0506"/>
    <w:rsid w:val="00FE05E4"/>
    <w:rsid w:val="00FE062E"/>
    <w:rsid w:val="00FE0726"/>
    <w:rsid w:val="00FE07D3"/>
    <w:rsid w:val="00FE0AA3"/>
    <w:rsid w:val="00FE0AFB"/>
    <w:rsid w:val="00FE0B54"/>
    <w:rsid w:val="00FE0BF6"/>
    <w:rsid w:val="00FE0D9A"/>
    <w:rsid w:val="00FE0E26"/>
    <w:rsid w:val="00FE0E40"/>
    <w:rsid w:val="00FE1078"/>
    <w:rsid w:val="00FE10B0"/>
    <w:rsid w:val="00FE129C"/>
    <w:rsid w:val="00FE143F"/>
    <w:rsid w:val="00FE149E"/>
    <w:rsid w:val="00FE164F"/>
    <w:rsid w:val="00FE165B"/>
    <w:rsid w:val="00FE171C"/>
    <w:rsid w:val="00FE1752"/>
    <w:rsid w:val="00FE18BE"/>
    <w:rsid w:val="00FE1901"/>
    <w:rsid w:val="00FE193D"/>
    <w:rsid w:val="00FE196A"/>
    <w:rsid w:val="00FE19B6"/>
    <w:rsid w:val="00FE2001"/>
    <w:rsid w:val="00FE210E"/>
    <w:rsid w:val="00FE21BC"/>
    <w:rsid w:val="00FE22AB"/>
    <w:rsid w:val="00FE258D"/>
    <w:rsid w:val="00FE288F"/>
    <w:rsid w:val="00FE294D"/>
    <w:rsid w:val="00FE2AD9"/>
    <w:rsid w:val="00FE2D62"/>
    <w:rsid w:val="00FE2DA9"/>
    <w:rsid w:val="00FE2FBD"/>
    <w:rsid w:val="00FE3993"/>
    <w:rsid w:val="00FE3A44"/>
    <w:rsid w:val="00FE3BE1"/>
    <w:rsid w:val="00FE3C33"/>
    <w:rsid w:val="00FE400F"/>
    <w:rsid w:val="00FE410C"/>
    <w:rsid w:val="00FE4404"/>
    <w:rsid w:val="00FE4422"/>
    <w:rsid w:val="00FE45FA"/>
    <w:rsid w:val="00FE493D"/>
    <w:rsid w:val="00FE4C79"/>
    <w:rsid w:val="00FE4C82"/>
    <w:rsid w:val="00FE4C8F"/>
    <w:rsid w:val="00FE4D61"/>
    <w:rsid w:val="00FE4ECA"/>
    <w:rsid w:val="00FE4FA3"/>
    <w:rsid w:val="00FE53D0"/>
    <w:rsid w:val="00FE55B2"/>
    <w:rsid w:val="00FE5908"/>
    <w:rsid w:val="00FE5A39"/>
    <w:rsid w:val="00FE5B1C"/>
    <w:rsid w:val="00FE5C18"/>
    <w:rsid w:val="00FE5DA6"/>
    <w:rsid w:val="00FE5E51"/>
    <w:rsid w:val="00FE5F09"/>
    <w:rsid w:val="00FE5FCB"/>
    <w:rsid w:val="00FE605E"/>
    <w:rsid w:val="00FE60F5"/>
    <w:rsid w:val="00FE61A6"/>
    <w:rsid w:val="00FE6451"/>
    <w:rsid w:val="00FE64A9"/>
    <w:rsid w:val="00FE64E1"/>
    <w:rsid w:val="00FE653A"/>
    <w:rsid w:val="00FE6763"/>
    <w:rsid w:val="00FE682C"/>
    <w:rsid w:val="00FE684C"/>
    <w:rsid w:val="00FE6A4B"/>
    <w:rsid w:val="00FE6A72"/>
    <w:rsid w:val="00FE6AF2"/>
    <w:rsid w:val="00FE6C57"/>
    <w:rsid w:val="00FE6F1C"/>
    <w:rsid w:val="00FE6FA7"/>
    <w:rsid w:val="00FE6FCC"/>
    <w:rsid w:val="00FE70B2"/>
    <w:rsid w:val="00FE70D6"/>
    <w:rsid w:val="00FE740C"/>
    <w:rsid w:val="00FE7433"/>
    <w:rsid w:val="00FE7523"/>
    <w:rsid w:val="00FE756F"/>
    <w:rsid w:val="00FE75EA"/>
    <w:rsid w:val="00FE7708"/>
    <w:rsid w:val="00FE780D"/>
    <w:rsid w:val="00FE7A50"/>
    <w:rsid w:val="00FE7A8C"/>
    <w:rsid w:val="00FE7AA9"/>
    <w:rsid w:val="00FE7ACD"/>
    <w:rsid w:val="00FE7AFB"/>
    <w:rsid w:val="00FE7D4E"/>
    <w:rsid w:val="00FE7DB4"/>
    <w:rsid w:val="00FE7E39"/>
    <w:rsid w:val="00FE7EBE"/>
    <w:rsid w:val="00FF00A0"/>
    <w:rsid w:val="00FF014D"/>
    <w:rsid w:val="00FF0181"/>
    <w:rsid w:val="00FF0244"/>
    <w:rsid w:val="00FF0377"/>
    <w:rsid w:val="00FF03AB"/>
    <w:rsid w:val="00FF04A0"/>
    <w:rsid w:val="00FF05E6"/>
    <w:rsid w:val="00FF06A1"/>
    <w:rsid w:val="00FF0B93"/>
    <w:rsid w:val="00FF0E76"/>
    <w:rsid w:val="00FF10FE"/>
    <w:rsid w:val="00FF1321"/>
    <w:rsid w:val="00FF1477"/>
    <w:rsid w:val="00FF147D"/>
    <w:rsid w:val="00FF174B"/>
    <w:rsid w:val="00FF187B"/>
    <w:rsid w:val="00FF1892"/>
    <w:rsid w:val="00FF1A04"/>
    <w:rsid w:val="00FF1A06"/>
    <w:rsid w:val="00FF1A38"/>
    <w:rsid w:val="00FF1D62"/>
    <w:rsid w:val="00FF1EE6"/>
    <w:rsid w:val="00FF1F44"/>
    <w:rsid w:val="00FF1F6B"/>
    <w:rsid w:val="00FF1FB1"/>
    <w:rsid w:val="00FF207D"/>
    <w:rsid w:val="00FF214D"/>
    <w:rsid w:val="00FF21AA"/>
    <w:rsid w:val="00FF220E"/>
    <w:rsid w:val="00FF229D"/>
    <w:rsid w:val="00FF22CE"/>
    <w:rsid w:val="00FF24A3"/>
    <w:rsid w:val="00FF24FA"/>
    <w:rsid w:val="00FF27E9"/>
    <w:rsid w:val="00FF2942"/>
    <w:rsid w:val="00FF2B65"/>
    <w:rsid w:val="00FF2BF3"/>
    <w:rsid w:val="00FF2EBA"/>
    <w:rsid w:val="00FF2ECD"/>
    <w:rsid w:val="00FF2FAE"/>
    <w:rsid w:val="00FF303F"/>
    <w:rsid w:val="00FF304D"/>
    <w:rsid w:val="00FF3337"/>
    <w:rsid w:val="00FF34D4"/>
    <w:rsid w:val="00FF34E4"/>
    <w:rsid w:val="00FF3629"/>
    <w:rsid w:val="00FF384D"/>
    <w:rsid w:val="00FF394E"/>
    <w:rsid w:val="00FF3B33"/>
    <w:rsid w:val="00FF3BEF"/>
    <w:rsid w:val="00FF3D15"/>
    <w:rsid w:val="00FF3F13"/>
    <w:rsid w:val="00FF4011"/>
    <w:rsid w:val="00FF41F5"/>
    <w:rsid w:val="00FF43CB"/>
    <w:rsid w:val="00FF43FD"/>
    <w:rsid w:val="00FF4550"/>
    <w:rsid w:val="00FF471A"/>
    <w:rsid w:val="00FF4757"/>
    <w:rsid w:val="00FF4963"/>
    <w:rsid w:val="00FF4C91"/>
    <w:rsid w:val="00FF4D57"/>
    <w:rsid w:val="00FF4D6C"/>
    <w:rsid w:val="00FF4DA2"/>
    <w:rsid w:val="00FF4F67"/>
    <w:rsid w:val="00FF4FE2"/>
    <w:rsid w:val="00FF5022"/>
    <w:rsid w:val="00FF525A"/>
    <w:rsid w:val="00FF52AF"/>
    <w:rsid w:val="00FF53B3"/>
    <w:rsid w:val="00FF5432"/>
    <w:rsid w:val="00FF5490"/>
    <w:rsid w:val="00FF55B1"/>
    <w:rsid w:val="00FF56E8"/>
    <w:rsid w:val="00FF5792"/>
    <w:rsid w:val="00FF5818"/>
    <w:rsid w:val="00FF58E9"/>
    <w:rsid w:val="00FF5980"/>
    <w:rsid w:val="00FF5B31"/>
    <w:rsid w:val="00FF5CD4"/>
    <w:rsid w:val="00FF5D04"/>
    <w:rsid w:val="00FF5D85"/>
    <w:rsid w:val="00FF5E63"/>
    <w:rsid w:val="00FF5FD4"/>
    <w:rsid w:val="00FF5FEC"/>
    <w:rsid w:val="00FF6414"/>
    <w:rsid w:val="00FF64AE"/>
    <w:rsid w:val="00FF6525"/>
    <w:rsid w:val="00FF6787"/>
    <w:rsid w:val="00FF681A"/>
    <w:rsid w:val="00FF68B4"/>
    <w:rsid w:val="00FF698C"/>
    <w:rsid w:val="00FF69A1"/>
    <w:rsid w:val="00FF6A49"/>
    <w:rsid w:val="00FF6C1A"/>
    <w:rsid w:val="00FF6CD1"/>
    <w:rsid w:val="00FF6DE3"/>
    <w:rsid w:val="00FF6F3D"/>
    <w:rsid w:val="00FF70B7"/>
    <w:rsid w:val="00FF71E8"/>
    <w:rsid w:val="00FF7277"/>
    <w:rsid w:val="00FF733F"/>
    <w:rsid w:val="00FF75FD"/>
    <w:rsid w:val="00FF765A"/>
    <w:rsid w:val="00FF778C"/>
    <w:rsid w:val="00FF78EB"/>
    <w:rsid w:val="00FF79AD"/>
    <w:rsid w:val="00FF79D0"/>
    <w:rsid w:val="00FF7B85"/>
    <w:rsid w:val="00FF7C86"/>
    <w:rsid w:val="00FF7E6E"/>
    <w:rsid w:val="01B01EED"/>
    <w:rsid w:val="06A16435"/>
    <w:rsid w:val="06C23946"/>
    <w:rsid w:val="07039C90"/>
    <w:rsid w:val="08F4C55D"/>
    <w:rsid w:val="098A281D"/>
    <w:rsid w:val="09AC2A71"/>
    <w:rsid w:val="0C55C9E4"/>
    <w:rsid w:val="0DA1B85C"/>
    <w:rsid w:val="0E833BA4"/>
    <w:rsid w:val="0EA9C19B"/>
    <w:rsid w:val="0EC2F5B7"/>
    <w:rsid w:val="1064934A"/>
    <w:rsid w:val="10FBA15A"/>
    <w:rsid w:val="11DC95DD"/>
    <w:rsid w:val="12ECA6DD"/>
    <w:rsid w:val="14B69B4E"/>
    <w:rsid w:val="14D29F04"/>
    <w:rsid w:val="15637683"/>
    <w:rsid w:val="16881146"/>
    <w:rsid w:val="16AFA733"/>
    <w:rsid w:val="16F32F13"/>
    <w:rsid w:val="178069DB"/>
    <w:rsid w:val="18784AF0"/>
    <w:rsid w:val="1A001962"/>
    <w:rsid w:val="1A9CFBB7"/>
    <w:rsid w:val="1E9CC915"/>
    <w:rsid w:val="1F729FBA"/>
    <w:rsid w:val="2038BBC2"/>
    <w:rsid w:val="20637399"/>
    <w:rsid w:val="20D61D0E"/>
    <w:rsid w:val="20F5D098"/>
    <w:rsid w:val="224D82A7"/>
    <w:rsid w:val="23F9A35F"/>
    <w:rsid w:val="23FAE8DC"/>
    <w:rsid w:val="24210B86"/>
    <w:rsid w:val="25360145"/>
    <w:rsid w:val="27157840"/>
    <w:rsid w:val="272D03A2"/>
    <w:rsid w:val="2739043F"/>
    <w:rsid w:val="2A708590"/>
    <w:rsid w:val="2B65B3D9"/>
    <w:rsid w:val="2D9E2B45"/>
    <w:rsid w:val="2E317048"/>
    <w:rsid w:val="2FA3F0FC"/>
    <w:rsid w:val="306277D2"/>
    <w:rsid w:val="3538F62F"/>
    <w:rsid w:val="397DC5F2"/>
    <w:rsid w:val="3D454C5D"/>
    <w:rsid w:val="3DF45434"/>
    <w:rsid w:val="3F68D185"/>
    <w:rsid w:val="40883140"/>
    <w:rsid w:val="42A3B7F7"/>
    <w:rsid w:val="432CDE6D"/>
    <w:rsid w:val="43406751"/>
    <w:rsid w:val="43744AFE"/>
    <w:rsid w:val="4721A93A"/>
    <w:rsid w:val="47253FD9"/>
    <w:rsid w:val="49D50FE1"/>
    <w:rsid w:val="4CCDD94D"/>
    <w:rsid w:val="4D4AFB20"/>
    <w:rsid w:val="4FBBE8F9"/>
    <w:rsid w:val="53537EF2"/>
    <w:rsid w:val="55C76ECF"/>
    <w:rsid w:val="57CE997C"/>
    <w:rsid w:val="59826E28"/>
    <w:rsid w:val="5B16D3FB"/>
    <w:rsid w:val="5ED13863"/>
    <w:rsid w:val="60ECFA49"/>
    <w:rsid w:val="61897DC2"/>
    <w:rsid w:val="61BD43C3"/>
    <w:rsid w:val="64140BAF"/>
    <w:rsid w:val="65168480"/>
    <w:rsid w:val="67A81D62"/>
    <w:rsid w:val="67CA5E1A"/>
    <w:rsid w:val="68020A7B"/>
    <w:rsid w:val="69AA3CA9"/>
    <w:rsid w:val="69AC54BC"/>
    <w:rsid w:val="6BC41964"/>
    <w:rsid w:val="6C8D0E70"/>
    <w:rsid w:val="6EC22955"/>
    <w:rsid w:val="6EDBCC41"/>
    <w:rsid w:val="6F2F2736"/>
    <w:rsid w:val="702CB708"/>
    <w:rsid w:val="70EA2DAA"/>
    <w:rsid w:val="73BFB75A"/>
    <w:rsid w:val="78C32662"/>
    <w:rsid w:val="79CDB8A3"/>
    <w:rsid w:val="7A50818C"/>
    <w:rsid w:val="7A9ACD80"/>
    <w:rsid w:val="7AF31E7F"/>
    <w:rsid w:val="7AF3B902"/>
    <w:rsid w:val="7B62D5ED"/>
    <w:rsid w:val="7D316534"/>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03AF9E"/>
  <w15:docId w15:val="{A7FB0F67-E103-45FA-8FC0-C9CC8E6E2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 w:unhideWhenUsed="1" w:qFormat="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99" w:unhideWhenUsed="1"/>
    <w:lsdException w:name="annotation reference" w:semiHidden="1" w:uiPriority="99"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4" w:unhideWhenUsed="1" w:qFormat="1"/>
    <w:lsdException w:name="List Number" w:uiPriority="3" w:qFormat="1"/>
    <w:lsdException w:name="List 2" w:semiHidden="1" w:uiPriority="0" w:unhideWhenUsed="1"/>
    <w:lsdException w:name="List 3" w:semiHidden="1" w:uiPriority="0" w:unhideWhenUsed="1"/>
    <w:lsdException w:name="List 4" w:uiPriority="0"/>
    <w:lsdException w:name="List 5" w:semiHidden="1" w:uiPriority="0"/>
    <w:lsdException w:name="List Bullet 2" w:semiHidden="1" w:uiPriority="0" w:unhideWhenUsed="1" w:qFormat="1"/>
    <w:lsdException w:name="List Bullet 3" w:semiHidden="1" w:uiPriority="99" w:unhideWhenUsed="1" w:qFormat="1"/>
    <w:lsdException w:name="List Bullet 4" w:semiHidden="1" w:uiPriority="0" w:unhideWhenUsed="1"/>
    <w:lsdException w:name="List Bullet 5" w:semiHidden="1" w:uiPriority="0" w:unhideWhenUsed="1"/>
    <w:lsdException w:name="List Number 2" w:semiHidden="1" w:uiPriority="3" w:unhideWhenUsed="1" w:qFormat="1"/>
    <w:lsdException w:name="List Number 3" w:semiHidden="1" w:uiPriority="0" w:unhideWhenUsed="1" w:qFormat="1"/>
    <w:lsdException w:name="List Number 4" w:semiHidden="1" w:uiPriority="0" w:unhideWhenUsed="1"/>
    <w:lsdException w:name="List Number 5" w:semiHidden="1" w:uiPriority="3" w:unhideWhenUsed="1"/>
    <w:lsdException w:name="Title" w:uiPriority="0"/>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lsdException w:name="Salutation" w:uiPriority="0"/>
    <w:lsdException w:name="Date" w:uiPriority="99" w:qFormat="1"/>
    <w:lsdException w:name="Body Text First Indent" w:uiPriority="0"/>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99" w:unhideWhenUsed="1"/>
    <w:lsdException w:name="FollowedHyperlink" w:semiHidden="1" w:uiPriority="0" w:unhideWhenUsed="1"/>
    <w:lsdException w:name="Strong" w:uiPriority="0"/>
    <w:lsdException w:name="Emphasis" w:uiPriority="0"/>
    <w:lsdException w:name="Document Map" w:semiHidden="1" w:uiPriority="0"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0"/>
    <w:lsdException w:name="No Spacing" w:uiPriority="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0" w:qFormat="1"/>
    <w:lsdException w:name="Intense Quote" w:uiPriority="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0"/>
    <w:lsdException w:name="Intense Emphasis" w:uiPriority="0"/>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41C6B"/>
    <w:pPr>
      <w:widowControl w:val="0"/>
      <w:autoSpaceDE w:val="0"/>
      <w:autoSpaceDN w:val="0"/>
      <w:adjustRightInd w:val="0"/>
    </w:pPr>
    <w:rPr>
      <w:rFonts w:eastAsiaTheme="minorEastAsia"/>
      <w:sz w:val="24"/>
      <w:szCs w:val="24"/>
      <w:lang w:val="en-AU" w:eastAsia="en-AU"/>
    </w:rPr>
  </w:style>
  <w:style w:type="paragraph" w:styleId="Heading1">
    <w:name w:val="heading 1"/>
    <w:basedOn w:val="BodyText"/>
    <w:next w:val="Normal"/>
    <w:link w:val="Heading1Char"/>
    <w:autoRedefine/>
    <w:uiPriority w:val="1"/>
    <w:qFormat/>
    <w:rsid w:val="006D5E8F"/>
    <w:pPr>
      <w:kinsoku w:val="0"/>
      <w:overflowPunct w:val="0"/>
      <w:spacing w:before="34"/>
      <w:ind w:right="1372"/>
      <w:outlineLvl w:val="0"/>
    </w:pPr>
    <w:rPr>
      <w:rFonts w:ascii="Georgia" w:hAnsi="Georgia" w:cs="Georgia"/>
      <w:sz w:val="60"/>
      <w:szCs w:val="60"/>
    </w:rPr>
  </w:style>
  <w:style w:type="paragraph" w:styleId="Heading2">
    <w:name w:val="heading 2"/>
    <w:basedOn w:val="BodyText"/>
    <w:next w:val="Normal"/>
    <w:link w:val="Heading2Char"/>
    <w:autoRedefine/>
    <w:uiPriority w:val="1"/>
    <w:qFormat/>
    <w:rsid w:val="00A64A41"/>
    <w:pPr>
      <w:kinsoku w:val="0"/>
      <w:overflowPunct w:val="0"/>
      <w:spacing w:before="58"/>
      <w:outlineLvl w:val="1"/>
    </w:pPr>
    <w:rPr>
      <w:b/>
      <w:bCs/>
      <w:sz w:val="30"/>
      <w:szCs w:val="30"/>
    </w:rPr>
  </w:style>
  <w:style w:type="paragraph" w:styleId="Heading3">
    <w:name w:val="heading 3"/>
    <w:basedOn w:val="BodyTextBold"/>
    <w:next w:val="Normal"/>
    <w:link w:val="Heading3Char"/>
    <w:uiPriority w:val="1"/>
    <w:qFormat/>
    <w:rsid w:val="007F09E7"/>
    <w:pPr>
      <w:spacing w:before="240"/>
      <w:outlineLvl w:val="2"/>
    </w:pPr>
    <w:rPr>
      <w:sz w:val="22"/>
    </w:rPr>
  </w:style>
  <w:style w:type="paragraph" w:styleId="Heading4">
    <w:name w:val="heading 4"/>
    <w:basedOn w:val="Heading3"/>
    <w:next w:val="Normal"/>
    <w:link w:val="Heading4Char"/>
    <w:uiPriority w:val="1"/>
    <w:qFormat/>
    <w:rsid w:val="00E40956"/>
    <w:pPr>
      <w:outlineLvl w:val="3"/>
    </w:pPr>
    <w:rPr>
      <w:sz w:val="20"/>
      <w:szCs w:val="20"/>
    </w:rPr>
  </w:style>
  <w:style w:type="paragraph" w:styleId="Heading5">
    <w:name w:val="heading 5"/>
    <w:basedOn w:val="Normal"/>
    <w:next w:val="Normal"/>
    <w:link w:val="Heading5Char"/>
    <w:uiPriority w:val="1"/>
    <w:qFormat/>
    <w:pPr>
      <w:ind w:left="118"/>
      <w:outlineLvl w:val="4"/>
    </w:pPr>
    <w:rPr>
      <w:rFonts w:ascii="Arial" w:hAnsi="Arial" w:cs="Arial"/>
      <w:b/>
      <w:bCs/>
      <w:i/>
      <w:iCs/>
      <w:sz w:val="20"/>
      <w:szCs w:val="20"/>
    </w:rPr>
  </w:style>
  <w:style w:type="paragraph" w:styleId="Heading6">
    <w:name w:val="heading 6"/>
    <w:basedOn w:val="Normal"/>
    <w:next w:val="Normal"/>
    <w:link w:val="Heading6Char"/>
    <w:uiPriority w:val="9"/>
    <w:qFormat/>
    <w:rsid w:val="00C63303"/>
    <w:pPr>
      <w:numPr>
        <w:ilvl w:val="5"/>
        <w:numId w:val="13"/>
      </w:numPr>
      <w:spacing w:before="240" w:after="60"/>
      <w:outlineLvl w:val="5"/>
    </w:pPr>
    <w:rPr>
      <w:rFonts w:asciiTheme="majorHAnsi" w:hAnsiTheme="majorHAnsi" w:cstheme="majorHAnsi"/>
      <w:b/>
      <w:bCs/>
      <w:sz w:val="16"/>
      <w:szCs w:val="22"/>
    </w:rPr>
  </w:style>
  <w:style w:type="paragraph" w:styleId="Heading7">
    <w:name w:val="heading 7"/>
    <w:basedOn w:val="Normal"/>
    <w:next w:val="Normal"/>
    <w:link w:val="Heading7Char"/>
    <w:semiHidden/>
    <w:rsid w:val="00C63303"/>
    <w:pPr>
      <w:numPr>
        <w:ilvl w:val="6"/>
        <w:numId w:val="13"/>
      </w:numPr>
      <w:spacing w:before="240" w:after="60"/>
      <w:outlineLvl w:val="6"/>
    </w:pPr>
    <w:rPr>
      <w:rFonts w:asciiTheme="majorHAnsi" w:hAnsiTheme="majorHAnsi" w:cstheme="majorHAnsi"/>
    </w:rPr>
  </w:style>
  <w:style w:type="paragraph" w:styleId="Heading8">
    <w:name w:val="heading 8"/>
    <w:basedOn w:val="Normal"/>
    <w:next w:val="Normal"/>
    <w:link w:val="Heading8Char"/>
    <w:semiHidden/>
    <w:rsid w:val="00C63303"/>
    <w:pPr>
      <w:numPr>
        <w:ilvl w:val="7"/>
        <w:numId w:val="13"/>
      </w:numPr>
      <w:spacing w:before="240" w:after="60"/>
      <w:outlineLvl w:val="7"/>
    </w:pPr>
    <w:rPr>
      <w:rFonts w:asciiTheme="majorHAnsi" w:hAnsiTheme="majorHAnsi" w:cstheme="majorHAnsi"/>
      <w:i/>
      <w:iCs/>
    </w:rPr>
  </w:style>
  <w:style w:type="paragraph" w:styleId="Heading9">
    <w:name w:val="heading 9"/>
    <w:basedOn w:val="Normal"/>
    <w:next w:val="Normal"/>
    <w:link w:val="Heading9Char"/>
    <w:semiHidden/>
    <w:rsid w:val="00C63303"/>
    <w:pPr>
      <w:numPr>
        <w:ilvl w:val="8"/>
        <w:numId w:val="13"/>
      </w:numPr>
      <w:spacing w:before="240"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qFormat/>
    <w:rsid w:val="00562747"/>
    <w:rPr>
      <w:rFonts w:ascii="Calibri" w:eastAsia="MS Mincho" w:hAnsi="Calibri"/>
      <w:snapToGrid w:val="0"/>
      <w:sz w:val="16"/>
      <w:lang w:val="en-AU" w:eastAsia="ja-JP"/>
    </w:rPr>
  </w:style>
  <w:style w:type="paragraph" w:styleId="Footer">
    <w:name w:val="footer"/>
    <w:link w:val="FooterChar"/>
    <w:uiPriority w:val="9"/>
    <w:qFormat/>
    <w:rsid w:val="00305B4B"/>
    <w:pPr>
      <w:tabs>
        <w:tab w:val="right" w:pos="9923"/>
      </w:tabs>
      <w:ind w:right="3"/>
    </w:pPr>
    <w:rPr>
      <w:rFonts w:asciiTheme="minorHAnsi" w:eastAsia="MS Mincho" w:hAnsiTheme="minorHAnsi"/>
      <w:snapToGrid w:val="0"/>
      <w:color w:val="000000" w:themeColor="text1"/>
      <w:sz w:val="16"/>
      <w:szCs w:val="16"/>
      <w:lang w:val="en-AU" w:eastAsia="ja-JP"/>
    </w:rPr>
  </w:style>
  <w:style w:type="table" w:styleId="TableGrid">
    <w:name w:val="Table Grid"/>
    <w:basedOn w:val="TableNormal"/>
    <w:uiPriority w:val="59"/>
    <w:rsid w:val="00C63303"/>
    <w:pPr>
      <w:adjustRightInd w:val="0"/>
      <w:snapToGrid w:val="0"/>
    </w:pPr>
    <w:rPr>
      <w:sz w:val="17"/>
    </w:rPr>
    <w:tblPr>
      <w:tblCellMar>
        <w:left w:w="0" w:type="dxa"/>
        <w:right w:w="0" w:type="dxa"/>
      </w:tblCellMar>
    </w:tblPr>
    <w:tcPr>
      <w:tcMar>
        <w:top w:w="57" w:type="dxa"/>
        <w:left w:w="57" w:type="dxa"/>
        <w:bottom w:w="57" w:type="dxa"/>
        <w:right w:w="57" w:type="dxa"/>
      </w:tcMar>
    </w:tcPr>
    <w:tblStylePr w:type="firstRow">
      <w:rPr>
        <w:rFonts w:asciiTheme="majorHAnsi" w:hAnsiTheme="majorHAnsi" w:cstheme="majorHAnsi"/>
      </w:rPr>
    </w:tblStylePr>
  </w:style>
  <w:style w:type="paragraph" w:styleId="ListBullet">
    <w:name w:val="List Bullet"/>
    <w:basedOn w:val="Normal"/>
    <w:uiPriority w:val="4"/>
    <w:qFormat/>
    <w:rsid w:val="00746EFF"/>
  </w:style>
  <w:style w:type="paragraph" w:customStyle="1" w:styleId="ContactDetails">
    <w:name w:val="Contact Details"/>
    <w:basedOn w:val="Normal"/>
    <w:qFormat/>
    <w:rsid w:val="0076084C"/>
    <w:pPr>
      <w:spacing w:line="240" w:lineRule="atLeast"/>
    </w:pPr>
    <w:rPr>
      <w:sz w:val="19"/>
    </w:rPr>
  </w:style>
  <w:style w:type="paragraph" w:customStyle="1" w:styleId="DividerTitle">
    <w:name w:val="Divider Title"/>
    <w:basedOn w:val="Normal"/>
    <w:semiHidden/>
    <w:rsid w:val="00C63303"/>
    <w:pPr>
      <w:spacing w:line="400" w:lineRule="atLeast"/>
    </w:pPr>
    <w:rPr>
      <w:caps/>
      <w:kern w:val="60"/>
      <w:sz w:val="50"/>
    </w:rPr>
  </w:style>
  <w:style w:type="paragraph" w:customStyle="1" w:styleId="DividerIntro">
    <w:name w:val="Divider Intro"/>
    <w:basedOn w:val="Normal"/>
    <w:semiHidden/>
    <w:rsid w:val="00C63303"/>
    <w:rPr>
      <w:caps/>
      <w:sz w:val="28"/>
    </w:rPr>
  </w:style>
  <w:style w:type="paragraph" w:styleId="FootnoteText">
    <w:name w:val="footnote text"/>
    <w:basedOn w:val="Normal"/>
    <w:link w:val="FootnoteTextChar"/>
    <w:uiPriority w:val="99"/>
    <w:rsid w:val="00305B4B"/>
    <w:pPr>
      <w:adjustRightInd/>
      <w:ind w:left="142" w:hanging="142"/>
    </w:pPr>
    <w:rPr>
      <w:rFonts w:asciiTheme="majorHAnsi" w:eastAsia="Times New Roman" w:hAnsiTheme="majorHAnsi" w:cstheme="majorHAnsi"/>
      <w:spacing w:val="-3"/>
      <w:sz w:val="16"/>
      <w:szCs w:val="16"/>
    </w:rPr>
  </w:style>
  <w:style w:type="character" w:customStyle="1" w:styleId="FootnoteTextChar">
    <w:name w:val="Footnote Text Char"/>
    <w:basedOn w:val="DefaultParagraphFont"/>
    <w:link w:val="FootnoteText"/>
    <w:uiPriority w:val="99"/>
    <w:rsid w:val="00305B4B"/>
    <w:rPr>
      <w:rFonts w:asciiTheme="majorHAnsi" w:eastAsia="Times New Roman" w:hAnsiTheme="majorHAnsi" w:cstheme="majorHAnsi"/>
      <w:spacing w:val="-3"/>
      <w:sz w:val="16"/>
      <w:szCs w:val="16"/>
      <w:lang w:val="en-AU" w:eastAsia="en-AU"/>
    </w:rPr>
  </w:style>
  <w:style w:type="paragraph" w:customStyle="1" w:styleId="Source">
    <w:name w:val="Source"/>
    <w:semiHidden/>
    <w:qFormat/>
    <w:rsid w:val="00C63303"/>
    <w:pPr>
      <w:numPr>
        <w:numId w:val="5"/>
      </w:numPr>
      <w:tabs>
        <w:tab w:val="clear" w:pos="567"/>
        <w:tab w:val="num" w:pos="360"/>
      </w:tabs>
      <w:ind w:left="0" w:firstLine="0"/>
    </w:pPr>
    <w:rPr>
      <w:rFonts w:asciiTheme="minorHAnsi" w:eastAsia="Times New Roman" w:hAnsiTheme="minorHAnsi" w:cstheme="minorHAnsi"/>
      <w:spacing w:val="-3"/>
      <w:sz w:val="16"/>
      <w:szCs w:val="14"/>
      <w:lang w:val="en-AU" w:eastAsia="en-AU"/>
    </w:rPr>
  </w:style>
  <w:style w:type="numbering" w:styleId="111111">
    <w:name w:val="Outline List 2"/>
    <w:basedOn w:val="NoList"/>
    <w:uiPriority w:val="97"/>
    <w:semiHidden/>
    <w:rsid w:val="00C63303"/>
  </w:style>
  <w:style w:type="numbering" w:styleId="1ai">
    <w:name w:val="Outline List 1"/>
    <w:basedOn w:val="NoList"/>
    <w:uiPriority w:val="97"/>
    <w:semiHidden/>
    <w:rsid w:val="00C63303"/>
  </w:style>
  <w:style w:type="numbering" w:styleId="ArticleSection">
    <w:name w:val="Outline List 3"/>
    <w:basedOn w:val="NoList"/>
    <w:uiPriority w:val="97"/>
    <w:semiHidden/>
    <w:rsid w:val="00C63303"/>
  </w:style>
  <w:style w:type="paragraph" w:styleId="BalloonText">
    <w:name w:val="Balloon Text"/>
    <w:basedOn w:val="Normal"/>
    <w:link w:val="BalloonTextChar"/>
    <w:uiPriority w:val="99"/>
    <w:semiHidden/>
    <w:unhideWhenUsed/>
    <w:rsid w:val="006B1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874"/>
    <w:rPr>
      <w:rFonts w:ascii="Segoe UI" w:eastAsiaTheme="minorEastAsia" w:hAnsi="Segoe UI" w:cs="Segoe UI"/>
      <w:sz w:val="18"/>
      <w:szCs w:val="18"/>
      <w:lang w:val="en-AU" w:eastAsia="en-AU"/>
    </w:rPr>
  </w:style>
  <w:style w:type="paragraph" w:styleId="Bibliography">
    <w:name w:val="Bibliography"/>
    <w:basedOn w:val="Normal"/>
    <w:next w:val="Normal"/>
    <w:semiHidden/>
    <w:unhideWhenUsed/>
    <w:rsid w:val="00C63303"/>
  </w:style>
  <w:style w:type="paragraph" w:styleId="BlockText">
    <w:name w:val="Block Text"/>
    <w:basedOn w:val="Normal"/>
    <w:semiHidden/>
    <w:rsid w:val="00C63303"/>
    <w:pPr>
      <w:pBdr>
        <w:top w:val="single" w:sz="2" w:space="10" w:color="002D62" w:themeColor="accent1" w:shadow="1" w:frame="1"/>
        <w:left w:val="single" w:sz="2" w:space="10" w:color="002D62" w:themeColor="accent1" w:shadow="1" w:frame="1"/>
        <w:bottom w:val="single" w:sz="2" w:space="10" w:color="002D62" w:themeColor="accent1" w:shadow="1" w:frame="1"/>
        <w:right w:val="single" w:sz="2" w:space="10" w:color="002D62" w:themeColor="accent1" w:shadow="1" w:frame="1"/>
      </w:pBdr>
      <w:ind w:left="1152" w:right="1152"/>
    </w:pPr>
    <w:rPr>
      <w:i/>
      <w:iCs/>
      <w:color w:val="002D62" w:themeColor="accent1"/>
    </w:rPr>
  </w:style>
  <w:style w:type="paragraph" w:styleId="BodyText">
    <w:name w:val="Body Text"/>
    <w:basedOn w:val="Normal"/>
    <w:link w:val="BodyTextChar"/>
    <w:uiPriority w:val="1"/>
    <w:qFormat/>
    <w:rsid w:val="00404437"/>
    <w:pPr>
      <w:widowControl/>
      <w:autoSpaceDE/>
      <w:autoSpaceDN/>
      <w:adjustRightInd/>
      <w:spacing w:after="160" w:line="300" w:lineRule="auto"/>
    </w:pPr>
    <w:rPr>
      <w:rFonts w:ascii="Arial" w:hAnsi="Arial" w:cs="Arial"/>
      <w:sz w:val="20"/>
      <w:szCs w:val="22"/>
    </w:rPr>
  </w:style>
  <w:style w:type="character" w:customStyle="1" w:styleId="BodyTextChar">
    <w:name w:val="Body Text Char"/>
    <w:basedOn w:val="DefaultParagraphFont"/>
    <w:link w:val="BodyText"/>
    <w:uiPriority w:val="1"/>
    <w:rsid w:val="00404437"/>
    <w:rPr>
      <w:rFonts w:ascii="Arial" w:eastAsiaTheme="minorEastAsia" w:hAnsi="Arial" w:cs="Arial"/>
      <w:szCs w:val="22"/>
      <w:lang w:val="en-AU" w:eastAsia="en-AU"/>
    </w:rPr>
  </w:style>
  <w:style w:type="paragraph" w:styleId="BodyText2">
    <w:name w:val="Body Text 2"/>
    <w:basedOn w:val="Normal"/>
    <w:link w:val="BodyText2Char"/>
    <w:semiHidden/>
    <w:rsid w:val="00C63303"/>
    <w:pPr>
      <w:spacing w:line="480" w:lineRule="auto"/>
    </w:pPr>
  </w:style>
  <w:style w:type="character" w:customStyle="1" w:styleId="BodyText2Char">
    <w:name w:val="Body Text 2 Char"/>
    <w:basedOn w:val="DefaultParagraphFont"/>
    <w:link w:val="BodyText2"/>
    <w:semiHidden/>
    <w:rsid w:val="00D20874"/>
    <w:rPr>
      <w:rFonts w:ascii="Calibri" w:eastAsia="MS Mincho" w:hAnsi="Calibri"/>
      <w:snapToGrid w:val="0"/>
      <w:color w:val="000000" w:themeColor="text2"/>
      <w:lang w:val="en-AU" w:eastAsia="ja-JP"/>
    </w:rPr>
  </w:style>
  <w:style w:type="paragraph" w:styleId="BodyText3">
    <w:name w:val="Body Text 3"/>
    <w:basedOn w:val="Normal"/>
    <w:link w:val="BodyText3Char"/>
    <w:semiHidden/>
    <w:rsid w:val="00C63303"/>
    <w:rPr>
      <w:sz w:val="16"/>
      <w:szCs w:val="16"/>
    </w:rPr>
  </w:style>
  <w:style w:type="character" w:customStyle="1" w:styleId="BodyText3Char">
    <w:name w:val="Body Text 3 Char"/>
    <w:basedOn w:val="DefaultParagraphFont"/>
    <w:link w:val="BodyText3"/>
    <w:semiHidden/>
    <w:rsid w:val="00D20874"/>
    <w:rPr>
      <w:rFonts w:ascii="Calibri" w:eastAsia="MS Mincho" w:hAnsi="Calibri"/>
      <w:snapToGrid w:val="0"/>
      <w:color w:val="000000" w:themeColor="text2"/>
      <w:sz w:val="16"/>
      <w:szCs w:val="16"/>
      <w:lang w:val="en-AU" w:eastAsia="ja-JP"/>
    </w:rPr>
  </w:style>
  <w:style w:type="paragraph" w:styleId="BodyTextFirstIndent">
    <w:name w:val="Body Text First Indent"/>
    <w:basedOn w:val="BodyText"/>
    <w:link w:val="BodyTextFirstIndentChar"/>
    <w:semiHidden/>
    <w:rsid w:val="00C63303"/>
    <w:pPr>
      <w:ind w:firstLine="360"/>
    </w:pPr>
  </w:style>
  <w:style w:type="character" w:customStyle="1" w:styleId="BodyTextFirstIndentChar">
    <w:name w:val="Body Text First Indent Char"/>
    <w:basedOn w:val="BodyTextChar"/>
    <w:link w:val="BodyTextFirstIndent"/>
    <w:semiHidden/>
    <w:rsid w:val="00D20874"/>
    <w:rPr>
      <w:rFonts w:ascii="Calibri" w:eastAsia="MS Mincho" w:hAnsi="Calibri" w:cs="Arial"/>
      <w:snapToGrid/>
      <w:color w:val="000000" w:themeColor="text2"/>
      <w:szCs w:val="22"/>
      <w:lang w:val="en-AU" w:eastAsia="ja-JP"/>
    </w:rPr>
  </w:style>
  <w:style w:type="paragraph" w:styleId="BodyTextIndent">
    <w:name w:val="Body Text Indent"/>
    <w:basedOn w:val="Normal"/>
    <w:link w:val="BodyTextIndentChar"/>
    <w:semiHidden/>
    <w:rsid w:val="00C63303"/>
    <w:pPr>
      <w:ind w:left="283"/>
    </w:pPr>
  </w:style>
  <w:style w:type="character" w:customStyle="1" w:styleId="BodyTextIndentChar">
    <w:name w:val="Body Text Indent Char"/>
    <w:basedOn w:val="DefaultParagraphFont"/>
    <w:link w:val="BodyTextIndent"/>
    <w:semiHidden/>
    <w:rsid w:val="00D20874"/>
    <w:rPr>
      <w:rFonts w:ascii="Calibri" w:eastAsia="MS Mincho" w:hAnsi="Calibri"/>
      <w:snapToGrid w:val="0"/>
      <w:color w:val="000000" w:themeColor="text2"/>
      <w:lang w:val="en-AU" w:eastAsia="ja-JP"/>
    </w:rPr>
  </w:style>
  <w:style w:type="paragraph" w:styleId="BodyTextFirstIndent2">
    <w:name w:val="Body Text First Indent 2"/>
    <w:basedOn w:val="BodyTextIndent"/>
    <w:link w:val="BodyTextFirstIndent2Char"/>
    <w:semiHidden/>
    <w:rsid w:val="00C63303"/>
    <w:pPr>
      <w:ind w:left="360" w:firstLine="360"/>
    </w:pPr>
  </w:style>
  <w:style w:type="character" w:customStyle="1" w:styleId="BodyTextFirstIndent2Char">
    <w:name w:val="Body Text First Indent 2 Char"/>
    <w:basedOn w:val="BodyTextIndentChar"/>
    <w:link w:val="BodyTextFirstIndent2"/>
    <w:semiHidden/>
    <w:rsid w:val="00D20874"/>
    <w:rPr>
      <w:rFonts w:ascii="Calibri" w:eastAsia="MS Mincho" w:hAnsi="Calibri"/>
      <w:snapToGrid w:val="0"/>
      <w:color w:val="000000" w:themeColor="text2"/>
      <w:lang w:val="en-AU" w:eastAsia="ja-JP"/>
    </w:rPr>
  </w:style>
  <w:style w:type="paragraph" w:styleId="BodyTextIndent2">
    <w:name w:val="Body Text Indent 2"/>
    <w:basedOn w:val="Normal"/>
    <w:link w:val="BodyTextIndent2Char"/>
    <w:semiHidden/>
    <w:rsid w:val="00C63303"/>
    <w:pPr>
      <w:spacing w:line="480" w:lineRule="auto"/>
      <w:ind w:left="283"/>
    </w:pPr>
  </w:style>
  <w:style w:type="character" w:customStyle="1" w:styleId="BodyTextIndent2Char">
    <w:name w:val="Body Text Indent 2 Char"/>
    <w:basedOn w:val="DefaultParagraphFont"/>
    <w:link w:val="BodyTextIndent2"/>
    <w:semiHidden/>
    <w:rsid w:val="00D20874"/>
    <w:rPr>
      <w:rFonts w:ascii="Calibri" w:eastAsia="MS Mincho" w:hAnsi="Calibri"/>
      <w:snapToGrid w:val="0"/>
      <w:color w:val="000000" w:themeColor="text2"/>
      <w:lang w:val="en-AU" w:eastAsia="ja-JP"/>
    </w:rPr>
  </w:style>
  <w:style w:type="paragraph" w:styleId="BodyTextIndent3">
    <w:name w:val="Body Text Indent 3"/>
    <w:basedOn w:val="Normal"/>
    <w:link w:val="BodyTextIndent3Char"/>
    <w:semiHidden/>
    <w:rsid w:val="00C63303"/>
    <w:pPr>
      <w:ind w:left="283"/>
    </w:pPr>
    <w:rPr>
      <w:sz w:val="16"/>
      <w:szCs w:val="16"/>
    </w:rPr>
  </w:style>
  <w:style w:type="character" w:customStyle="1" w:styleId="BodyTextIndent3Char">
    <w:name w:val="Body Text Indent 3 Char"/>
    <w:basedOn w:val="DefaultParagraphFont"/>
    <w:link w:val="BodyTextIndent3"/>
    <w:semiHidden/>
    <w:rsid w:val="00D20874"/>
    <w:rPr>
      <w:rFonts w:ascii="Calibri" w:eastAsia="MS Mincho" w:hAnsi="Calibri"/>
      <w:snapToGrid w:val="0"/>
      <w:color w:val="000000" w:themeColor="text2"/>
      <w:sz w:val="16"/>
      <w:szCs w:val="16"/>
      <w:lang w:val="en-AU" w:eastAsia="ja-JP"/>
    </w:rPr>
  </w:style>
  <w:style w:type="character" w:styleId="BookTitle">
    <w:name w:val="Book Title"/>
    <w:basedOn w:val="DefaultParagraphFont"/>
    <w:rsid w:val="00C63303"/>
    <w:rPr>
      <w:rFonts w:asciiTheme="minorHAnsi" w:hAnsiTheme="minorHAnsi" w:cstheme="minorHAnsi"/>
      <w:b/>
      <w:bCs/>
      <w:smallCaps/>
      <w:spacing w:val="5"/>
    </w:rPr>
  </w:style>
  <w:style w:type="paragraph" w:styleId="Closing">
    <w:name w:val="Closing"/>
    <w:basedOn w:val="Normal"/>
    <w:link w:val="ClosingChar"/>
    <w:semiHidden/>
    <w:rsid w:val="00C63303"/>
    <w:pPr>
      <w:ind w:left="4252"/>
    </w:pPr>
  </w:style>
  <w:style w:type="character" w:customStyle="1" w:styleId="ClosingChar">
    <w:name w:val="Closing Char"/>
    <w:basedOn w:val="DefaultParagraphFont"/>
    <w:link w:val="Closing"/>
    <w:semiHidden/>
    <w:rsid w:val="00D20874"/>
    <w:rPr>
      <w:rFonts w:ascii="Calibri" w:eastAsia="MS Mincho" w:hAnsi="Calibri"/>
      <w:snapToGrid w:val="0"/>
      <w:color w:val="000000" w:themeColor="text2"/>
      <w:lang w:val="en-AU" w:eastAsia="ja-JP"/>
    </w:rPr>
  </w:style>
  <w:style w:type="table" w:styleId="Colo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ACD2FF"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5AA5FF" w:themeFill="accent1" w:themeFillTint="66"/>
      </w:tcPr>
    </w:tblStylePr>
    <w:tblStylePr w:type="lastRow">
      <w:rPr>
        <w:b/>
        <w:bCs/>
        <w:color w:val="000000" w:themeColor="text1"/>
      </w:rPr>
      <w:tblPr/>
      <w:tcPr>
        <w:shd w:val="clear" w:color="auto" w:fill="5AA5FF" w:themeFill="accent1" w:themeFillTint="66"/>
      </w:tcPr>
    </w:tblStylePr>
    <w:tblStylePr w:type="firstCol">
      <w:rPr>
        <w:color w:val="FFFFFF" w:themeColor="background1"/>
      </w:rPr>
      <w:tblPr/>
      <w:tcPr>
        <w:shd w:val="clear" w:color="auto" w:fill="002149" w:themeFill="accent1" w:themeFillShade="BF"/>
      </w:tcPr>
    </w:tblStylePr>
    <w:tblStylePr w:type="lastCol">
      <w:rPr>
        <w:color w:val="FFFFFF" w:themeColor="background1"/>
      </w:rPr>
      <w:tblPr/>
      <w:tcPr>
        <w:shd w:val="clear" w:color="auto" w:fill="002149" w:themeFill="accent1" w:themeFillShade="BF"/>
      </w:tcPr>
    </w:tblStylePr>
    <w:tblStylePr w:type="band1Vert">
      <w:tblPr/>
      <w:tcPr>
        <w:shd w:val="clear" w:color="auto" w:fill="318FFF" w:themeFill="accent1" w:themeFillTint="7F"/>
      </w:tcPr>
    </w:tblStylePr>
    <w:tblStylePr w:type="band1Horz">
      <w:tblPr/>
      <w:tcPr>
        <w:shd w:val="clear" w:color="auto" w:fill="318FFF"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BEE4FF"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7DCAFF" w:themeFill="accent2" w:themeFillTint="66"/>
      </w:tcPr>
    </w:tblStylePr>
    <w:tblStylePr w:type="lastRow">
      <w:rPr>
        <w:b/>
        <w:bCs/>
        <w:color w:val="000000" w:themeColor="text1"/>
      </w:rPr>
      <w:tblPr/>
      <w:tcPr>
        <w:shd w:val="clear" w:color="auto" w:fill="7DCAFF" w:themeFill="accent2" w:themeFillTint="66"/>
      </w:tcPr>
    </w:tblStylePr>
    <w:tblStylePr w:type="firstCol">
      <w:rPr>
        <w:color w:val="FFFFFF" w:themeColor="background1"/>
      </w:rPr>
      <w:tblPr/>
      <w:tcPr>
        <w:shd w:val="clear" w:color="auto" w:fill="00528B" w:themeFill="accent2" w:themeFillShade="BF"/>
      </w:tcPr>
    </w:tblStylePr>
    <w:tblStylePr w:type="lastCol">
      <w:rPr>
        <w:color w:val="FFFFFF" w:themeColor="background1"/>
      </w:rPr>
      <w:tblPr/>
      <w:tcPr>
        <w:shd w:val="clear" w:color="auto" w:fill="00528B" w:themeFill="accent2" w:themeFillShade="BF"/>
      </w:tcPr>
    </w:tblStylePr>
    <w:tblStylePr w:type="band1Vert">
      <w:tblPr/>
      <w:tcPr>
        <w:shd w:val="clear" w:color="auto" w:fill="5DBDFF" w:themeFill="accent2" w:themeFillTint="7F"/>
      </w:tcPr>
    </w:tblStylePr>
    <w:tblStylePr w:type="band1Horz">
      <w:tblPr/>
      <w:tcPr>
        <w:shd w:val="clear" w:color="auto" w:fill="5DBDFF"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DF0FA"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BE1F5" w:themeFill="accent3" w:themeFillTint="66"/>
      </w:tcPr>
    </w:tblStylePr>
    <w:tblStylePr w:type="lastRow">
      <w:rPr>
        <w:b/>
        <w:bCs/>
        <w:color w:val="000000" w:themeColor="text1"/>
      </w:rPr>
      <w:tblPr/>
      <w:tcPr>
        <w:shd w:val="clear" w:color="auto" w:fill="BBE1F5" w:themeFill="accent3" w:themeFillTint="66"/>
      </w:tcPr>
    </w:tblStylePr>
    <w:tblStylePr w:type="firstCol">
      <w:rPr>
        <w:color w:val="FFFFFF" w:themeColor="background1"/>
      </w:rPr>
      <w:tblPr/>
      <w:tcPr>
        <w:shd w:val="clear" w:color="auto" w:fill="1E92D0" w:themeFill="accent3" w:themeFillShade="BF"/>
      </w:tcPr>
    </w:tblStylePr>
    <w:tblStylePr w:type="lastCol">
      <w:rPr>
        <w:color w:val="FFFFFF" w:themeColor="background1"/>
      </w:rPr>
      <w:tblPr/>
      <w:tcPr>
        <w:shd w:val="clear" w:color="auto" w:fill="1E92D0" w:themeFill="accent3" w:themeFillShade="BF"/>
      </w:tcPr>
    </w:tblStylePr>
    <w:tblStylePr w:type="band1Vert">
      <w:tblPr/>
      <w:tcPr>
        <w:shd w:val="clear" w:color="auto" w:fill="ABDAF3" w:themeFill="accent3" w:themeFillTint="7F"/>
      </w:tcPr>
    </w:tblStylePr>
    <w:tblStylePr w:type="band1Horz">
      <w:tblPr/>
      <w:tcPr>
        <w:shd w:val="clear" w:color="auto" w:fill="ABDAF3"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1EDE4"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3DCC9" w:themeFill="accent4" w:themeFillTint="66"/>
      </w:tcPr>
    </w:tblStylePr>
    <w:tblStylePr w:type="lastRow">
      <w:rPr>
        <w:b/>
        <w:bCs/>
        <w:color w:val="000000" w:themeColor="text1"/>
      </w:rPr>
      <w:tblPr/>
      <w:tcPr>
        <w:shd w:val="clear" w:color="auto" w:fill="E3DCC9" w:themeFill="accent4" w:themeFillTint="66"/>
      </w:tcPr>
    </w:tblStylePr>
    <w:tblStylePr w:type="firstCol">
      <w:rPr>
        <w:color w:val="FFFFFF" w:themeColor="background1"/>
      </w:rPr>
      <w:tblPr/>
      <w:tcPr>
        <w:shd w:val="clear" w:color="auto" w:fill="96854E" w:themeFill="accent4" w:themeFillShade="BF"/>
      </w:tcPr>
    </w:tblStylePr>
    <w:tblStylePr w:type="lastCol">
      <w:rPr>
        <w:color w:val="FFFFFF" w:themeColor="background1"/>
      </w:rPr>
      <w:tblPr/>
      <w:tcPr>
        <w:shd w:val="clear" w:color="auto" w:fill="96854E" w:themeFill="accent4" w:themeFillShade="BF"/>
      </w:tcPr>
    </w:tblStylePr>
    <w:tblStylePr w:type="band1Vert">
      <w:tblPr/>
      <w:tcPr>
        <w:shd w:val="clear" w:color="auto" w:fill="DCD4BC" w:themeFill="accent4" w:themeFillTint="7F"/>
      </w:tcPr>
    </w:tblStylePr>
    <w:tblStylePr w:type="band1Horz">
      <w:tblPr/>
      <w:tcPr>
        <w:shd w:val="clear" w:color="auto" w:fill="DCD4BC"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FF0E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0E1DD" w:themeFill="accent5" w:themeFillTint="66"/>
      </w:tcPr>
    </w:tblStylePr>
    <w:tblStylePr w:type="lastRow">
      <w:rPr>
        <w:b/>
        <w:bCs/>
        <w:color w:val="000000" w:themeColor="text1"/>
      </w:rPr>
      <w:tblPr/>
      <w:tcPr>
        <w:shd w:val="clear" w:color="auto" w:fill="E0E1DD" w:themeFill="accent5" w:themeFillTint="66"/>
      </w:tcPr>
    </w:tblStylePr>
    <w:tblStylePr w:type="firstCol">
      <w:rPr>
        <w:color w:val="FFFFFF" w:themeColor="background1"/>
      </w:rPr>
      <w:tblPr/>
      <w:tcPr>
        <w:shd w:val="clear" w:color="auto" w:fill="868B7B" w:themeFill="accent5" w:themeFillShade="BF"/>
      </w:tcPr>
    </w:tblStylePr>
    <w:tblStylePr w:type="lastCol">
      <w:rPr>
        <w:color w:val="FFFFFF" w:themeColor="background1"/>
      </w:rPr>
      <w:tblPr/>
      <w:tcPr>
        <w:shd w:val="clear" w:color="auto" w:fill="868B7B" w:themeFill="accent5" w:themeFillShade="BF"/>
      </w:tcPr>
    </w:tblStylePr>
    <w:tblStylePr w:type="band1Vert">
      <w:tblPr/>
      <w:tcPr>
        <w:shd w:val="clear" w:color="auto" w:fill="D8DAD5" w:themeFill="accent5" w:themeFillTint="7F"/>
      </w:tcPr>
    </w:tblStylePr>
    <w:tblStylePr w:type="band1Horz">
      <w:tblPr/>
      <w:tcPr>
        <w:shd w:val="clear" w:color="auto" w:fill="D8DAD5"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EECD1"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DDAA3" w:themeFill="accent6" w:themeFillTint="66"/>
      </w:tcPr>
    </w:tblStylePr>
    <w:tblStylePr w:type="lastRow">
      <w:rPr>
        <w:b/>
        <w:bCs/>
        <w:color w:val="000000" w:themeColor="text1"/>
      </w:rPr>
      <w:tblPr/>
      <w:tcPr>
        <w:shd w:val="clear" w:color="auto" w:fill="FDDAA3" w:themeFill="accent6" w:themeFillTint="66"/>
      </w:tcPr>
    </w:tblStylePr>
    <w:tblStylePr w:type="firstCol">
      <w:rPr>
        <w:color w:val="FFFFFF" w:themeColor="background1"/>
      </w:rPr>
      <w:tblPr/>
      <w:tcPr>
        <w:shd w:val="clear" w:color="auto" w:fill="CA7E04" w:themeFill="accent6" w:themeFillShade="BF"/>
      </w:tcPr>
    </w:tblStylePr>
    <w:tblStylePr w:type="lastCol">
      <w:rPr>
        <w:color w:val="FFFFFF" w:themeColor="background1"/>
      </w:rPr>
      <w:tblPr/>
      <w:tcPr>
        <w:shd w:val="clear" w:color="auto" w:fill="CA7E04" w:themeFill="accent6" w:themeFillShade="BF"/>
      </w:tcPr>
    </w:tblStylePr>
    <w:tblStylePr w:type="band1Vert">
      <w:tblPr/>
      <w:tcPr>
        <w:shd w:val="clear" w:color="auto" w:fill="FCD18C" w:themeFill="accent6" w:themeFillTint="7F"/>
      </w:tcPr>
    </w:tblStylePr>
    <w:tblStylePr w:type="band1Horz">
      <w:tblPr/>
      <w:tcPr>
        <w:shd w:val="clear" w:color="auto" w:fill="FCD18C"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5894" w:themeFill="accent2" w:themeFillShade="CC"/>
      </w:tcPr>
    </w:tblStylePr>
    <w:tblStylePr w:type="lastRow">
      <w:rPr>
        <w:b/>
        <w:bCs/>
        <w:color w:val="00589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Pr>
    <w:tcPr>
      <w:shd w:val="clear" w:color="auto" w:fill="D6E8FF"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5894" w:themeFill="accent2" w:themeFillShade="CC"/>
      </w:tcPr>
    </w:tblStylePr>
    <w:tblStylePr w:type="lastRow">
      <w:rPr>
        <w:b/>
        <w:bCs/>
        <w:color w:val="00589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7FF" w:themeFill="accent1" w:themeFillTint="3F"/>
      </w:tcPr>
    </w:tblStylePr>
    <w:tblStylePr w:type="band1Horz">
      <w:tblPr/>
      <w:tcPr>
        <w:shd w:val="clear" w:color="auto" w:fill="ACD2FF"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Pr>
    <w:tcPr>
      <w:shd w:val="clear" w:color="auto" w:fill="DFF2FF"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5894" w:themeFill="accent2" w:themeFillShade="CC"/>
      </w:tcPr>
    </w:tblStylePr>
    <w:tblStylePr w:type="lastRow">
      <w:rPr>
        <w:b/>
        <w:bCs/>
        <w:color w:val="00589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DEFF" w:themeFill="accent2" w:themeFillTint="3F"/>
      </w:tcPr>
    </w:tblStylePr>
    <w:tblStylePr w:type="band1Horz">
      <w:tblPr/>
      <w:tcPr>
        <w:shd w:val="clear" w:color="auto" w:fill="BEE4FF"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Pr>
    <w:tcPr>
      <w:shd w:val="clear" w:color="auto" w:fill="EEF7FC"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A08E54" w:themeFill="accent4" w:themeFillShade="CC"/>
      </w:tcPr>
    </w:tblStylePr>
    <w:tblStylePr w:type="lastRow">
      <w:rPr>
        <w:b/>
        <w:bCs/>
        <w:color w:val="A08E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F9" w:themeFill="accent3" w:themeFillTint="3F"/>
      </w:tcPr>
    </w:tblStylePr>
    <w:tblStylePr w:type="band1Horz">
      <w:tblPr/>
      <w:tcPr>
        <w:shd w:val="clear" w:color="auto" w:fill="DDF0FA"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Pr>
    <w:tcPr>
      <w:shd w:val="clear" w:color="auto" w:fill="F8F6F1"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209DDE" w:themeFill="accent3" w:themeFillShade="CC"/>
      </w:tcPr>
    </w:tblStylePr>
    <w:tblStylePr w:type="lastRow">
      <w:rPr>
        <w:b/>
        <w:bCs/>
        <w:color w:val="209DD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9DD" w:themeFill="accent4" w:themeFillTint="3F"/>
      </w:tcPr>
    </w:tblStylePr>
    <w:tblStylePr w:type="band1Horz">
      <w:tblPr/>
      <w:tcPr>
        <w:shd w:val="clear" w:color="auto" w:fill="F1EDE4"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Pr>
    <w:tcPr>
      <w:shd w:val="clear" w:color="auto" w:fill="F7F7F6"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78604" w:themeFill="accent6" w:themeFillShade="CC"/>
      </w:tcPr>
    </w:tblStylePr>
    <w:tblStylePr w:type="lastRow">
      <w:rPr>
        <w:b/>
        <w:bCs/>
        <w:color w:val="D7860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CEA" w:themeFill="accent5" w:themeFillTint="3F"/>
      </w:tcPr>
    </w:tblStylePr>
    <w:tblStylePr w:type="band1Horz">
      <w:tblPr/>
      <w:tcPr>
        <w:shd w:val="clear" w:color="auto" w:fill="EFF0EE"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Pr>
    <w:tcPr>
      <w:shd w:val="clear" w:color="auto" w:fill="FEF6E8"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F9485" w:themeFill="accent5" w:themeFillShade="CC"/>
      </w:tcPr>
    </w:tblStylePr>
    <w:tblStylePr w:type="lastRow">
      <w:rPr>
        <w:b/>
        <w:bCs/>
        <w:color w:val="8F948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8C6" w:themeFill="accent6" w:themeFillTint="3F"/>
      </w:tcPr>
    </w:tblStylePr>
    <w:tblStylePr w:type="band1Horz">
      <w:tblPr/>
      <w:tcPr>
        <w:shd w:val="clear" w:color="auto" w:fill="FEECD1"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Borders>
        <w:top w:val="single" w:sz="24" w:space="0" w:color="006FB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6F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Borders>
        <w:top w:val="single" w:sz="24" w:space="0" w:color="006FBA" w:themeColor="accent2"/>
        <w:left w:val="single" w:sz="4" w:space="0" w:color="002D62" w:themeColor="accent1"/>
        <w:bottom w:val="single" w:sz="4" w:space="0" w:color="002D62" w:themeColor="accent1"/>
        <w:right w:val="single" w:sz="4" w:space="0" w:color="002D62" w:themeColor="accent1"/>
        <w:insideH w:val="single" w:sz="4" w:space="0" w:color="FFFFFF" w:themeColor="background1"/>
        <w:insideV w:val="single" w:sz="4" w:space="0" w:color="FFFFFF" w:themeColor="background1"/>
      </w:tblBorders>
    </w:tblPr>
    <w:tcPr>
      <w:shd w:val="clear" w:color="auto" w:fill="D6E8FF"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6F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A3A" w:themeFill="accent1" w:themeFillShade="99"/>
      </w:tcPr>
    </w:tblStylePr>
    <w:tblStylePr w:type="firstCol">
      <w:rPr>
        <w:color w:val="FFFFFF" w:themeColor="background1"/>
      </w:rPr>
      <w:tblPr/>
      <w:tcPr>
        <w:tcBorders>
          <w:top w:val="nil"/>
          <w:left w:val="nil"/>
          <w:bottom w:val="nil"/>
          <w:right w:val="nil"/>
          <w:insideH w:val="single" w:sz="4" w:space="0" w:color="001A3A" w:themeColor="accent1" w:themeShade="99"/>
          <w:insideV w:val="nil"/>
        </w:tcBorders>
        <w:shd w:val="clear" w:color="auto" w:fill="001A3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A3A" w:themeFill="accent1" w:themeFillShade="99"/>
      </w:tcPr>
    </w:tblStylePr>
    <w:tblStylePr w:type="band1Vert">
      <w:tblPr/>
      <w:tcPr>
        <w:shd w:val="clear" w:color="auto" w:fill="5AA5FF" w:themeFill="accent1" w:themeFillTint="66"/>
      </w:tcPr>
    </w:tblStylePr>
    <w:tblStylePr w:type="band1Horz">
      <w:tblPr/>
      <w:tcPr>
        <w:shd w:val="clear" w:color="auto" w:fill="318F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Borders>
        <w:top w:val="single" w:sz="24" w:space="0" w:color="006FBA" w:themeColor="accent2"/>
        <w:left w:val="single" w:sz="4" w:space="0" w:color="006FBA" w:themeColor="accent2"/>
        <w:bottom w:val="single" w:sz="4" w:space="0" w:color="006FBA" w:themeColor="accent2"/>
        <w:right w:val="single" w:sz="4" w:space="0" w:color="006FBA" w:themeColor="accent2"/>
        <w:insideH w:val="single" w:sz="4" w:space="0" w:color="FFFFFF" w:themeColor="background1"/>
        <w:insideV w:val="single" w:sz="4" w:space="0" w:color="FFFFFF" w:themeColor="background1"/>
      </w:tblBorders>
    </w:tblPr>
    <w:tcPr>
      <w:shd w:val="clear" w:color="auto" w:fill="DFF2FF"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6F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6F" w:themeFill="accent2" w:themeFillShade="99"/>
      </w:tcPr>
    </w:tblStylePr>
    <w:tblStylePr w:type="firstCol">
      <w:rPr>
        <w:color w:val="FFFFFF" w:themeColor="background1"/>
      </w:rPr>
      <w:tblPr/>
      <w:tcPr>
        <w:tcBorders>
          <w:top w:val="nil"/>
          <w:left w:val="nil"/>
          <w:bottom w:val="nil"/>
          <w:right w:val="nil"/>
          <w:insideH w:val="single" w:sz="4" w:space="0" w:color="00426F" w:themeColor="accent2" w:themeShade="99"/>
          <w:insideV w:val="nil"/>
        </w:tcBorders>
        <w:shd w:val="clear" w:color="auto" w:fill="00426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26F" w:themeFill="accent2" w:themeFillShade="99"/>
      </w:tcPr>
    </w:tblStylePr>
    <w:tblStylePr w:type="band1Vert">
      <w:tblPr/>
      <w:tcPr>
        <w:shd w:val="clear" w:color="auto" w:fill="7DCAFF" w:themeFill="accent2" w:themeFillTint="66"/>
      </w:tcPr>
    </w:tblStylePr>
    <w:tblStylePr w:type="band1Horz">
      <w:tblPr/>
      <w:tcPr>
        <w:shd w:val="clear" w:color="auto" w:fill="5D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Borders>
        <w:top w:val="single" w:sz="24" w:space="0" w:color="B9AA79" w:themeColor="accent4"/>
        <w:left w:val="single" w:sz="4" w:space="0" w:color="58B6E7" w:themeColor="accent3"/>
        <w:bottom w:val="single" w:sz="4" w:space="0" w:color="58B6E7" w:themeColor="accent3"/>
        <w:right w:val="single" w:sz="4" w:space="0" w:color="58B6E7" w:themeColor="accent3"/>
        <w:insideH w:val="single" w:sz="4" w:space="0" w:color="FFFFFF" w:themeColor="background1"/>
        <w:insideV w:val="single" w:sz="4" w:space="0" w:color="FFFFFF" w:themeColor="background1"/>
      </w:tblBorders>
    </w:tblPr>
    <w:tcPr>
      <w:shd w:val="clear" w:color="auto" w:fill="EEF7FC"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9AA7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75A7" w:themeFill="accent3" w:themeFillShade="99"/>
      </w:tcPr>
    </w:tblStylePr>
    <w:tblStylePr w:type="firstCol">
      <w:rPr>
        <w:color w:val="FFFFFF" w:themeColor="background1"/>
      </w:rPr>
      <w:tblPr/>
      <w:tcPr>
        <w:tcBorders>
          <w:top w:val="nil"/>
          <w:left w:val="nil"/>
          <w:bottom w:val="nil"/>
          <w:right w:val="nil"/>
          <w:insideH w:val="single" w:sz="4" w:space="0" w:color="1875A7" w:themeColor="accent3" w:themeShade="99"/>
          <w:insideV w:val="nil"/>
        </w:tcBorders>
        <w:shd w:val="clear" w:color="auto" w:fill="1875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75A7" w:themeFill="accent3" w:themeFillShade="99"/>
      </w:tcPr>
    </w:tblStylePr>
    <w:tblStylePr w:type="band1Vert">
      <w:tblPr/>
      <w:tcPr>
        <w:shd w:val="clear" w:color="auto" w:fill="BBE1F5" w:themeFill="accent3" w:themeFillTint="66"/>
      </w:tcPr>
    </w:tblStylePr>
    <w:tblStylePr w:type="band1Horz">
      <w:tblPr/>
      <w:tcPr>
        <w:shd w:val="clear" w:color="auto" w:fill="ABDAF3"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Borders>
        <w:top w:val="single" w:sz="24" w:space="0" w:color="58B6E7" w:themeColor="accent3"/>
        <w:left w:val="single" w:sz="4" w:space="0" w:color="B9AA79" w:themeColor="accent4"/>
        <w:bottom w:val="single" w:sz="4" w:space="0" w:color="B9AA79" w:themeColor="accent4"/>
        <w:right w:val="single" w:sz="4" w:space="0" w:color="B9AA79" w:themeColor="accent4"/>
        <w:insideH w:val="single" w:sz="4" w:space="0" w:color="FFFFFF" w:themeColor="background1"/>
        <w:insideV w:val="single" w:sz="4" w:space="0" w:color="FFFFFF" w:themeColor="background1"/>
      </w:tblBorders>
    </w:tblPr>
    <w:tcPr>
      <w:shd w:val="clear" w:color="auto" w:fill="F8F6F1"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58B6E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6A3F" w:themeFill="accent4" w:themeFillShade="99"/>
      </w:tcPr>
    </w:tblStylePr>
    <w:tblStylePr w:type="firstCol">
      <w:rPr>
        <w:color w:val="FFFFFF" w:themeColor="background1"/>
      </w:rPr>
      <w:tblPr/>
      <w:tcPr>
        <w:tcBorders>
          <w:top w:val="nil"/>
          <w:left w:val="nil"/>
          <w:bottom w:val="nil"/>
          <w:right w:val="nil"/>
          <w:insideH w:val="single" w:sz="4" w:space="0" w:color="786A3F" w:themeColor="accent4" w:themeShade="99"/>
          <w:insideV w:val="nil"/>
        </w:tcBorders>
        <w:shd w:val="clear" w:color="auto" w:fill="786A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86A3F" w:themeFill="accent4" w:themeFillShade="99"/>
      </w:tcPr>
    </w:tblStylePr>
    <w:tblStylePr w:type="band1Vert">
      <w:tblPr/>
      <w:tcPr>
        <w:shd w:val="clear" w:color="auto" w:fill="E3DCC9" w:themeFill="accent4" w:themeFillTint="66"/>
      </w:tcPr>
    </w:tblStylePr>
    <w:tblStylePr w:type="band1Horz">
      <w:tblPr/>
      <w:tcPr>
        <w:shd w:val="clear" w:color="auto" w:fill="DCD4B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Borders>
        <w:top w:val="single" w:sz="24" w:space="0" w:color="FAA41A" w:themeColor="accent6"/>
        <w:left w:val="single" w:sz="4" w:space="0" w:color="B2B5AB" w:themeColor="accent5"/>
        <w:bottom w:val="single" w:sz="4" w:space="0" w:color="B2B5AB" w:themeColor="accent5"/>
        <w:right w:val="single" w:sz="4" w:space="0" w:color="B2B5AB" w:themeColor="accent5"/>
        <w:insideH w:val="single" w:sz="4" w:space="0" w:color="FFFFFF" w:themeColor="background1"/>
        <w:insideV w:val="single" w:sz="4" w:space="0" w:color="FFFFFF" w:themeColor="background1"/>
      </w:tblBorders>
    </w:tblPr>
    <w:tcPr>
      <w:shd w:val="clear" w:color="auto" w:fill="F7F7F6"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AA41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C7063" w:themeFill="accent5" w:themeFillShade="99"/>
      </w:tcPr>
    </w:tblStylePr>
    <w:tblStylePr w:type="firstCol">
      <w:rPr>
        <w:color w:val="FFFFFF" w:themeColor="background1"/>
      </w:rPr>
      <w:tblPr/>
      <w:tcPr>
        <w:tcBorders>
          <w:top w:val="nil"/>
          <w:left w:val="nil"/>
          <w:bottom w:val="nil"/>
          <w:right w:val="nil"/>
          <w:insideH w:val="single" w:sz="4" w:space="0" w:color="6C7063" w:themeColor="accent5" w:themeShade="99"/>
          <w:insideV w:val="nil"/>
        </w:tcBorders>
        <w:shd w:val="clear" w:color="auto" w:fill="6C70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C7063" w:themeFill="accent5" w:themeFillShade="99"/>
      </w:tcPr>
    </w:tblStylePr>
    <w:tblStylePr w:type="band1Vert">
      <w:tblPr/>
      <w:tcPr>
        <w:shd w:val="clear" w:color="auto" w:fill="E0E1DD" w:themeFill="accent5" w:themeFillTint="66"/>
      </w:tcPr>
    </w:tblStylePr>
    <w:tblStylePr w:type="band1Horz">
      <w:tblPr/>
      <w:tcPr>
        <w:shd w:val="clear" w:color="auto" w:fill="D8DA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Borders>
        <w:top w:val="single" w:sz="24" w:space="0" w:color="B2B5AB" w:themeColor="accent5"/>
        <w:left w:val="single" w:sz="4" w:space="0" w:color="FAA41A" w:themeColor="accent6"/>
        <w:bottom w:val="single" w:sz="4" w:space="0" w:color="FAA41A" w:themeColor="accent6"/>
        <w:right w:val="single" w:sz="4" w:space="0" w:color="FAA41A" w:themeColor="accent6"/>
        <w:insideH w:val="single" w:sz="4" w:space="0" w:color="FFFFFF" w:themeColor="background1"/>
        <w:insideV w:val="single" w:sz="4" w:space="0" w:color="FFFFFF" w:themeColor="background1"/>
      </w:tblBorders>
    </w:tblPr>
    <w:tcPr>
      <w:shd w:val="clear" w:color="auto" w:fill="FEF6E8"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2B5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16403" w:themeFill="accent6" w:themeFillShade="99"/>
      </w:tcPr>
    </w:tblStylePr>
    <w:tblStylePr w:type="firstCol">
      <w:rPr>
        <w:color w:val="FFFFFF" w:themeColor="background1"/>
      </w:rPr>
      <w:tblPr/>
      <w:tcPr>
        <w:tcBorders>
          <w:top w:val="nil"/>
          <w:left w:val="nil"/>
          <w:bottom w:val="nil"/>
          <w:right w:val="nil"/>
          <w:insideH w:val="single" w:sz="4" w:space="0" w:color="A16403" w:themeColor="accent6" w:themeShade="99"/>
          <w:insideV w:val="nil"/>
        </w:tcBorders>
        <w:shd w:val="clear" w:color="auto" w:fill="A1640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16403" w:themeFill="accent6" w:themeFillShade="99"/>
      </w:tcPr>
    </w:tblStylePr>
    <w:tblStylePr w:type="band1Vert">
      <w:tblPr/>
      <w:tcPr>
        <w:shd w:val="clear" w:color="auto" w:fill="FDDAA3" w:themeFill="accent6" w:themeFillTint="66"/>
      </w:tcPr>
    </w:tblStylePr>
    <w:tblStylePr w:type="band1Horz">
      <w:tblPr/>
      <w:tcPr>
        <w:shd w:val="clear" w:color="auto" w:fill="FCD18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B1509"/>
    <w:rPr>
      <w:rFonts w:cs="Times New Roman"/>
      <w:sz w:val="16"/>
      <w:szCs w:val="16"/>
    </w:rPr>
  </w:style>
  <w:style w:type="paragraph" w:styleId="CommentText">
    <w:name w:val="annotation text"/>
    <w:basedOn w:val="Normal"/>
    <w:link w:val="CommentTextChar"/>
    <w:uiPriority w:val="99"/>
    <w:unhideWhenUsed/>
    <w:rsid w:val="006B1509"/>
    <w:rPr>
      <w:sz w:val="20"/>
      <w:szCs w:val="20"/>
    </w:rPr>
  </w:style>
  <w:style w:type="character" w:customStyle="1" w:styleId="CommentTextChar">
    <w:name w:val="Comment Text Char"/>
    <w:basedOn w:val="DefaultParagraphFont"/>
    <w:link w:val="CommentText"/>
    <w:uiPriority w:val="99"/>
    <w:rsid w:val="00D20874"/>
    <w:rPr>
      <w:rFonts w:eastAsiaTheme="minorEastAsia"/>
      <w:lang w:val="en-AU" w:eastAsia="en-AU"/>
    </w:rPr>
  </w:style>
  <w:style w:type="paragraph" w:styleId="CommentSubject">
    <w:name w:val="annotation subject"/>
    <w:basedOn w:val="CommentText"/>
    <w:next w:val="CommentText"/>
    <w:link w:val="CommentSubjectChar"/>
    <w:uiPriority w:val="99"/>
    <w:semiHidden/>
    <w:unhideWhenUsed/>
    <w:rsid w:val="006B1509"/>
    <w:rPr>
      <w:b/>
      <w:bCs/>
    </w:rPr>
  </w:style>
  <w:style w:type="character" w:customStyle="1" w:styleId="CommentSubjectChar">
    <w:name w:val="Comment Subject Char"/>
    <w:basedOn w:val="CommentTextChar"/>
    <w:link w:val="CommentSubject"/>
    <w:uiPriority w:val="99"/>
    <w:semiHidden/>
    <w:rsid w:val="00D20874"/>
    <w:rPr>
      <w:rFonts w:eastAsiaTheme="minorEastAsia"/>
      <w:b/>
      <w:bCs/>
      <w:lang w:val="en-AU" w:eastAsia="en-AU"/>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2D62"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3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14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149" w:themeFill="accent1" w:themeFillShade="BF"/>
      </w:tcPr>
    </w:tblStylePr>
    <w:tblStylePr w:type="band1Vert">
      <w:tblPr/>
      <w:tcPr>
        <w:tcBorders>
          <w:top w:val="nil"/>
          <w:left w:val="nil"/>
          <w:bottom w:val="nil"/>
          <w:right w:val="nil"/>
          <w:insideH w:val="nil"/>
          <w:insideV w:val="nil"/>
        </w:tcBorders>
        <w:shd w:val="clear" w:color="auto" w:fill="002149" w:themeFill="accent1" w:themeFillShade="BF"/>
      </w:tcPr>
    </w:tblStylePr>
    <w:tblStylePr w:type="band1Horz">
      <w:tblPr/>
      <w:tcPr>
        <w:tcBorders>
          <w:top w:val="nil"/>
          <w:left w:val="nil"/>
          <w:bottom w:val="nil"/>
          <w:right w:val="nil"/>
          <w:insideH w:val="nil"/>
          <w:insideV w:val="nil"/>
        </w:tcBorders>
        <w:shd w:val="clear" w:color="auto" w:fill="002149"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006FBA"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75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28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28B" w:themeFill="accent2" w:themeFillShade="BF"/>
      </w:tcPr>
    </w:tblStylePr>
    <w:tblStylePr w:type="band1Vert">
      <w:tblPr/>
      <w:tcPr>
        <w:tcBorders>
          <w:top w:val="nil"/>
          <w:left w:val="nil"/>
          <w:bottom w:val="nil"/>
          <w:right w:val="nil"/>
          <w:insideH w:val="nil"/>
          <w:insideV w:val="nil"/>
        </w:tcBorders>
        <w:shd w:val="clear" w:color="auto" w:fill="00528B" w:themeFill="accent2" w:themeFillShade="BF"/>
      </w:tcPr>
    </w:tblStylePr>
    <w:tblStylePr w:type="band1Horz">
      <w:tblPr/>
      <w:tcPr>
        <w:tcBorders>
          <w:top w:val="nil"/>
          <w:left w:val="nil"/>
          <w:bottom w:val="nil"/>
          <w:right w:val="nil"/>
          <w:insideH w:val="nil"/>
          <w:insideV w:val="nil"/>
        </w:tcBorders>
        <w:shd w:val="clear" w:color="auto" w:fill="00528B"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58B6E7"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618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92D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92D0" w:themeFill="accent3" w:themeFillShade="BF"/>
      </w:tcPr>
    </w:tblStylePr>
    <w:tblStylePr w:type="band1Vert">
      <w:tblPr/>
      <w:tcPr>
        <w:tcBorders>
          <w:top w:val="nil"/>
          <w:left w:val="nil"/>
          <w:bottom w:val="nil"/>
          <w:right w:val="nil"/>
          <w:insideH w:val="nil"/>
          <w:insideV w:val="nil"/>
        </w:tcBorders>
        <w:shd w:val="clear" w:color="auto" w:fill="1E92D0" w:themeFill="accent3" w:themeFillShade="BF"/>
      </w:tcPr>
    </w:tblStylePr>
    <w:tblStylePr w:type="band1Horz">
      <w:tblPr/>
      <w:tcPr>
        <w:tcBorders>
          <w:top w:val="nil"/>
          <w:left w:val="nil"/>
          <w:bottom w:val="nil"/>
          <w:right w:val="nil"/>
          <w:insideH w:val="nil"/>
          <w:insideV w:val="nil"/>
        </w:tcBorders>
        <w:shd w:val="clear" w:color="auto" w:fill="1E92D0"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B9AA79"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458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685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6854E" w:themeFill="accent4" w:themeFillShade="BF"/>
      </w:tcPr>
    </w:tblStylePr>
    <w:tblStylePr w:type="band1Vert">
      <w:tblPr/>
      <w:tcPr>
        <w:tcBorders>
          <w:top w:val="nil"/>
          <w:left w:val="nil"/>
          <w:bottom w:val="nil"/>
          <w:right w:val="nil"/>
          <w:insideH w:val="nil"/>
          <w:insideV w:val="nil"/>
        </w:tcBorders>
        <w:shd w:val="clear" w:color="auto" w:fill="96854E" w:themeFill="accent4" w:themeFillShade="BF"/>
      </w:tcPr>
    </w:tblStylePr>
    <w:tblStylePr w:type="band1Horz">
      <w:tblPr/>
      <w:tcPr>
        <w:tcBorders>
          <w:top w:val="nil"/>
          <w:left w:val="nil"/>
          <w:bottom w:val="nil"/>
          <w:right w:val="nil"/>
          <w:insideH w:val="nil"/>
          <w:insideV w:val="nil"/>
        </w:tcBorders>
        <w:shd w:val="clear" w:color="auto" w:fill="96854E"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B2B5AB"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5C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68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68B7B" w:themeFill="accent5" w:themeFillShade="BF"/>
      </w:tcPr>
    </w:tblStylePr>
    <w:tblStylePr w:type="band1Vert">
      <w:tblPr/>
      <w:tcPr>
        <w:tcBorders>
          <w:top w:val="nil"/>
          <w:left w:val="nil"/>
          <w:bottom w:val="nil"/>
          <w:right w:val="nil"/>
          <w:insideH w:val="nil"/>
          <w:insideV w:val="nil"/>
        </w:tcBorders>
        <w:shd w:val="clear" w:color="auto" w:fill="868B7B" w:themeFill="accent5" w:themeFillShade="BF"/>
      </w:tcPr>
    </w:tblStylePr>
    <w:tblStylePr w:type="band1Horz">
      <w:tblPr/>
      <w:tcPr>
        <w:tcBorders>
          <w:top w:val="nil"/>
          <w:left w:val="nil"/>
          <w:bottom w:val="nil"/>
          <w:right w:val="nil"/>
          <w:insideH w:val="nil"/>
          <w:insideV w:val="nil"/>
        </w:tcBorders>
        <w:shd w:val="clear" w:color="auto" w:fill="868B7B"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FAA41A"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530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A7E0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A7E04" w:themeFill="accent6" w:themeFillShade="BF"/>
      </w:tcPr>
    </w:tblStylePr>
    <w:tblStylePr w:type="band1Vert">
      <w:tblPr/>
      <w:tcPr>
        <w:tcBorders>
          <w:top w:val="nil"/>
          <w:left w:val="nil"/>
          <w:bottom w:val="nil"/>
          <w:right w:val="nil"/>
          <w:insideH w:val="nil"/>
          <w:insideV w:val="nil"/>
        </w:tcBorders>
        <w:shd w:val="clear" w:color="auto" w:fill="CA7E04" w:themeFill="accent6" w:themeFillShade="BF"/>
      </w:tcPr>
    </w:tblStylePr>
    <w:tblStylePr w:type="band1Horz">
      <w:tblPr/>
      <w:tcPr>
        <w:tcBorders>
          <w:top w:val="nil"/>
          <w:left w:val="nil"/>
          <w:bottom w:val="nil"/>
          <w:right w:val="nil"/>
          <w:insideH w:val="nil"/>
          <w:insideV w:val="nil"/>
        </w:tcBorders>
        <w:shd w:val="clear" w:color="auto" w:fill="CA7E04" w:themeFill="accent6" w:themeFillShade="BF"/>
      </w:tcPr>
    </w:tblStylePr>
  </w:style>
  <w:style w:type="paragraph" w:styleId="DocumentMap">
    <w:name w:val="Document Map"/>
    <w:basedOn w:val="Normal"/>
    <w:link w:val="DocumentMapChar"/>
    <w:semiHidden/>
    <w:rsid w:val="00C63303"/>
    <w:rPr>
      <w:sz w:val="16"/>
      <w:szCs w:val="16"/>
    </w:rPr>
  </w:style>
  <w:style w:type="character" w:customStyle="1" w:styleId="DocumentMapChar">
    <w:name w:val="Document Map Char"/>
    <w:basedOn w:val="DefaultParagraphFont"/>
    <w:link w:val="DocumentMap"/>
    <w:semiHidden/>
    <w:rsid w:val="00D20874"/>
    <w:rPr>
      <w:rFonts w:ascii="Calibri" w:eastAsia="MS Mincho" w:hAnsi="Calibri"/>
      <w:snapToGrid w:val="0"/>
      <w:color w:val="000000" w:themeColor="text2"/>
      <w:sz w:val="16"/>
      <w:szCs w:val="16"/>
      <w:lang w:val="en-AU" w:eastAsia="ja-JP"/>
    </w:rPr>
  </w:style>
  <w:style w:type="paragraph" w:styleId="E-mailSignature">
    <w:name w:val="E-mail Signature"/>
    <w:basedOn w:val="Normal"/>
    <w:link w:val="E-mailSignatureChar"/>
    <w:semiHidden/>
    <w:rsid w:val="00C63303"/>
  </w:style>
  <w:style w:type="character" w:customStyle="1" w:styleId="E-mailSignatureChar">
    <w:name w:val="E-mail Signature Char"/>
    <w:basedOn w:val="DefaultParagraphFont"/>
    <w:link w:val="E-mailSignature"/>
    <w:semiHidden/>
    <w:rsid w:val="00D20874"/>
    <w:rPr>
      <w:rFonts w:ascii="Calibri" w:eastAsia="MS Mincho" w:hAnsi="Calibri"/>
      <w:snapToGrid w:val="0"/>
      <w:color w:val="000000" w:themeColor="text2"/>
      <w:lang w:val="en-AU" w:eastAsia="ja-JP"/>
    </w:rPr>
  </w:style>
  <w:style w:type="character" w:styleId="Emphasis">
    <w:name w:val="Emphasis"/>
    <w:basedOn w:val="DefaultParagraphFont"/>
    <w:rsid w:val="00C63303"/>
    <w:rPr>
      <w:rFonts w:asciiTheme="minorHAnsi" w:hAnsiTheme="minorHAnsi" w:cstheme="minorHAnsi"/>
      <w:i/>
      <w:iCs/>
    </w:rPr>
  </w:style>
  <w:style w:type="character" w:styleId="EndnoteReference">
    <w:name w:val="endnote reference"/>
    <w:basedOn w:val="DefaultParagraphFont"/>
    <w:semiHidden/>
    <w:rsid w:val="00C63303"/>
    <w:rPr>
      <w:rFonts w:asciiTheme="minorHAnsi" w:hAnsiTheme="minorHAnsi" w:cstheme="minorHAnsi"/>
      <w:vertAlign w:val="superscript"/>
    </w:rPr>
  </w:style>
  <w:style w:type="paragraph" w:styleId="EndnoteText">
    <w:name w:val="endnote text"/>
    <w:basedOn w:val="Normal"/>
    <w:link w:val="EndnoteTextChar"/>
    <w:semiHidden/>
    <w:rsid w:val="00C63303"/>
  </w:style>
  <w:style w:type="character" w:customStyle="1" w:styleId="EndnoteTextChar">
    <w:name w:val="Endnote Text Char"/>
    <w:basedOn w:val="DefaultParagraphFont"/>
    <w:link w:val="EndnoteText"/>
    <w:semiHidden/>
    <w:rsid w:val="00D20874"/>
    <w:rPr>
      <w:rFonts w:ascii="Calibri" w:eastAsia="MS Mincho" w:hAnsi="Calibri"/>
      <w:snapToGrid w:val="0"/>
      <w:color w:val="000000" w:themeColor="text2"/>
      <w:lang w:val="en-AU" w:eastAsia="ja-JP"/>
    </w:rPr>
  </w:style>
  <w:style w:type="paragraph" w:styleId="EnvelopeAddress">
    <w:name w:val="envelope address"/>
    <w:basedOn w:val="Normal"/>
    <w:semiHidden/>
    <w:rsid w:val="00C63303"/>
    <w:pPr>
      <w:framePr w:w="7920" w:h="1980" w:hRule="exact" w:hSpace="180" w:wrap="auto" w:hAnchor="page" w:xAlign="center" w:yAlign="bottom"/>
      <w:ind w:left="2880"/>
    </w:pPr>
    <w:rPr>
      <w:rFonts w:eastAsiaTheme="majorEastAsia"/>
    </w:rPr>
  </w:style>
  <w:style w:type="paragraph" w:styleId="EnvelopeReturn">
    <w:name w:val="envelope return"/>
    <w:basedOn w:val="Normal"/>
    <w:semiHidden/>
    <w:rsid w:val="00C63303"/>
    <w:rPr>
      <w:rFonts w:eastAsiaTheme="majorEastAsia"/>
    </w:rPr>
  </w:style>
  <w:style w:type="character" w:styleId="FollowedHyperlink">
    <w:name w:val="FollowedHyperlink"/>
    <w:basedOn w:val="DefaultParagraphFont"/>
    <w:semiHidden/>
    <w:rsid w:val="00C63303"/>
    <w:rPr>
      <w:rFonts w:asciiTheme="minorHAnsi" w:hAnsiTheme="minorHAnsi" w:cstheme="minorHAnsi"/>
      <w:color w:val="998542" w:themeColor="followedHyperlink"/>
      <w:u w:val="single"/>
    </w:rPr>
  </w:style>
  <w:style w:type="character" w:styleId="FootnoteReference">
    <w:name w:val="footnote reference"/>
    <w:basedOn w:val="DefaultParagraphFont"/>
    <w:uiPriority w:val="99"/>
    <w:semiHidden/>
    <w:rsid w:val="00C63303"/>
    <w:rPr>
      <w:rFonts w:asciiTheme="minorHAnsi" w:hAnsiTheme="minorHAnsi" w:cstheme="minorHAnsi"/>
      <w:vertAlign w:val="superscript"/>
    </w:rPr>
  </w:style>
  <w:style w:type="character" w:styleId="HTMLAcronym">
    <w:name w:val="HTML Acronym"/>
    <w:basedOn w:val="DefaultParagraphFont"/>
    <w:semiHidden/>
    <w:rsid w:val="00C63303"/>
    <w:rPr>
      <w:rFonts w:asciiTheme="minorHAnsi" w:hAnsiTheme="minorHAnsi" w:cstheme="minorHAnsi"/>
    </w:rPr>
  </w:style>
  <w:style w:type="paragraph" w:styleId="HTMLAddress">
    <w:name w:val="HTML Address"/>
    <w:basedOn w:val="Normal"/>
    <w:link w:val="HTMLAddressChar"/>
    <w:semiHidden/>
    <w:rsid w:val="00C63303"/>
    <w:rPr>
      <w:i/>
      <w:iCs/>
    </w:rPr>
  </w:style>
  <w:style w:type="character" w:customStyle="1" w:styleId="HTMLAddressChar">
    <w:name w:val="HTML Address Char"/>
    <w:basedOn w:val="DefaultParagraphFont"/>
    <w:link w:val="HTMLAddress"/>
    <w:semiHidden/>
    <w:rsid w:val="00D20874"/>
    <w:rPr>
      <w:rFonts w:ascii="Calibri" w:eastAsia="MS Mincho" w:hAnsi="Calibri"/>
      <w:i/>
      <w:iCs/>
      <w:snapToGrid w:val="0"/>
      <w:color w:val="000000" w:themeColor="text2"/>
      <w:lang w:val="en-AU" w:eastAsia="ja-JP"/>
    </w:rPr>
  </w:style>
  <w:style w:type="character" w:styleId="HTMLCite">
    <w:name w:val="HTML Cite"/>
    <w:basedOn w:val="DefaultParagraphFont"/>
    <w:semiHidden/>
    <w:rsid w:val="00C63303"/>
    <w:rPr>
      <w:rFonts w:asciiTheme="minorHAnsi" w:hAnsiTheme="minorHAnsi" w:cstheme="minorHAnsi"/>
      <w:i/>
      <w:iCs/>
    </w:rPr>
  </w:style>
  <w:style w:type="character" w:styleId="HTMLCode">
    <w:name w:val="HTML Code"/>
    <w:basedOn w:val="DefaultParagraphFont"/>
    <w:semiHidden/>
    <w:rsid w:val="00C63303"/>
    <w:rPr>
      <w:rFonts w:ascii="Consolas" w:hAnsi="Consolas" w:cs="Consolas"/>
      <w:sz w:val="20"/>
      <w:szCs w:val="20"/>
    </w:rPr>
  </w:style>
  <w:style w:type="character" w:styleId="HTMLDefinition">
    <w:name w:val="HTML Definition"/>
    <w:basedOn w:val="DefaultParagraphFont"/>
    <w:semiHidden/>
    <w:rsid w:val="00C63303"/>
    <w:rPr>
      <w:rFonts w:asciiTheme="minorHAnsi" w:hAnsiTheme="minorHAnsi" w:cstheme="minorHAnsi"/>
      <w:i/>
      <w:iCs/>
    </w:rPr>
  </w:style>
  <w:style w:type="character" w:styleId="HTMLKeyboard">
    <w:name w:val="HTML Keyboard"/>
    <w:basedOn w:val="DefaultParagraphFont"/>
    <w:semiHidden/>
    <w:rsid w:val="00C63303"/>
    <w:rPr>
      <w:rFonts w:ascii="Consolas" w:hAnsi="Consolas" w:cs="Consolas"/>
      <w:sz w:val="20"/>
      <w:szCs w:val="20"/>
    </w:rPr>
  </w:style>
  <w:style w:type="paragraph" w:styleId="HTMLPreformatted">
    <w:name w:val="HTML Preformatted"/>
    <w:basedOn w:val="Normal"/>
    <w:link w:val="HTMLPreformattedChar"/>
    <w:semiHidden/>
    <w:rsid w:val="00C63303"/>
  </w:style>
  <w:style w:type="character" w:customStyle="1" w:styleId="HTMLPreformattedChar">
    <w:name w:val="HTML Preformatted Char"/>
    <w:basedOn w:val="DefaultParagraphFont"/>
    <w:link w:val="HTMLPreformatted"/>
    <w:semiHidden/>
    <w:rsid w:val="00D20874"/>
    <w:rPr>
      <w:rFonts w:ascii="Calibri" w:eastAsia="MS Mincho" w:hAnsi="Calibri"/>
      <w:snapToGrid w:val="0"/>
      <w:color w:val="000000" w:themeColor="text2"/>
      <w:lang w:val="en-AU" w:eastAsia="ja-JP"/>
    </w:rPr>
  </w:style>
  <w:style w:type="character" w:styleId="HTMLSample">
    <w:name w:val="HTML Sample"/>
    <w:basedOn w:val="DefaultParagraphFont"/>
    <w:semiHidden/>
    <w:rsid w:val="00C63303"/>
    <w:rPr>
      <w:rFonts w:ascii="Consolas" w:hAnsi="Consolas" w:cs="Consolas"/>
      <w:sz w:val="24"/>
      <w:szCs w:val="24"/>
    </w:rPr>
  </w:style>
  <w:style w:type="character" w:styleId="HTMLTypewriter">
    <w:name w:val="HTML Typewriter"/>
    <w:basedOn w:val="DefaultParagraphFont"/>
    <w:semiHidden/>
    <w:rsid w:val="00C63303"/>
    <w:rPr>
      <w:rFonts w:ascii="Consolas" w:hAnsi="Consolas" w:cs="Consolas"/>
      <w:sz w:val="20"/>
      <w:szCs w:val="20"/>
    </w:rPr>
  </w:style>
  <w:style w:type="character" w:styleId="HTMLVariable">
    <w:name w:val="HTML Variable"/>
    <w:basedOn w:val="DefaultParagraphFont"/>
    <w:semiHidden/>
    <w:rsid w:val="00C63303"/>
    <w:rPr>
      <w:rFonts w:asciiTheme="minorHAnsi" w:hAnsiTheme="minorHAnsi" w:cstheme="minorHAnsi"/>
      <w:i/>
      <w:iCs/>
    </w:rPr>
  </w:style>
  <w:style w:type="character" w:styleId="Hyperlink">
    <w:name w:val="Hyperlink"/>
    <w:basedOn w:val="DefaultParagraphFont"/>
    <w:uiPriority w:val="99"/>
    <w:rsid w:val="007C5A97"/>
    <w:rPr>
      <w:rFonts w:ascii="Arial" w:hAnsi="Arial" w:cstheme="minorHAnsi"/>
      <w:color w:val="002D62" w:themeColor="accent1"/>
      <w:sz w:val="20"/>
      <w:u w:val="single"/>
    </w:rPr>
  </w:style>
  <w:style w:type="paragraph" w:styleId="Index1">
    <w:name w:val="index 1"/>
    <w:basedOn w:val="Normal"/>
    <w:next w:val="Normal"/>
    <w:autoRedefine/>
    <w:semiHidden/>
    <w:rsid w:val="00C63303"/>
    <w:pPr>
      <w:ind w:left="200" w:hanging="200"/>
    </w:pPr>
  </w:style>
  <w:style w:type="paragraph" w:styleId="Index2">
    <w:name w:val="index 2"/>
    <w:basedOn w:val="Normal"/>
    <w:next w:val="Normal"/>
    <w:autoRedefine/>
    <w:semiHidden/>
    <w:rsid w:val="00C63303"/>
    <w:pPr>
      <w:ind w:left="400" w:hanging="200"/>
    </w:pPr>
  </w:style>
  <w:style w:type="paragraph" w:styleId="Index3">
    <w:name w:val="index 3"/>
    <w:basedOn w:val="Normal"/>
    <w:next w:val="Normal"/>
    <w:autoRedefine/>
    <w:semiHidden/>
    <w:rsid w:val="00C63303"/>
    <w:pPr>
      <w:ind w:left="600" w:hanging="200"/>
    </w:pPr>
  </w:style>
  <w:style w:type="paragraph" w:styleId="Index4">
    <w:name w:val="index 4"/>
    <w:basedOn w:val="Normal"/>
    <w:next w:val="Normal"/>
    <w:autoRedefine/>
    <w:semiHidden/>
    <w:rsid w:val="00C63303"/>
    <w:pPr>
      <w:ind w:left="800" w:hanging="200"/>
    </w:pPr>
  </w:style>
  <w:style w:type="paragraph" w:styleId="Index5">
    <w:name w:val="index 5"/>
    <w:basedOn w:val="Normal"/>
    <w:next w:val="Normal"/>
    <w:autoRedefine/>
    <w:semiHidden/>
    <w:rsid w:val="00C63303"/>
    <w:pPr>
      <w:ind w:left="1000" w:hanging="200"/>
    </w:pPr>
  </w:style>
  <w:style w:type="paragraph" w:styleId="Index6">
    <w:name w:val="index 6"/>
    <w:basedOn w:val="Normal"/>
    <w:next w:val="Normal"/>
    <w:autoRedefine/>
    <w:semiHidden/>
    <w:rsid w:val="00C63303"/>
    <w:pPr>
      <w:ind w:left="1200" w:hanging="200"/>
    </w:pPr>
  </w:style>
  <w:style w:type="paragraph" w:styleId="Index7">
    <w:name w:val="index 7"/>
    <w:basedOn w:val="Normal"/>
    <w:next w:val="Normal"/>
    <w:autoRedefine/>
    <w:semiHidden/>
    <w:rsid w:val="00C63303"/>
    <w:pPr>
      <w:ind w:left="1400" w:hanging="200"/>
    </w:pPr>
  </w:style>
  <w:style w:type="paragraph" w:styleId="Index8">
    <w:name w:val="index 8"/>
    <w:basedOn w:val="Normal"/>
    <w:next w:val="Normal"/>
    <w:autoRedefine/>
    <w:semiHidden/>
    <w:rsid w:val="00C63303"/>
    <w:pPr>
      <w:ind w:left="1600" w:hanging="200"/>
    </w:pPr>
  </w:style>
  <w:style w:type="paragraph" w:styleId="Index9">
    <w:name w:val="index 9"/>
    <w:basedOn w:val="Normal"/>
    <w:next w:val="Normal"/>
    <w:autoRedefine/>
    <w:semiHidden/>
    <w:rsid w:val="00C63303"/>
    <w:pPr>
      <w:ind w:left="1800" w:hanging="200"/>
    </w:pPr>
  </w:style>
  <w:style w:type="paragraph" w:styleId="IndexHeading">
    <w:name w:val="index heading"/>
    <w:basedOn w:val="Normal"/>
    <w:next w:val="Index1"/>
    <w:semiHidden/>
    <w:rsid w:val="00C63303"/>
    <w:rPr>
      <w:rFonts w:asciiTheme="majorHAnsi" w:eastAsiaTheme="majorEastAsia" w:hAnsiTheme="majorHAnsi" w:cstheme="majorHAnsi"/>
      <w:b/>
      <w:bCs/>
    </w:rPr>
  </w:style>
  <w:style w:type="character" w:styleId="IntenseEmphasis">
    <w:name w:val="Intense Emphasis"/>
    <w:basedOn w:val="DefaultParagraphFont"/>
    <w:rsid w:val="00C63303"/>
    <w:rPr>
      <w:rFonts w:asciiTheme="minorHAnsi" w:hAnsiTheme="minorHAnsi" w:cstheme="minorHAnsi"/>
      <w:b/>
      <w:bCs/>
      <w:i/>
      <w:iCs/>
      <w:color w:val="002D62" w:themeColor="accent1"/>
    </w:rPr>
  </w:style>
  <w:style w:type="paragraph" w:styleId="IntenseQuote">
    <w:name w:val="Intense Quote"/>
    <w:basedOn w:val="Normal"/>
    <w:next w:val="Normal"/>
    <w:link w:val="IntenseQuoteChar"/>
    <w:rsid w:val="00C63303"/>
    <w:pPr>
      <w:pBdr>
        <w:bottom w:val="single" w:sz="4" w:space="4" w:color="002D62" w:themeColor="accent1"/>
      </w:pBdr>
      <w:spacing w:before="200"/>
      <w:ind w:left="936" w:right="936"/>
    </w:pPr>
    <w:rPr>
      <w:b/>
      <w:bCs/>
      <w:i/>
      <w:iCs/>
      <w:color w:val="002D62" w:themeColor="accent1"/>
    </w:rPr>
  </w:style>
  <w:style w:type="character" w:customStyle="1" w:styleId="IntenseQuoteChar">
    <w:name w:val="Intense Quote Char"/>
    <w:basedOn w:val="DefaultParagraphFont"/>
    <w:link w:val="IntenseQuote"/>
    <w:rsid w:val="00D20874"/>
    <w:rPr>
      <w:rFonts w:ascii="Calibri" w:eastAsia="MS Mincho" w:hAnsi="Calibri"/>
      <w:b/>
      <w:bCs/>
      <w:i/>
      <w:iCs/>
      <w:snapToGrid w:val="0"/>
      <w:color w:val="002D62" w:themeColor="accent1"/>
      <w:lang w:val="en-AU" w:eastAsia="ja-JP"/>
    </w:rPr>
  </w:style>
  <w:style w:type="character" w:styleId="IntenseReference">
    <w:name w:val="Intense Reference"/>
    <w:basedOn w:val="DefaultParagraphFont"/>
    <w:rsid w:val="00C63303"/>
    <w:rPr>
      <w:rFonts w:asciiTheme="minorHAnsi" w:hAnsiTheme="minorHAnsi" w:cstheme="minorHAnsi"/>
      <w:b/>
      <w:bCs/>
      <w:smallCaps/>
      <w:color w:val="006FBA"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2D62" w:themeColor="accent1"/>
        <w:left w:val="single" w:sz="8" w:space="0" w:color="002D62" w:themeColor="accent1"/>
        <w:bottom w:val="single" w:sz="8" w:space="0" w:color="002D62" w:themeColor="accent1"/>
        <w:right w:val="single" w:sz="8" w:space="0" w:color="002D62" w:themeColor="accent1"/>
        <w:insideH w:val="single" w:sz="8" w:space="0" w:color="002D62" w:themeColor="accent1"/>
        <w:insideV w:val="single" w:sz="8" w:space="0" w:color="002D62"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2D62" w:themeColor="accent1"/>
          <w:left w:val="single" w:sz="8" w:space="0" w:color="002D62" w:themeColor="accent1"/>
          <w:bottom w:val="single" w:sz="18" w:space="0" w:color="002D62" w:themeColor="accent1"/>
          <w:right w:val="single" w:sz="8" w:space="0" w:color="002D62" w:themeColor="accent1"/>
          <w:insideH w:val="nil"/>
          <w:insideV w:val="single" w:sz="8" w:space="0" w:color="002D6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D62" w:themeColor="accent1"/>
          <w:left w:val="single" w:sz="8" w:space="0" w:color="002D62" w:themeColor="accent1"/>
          <w:bottom w:val="single" w:sz="8" w:space="0" w:color="002D62" w:themeColor="accent1"/>
          <w:right w:val="single" w:sz="8" w:space="0" w:color="002D62" w:themeColor="accent1"/>
          <w:insideH w:val="nil"/>
          <w:insideV w:val="single" w:sz="8" w:space="0" w:color="002D6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D62" w:themeColor="accent1"/>
          <w:left w:val="single" w:sz="8" w:space="0" w:color="002D62" w:themeColor="accent1"/>
          <w:bottom w:val="single" w:sz="8" w:space="0" w:color="002D62" w:themeColor="accent1"/>
          <w:right w:val="single" w:sz="8" w:space="0" w:color="002D62" w:themeColor="accent1"/>
        </w:tcBorders>
      </w:tcPr>
    </w:tblStylePr>
    <w:tblStylePr w:type="band1Vert">
      <w:tblPr/>
      <w:tcPr>
        <w:tcBorders>
          <w:top w:val="single" w:sz="8" w:space="0" w:color="002D62" w:themeColor="accent1"/>
          <w:left w:val="single" w:sz="8" w:space="0" w:color="002D62" w:themeColor="accent1"/>
          <w:bottom w:val="single" w:sz="8" w:space="0" w:color="002D62" w:themeColor="accent1"/>
          <w:right w:val="single" w:sz="8" w:space="0" w:color="002D62" w:themeColor="accent1"/>
        </w:tcBorders>
        <w:shd w:val="clear" w:color="auto" w:fill="99C7FF" w:themeFill="accent1" w:themeFillTint="3F"/>
      </w:tcPr>
    </w:tblStylePr>
    <w:tblStylePr w:type="band1Horz">
      <w:tblPr/>
      <w:tcPr>
        <w:tcBorders>
          <w:top w:val="single" w:sz="8" w:space="0" w:color="002D62" w:themeColor="accent1"/>
          <w:left w:val="single" w:sz="8" w:space="0" w:color="002D62" w:themeColor="accent1"/>
          <w:bottom w:val="single" w:sz="8" w:space="0" w:color="002D62" w:themeColor="accent1"/>
          <w:right w:val="single" w:sz="8" w:space="0" w:color="002D62" w:themeColor="accent1"/>
          <w:insideV w:val="single" w:sz="8" w:space="0" w:color="002D62" w:themeColor="accent1"/>
        </w:tcBorders>
        <w:shd w:val="clear" w:color="auto" w:fill="99C7FF" w:themeFill="accent1" w:themeFillTint="3F"/>
      </w:tcPr>
    </w:tblStylePr>
    <w:tblStylePr w:type="band2Horz">
      <w:tblPr/>
      <w:tcPr>
        <w:tcBorders>
          <w:top w:val="single" w:sz="8" w:space="0" w:color="002D62" w:themeColor="accent1"/>
          <w:left w:val="single" w:sz="8" w:space="0" w:color="002D62" w:themeColor="accent1"/>
          <w:bottom w:val="single" w:sz="8" w:space="0" w:color="002D62" w:themeColor="accent1"/>
          <w:right w:val="single" w:sz="8" w:space="0" w:color="002D62" w:themeColor="accent1"/>
          <w:insideV w:val="single" w:sz="8" w:space="0" w:color="002D62"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006FBA" w:themeColor="accent2"/>
        <w:left w:val="single" w:sz="8" w:space="0" w:color="006FBA" w:themeColor="accent2"/>
        <w:bottom w:val="single" w:sz="8" w:space="0" w:color="006FBA" w:themeColor="accent2"/>
        <w:right w:val="single" w:sz="8" w:space="0" w:color="006FBA" w:themeColor="accent2"/>
        <w:insideH w:val="single" w:sz="8" w:space="0" w:color="006FBA" w:themeColor="accent2"/>
        <w:insideV w:val="single" w:sz="8" w:space="0" w:color="006FBA"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6FBA" w:themeColor="accent2"/>
          <w:left w:val="single" w:sz="8" w:space="0" w:color="006FBA" w:themeColor="accent2"/>
          <w:bottom w:val="single" w:sz="18" w:space="0" w:color="006FBA" w:themeColor="accent2"/>
          <w:right w:val="single" w:sz="8" w:space="0" w:color="006FBA" w:themeColor="accent2"/>
          <w:insideH w:val="nil"/>
          <w:insideV w:val="single" w:sz="8" w:space="0" w:color="006FB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FBA" w:themeColor="accent2"/>
          <w:left w:val="single" w:sz="8" w:space="0" w:color="006FBA" w:themeColor="accent2"/>
          <w:bottom w:val="single" w:sz="8" w:space="0" w:color="006FBA" w:themeColor="accent2"/>
          <w:right w:val="single" w:sz="8" w:space="0" w:color="006FBA" w:themeColor="accent2"/>
          <w:insideH w:val="nil"/>
          <w:insideV w:val="single" w:sz="8" w:space="0" w:color="006FB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FBA" w:themeColor="accent2"/>
          <w:left w:val="single" w:sz="8" w:space="0" w:color="006FBA" w:themeColor="accent2"/>
          <w:bottom w:val="single" w:sz="8" w:space="0" w:color="006FBA" w:themeColor="accent2"/>
          <w:right w:val="single" w:sz="8" w:space="0" w:color="006FBA" w:themeColor="accent2"/>
        </w:tcBorders>
      </w:tcPr>
    </w:tblStylePr>
    <w:tblStylePr w:type="band1Vert">
      <w:tblPr/>
      <w:tcPr>
        <w:tcBorders>
          <w:top w:val="single" w:sz="8" w:space="0" w:color="006FBA" w:themeColor="accent2"/>
          <w:left w:val="single" w:sz="8" w:space="0" w:color="006FBA" w:themeColor="accent2"/>
          <w:bottom w:val="single" w:sz="8" w:space="0" w:color="006FBA" w:themeColor="accent2"/>
          <w:right w:val="single" w:sz="8" w:space="0" w:color="006FBA" w:themeColor="accent2"/>
        </w:tcBorders>
        <w:shd w:val="clear" w:color="auto" w:fill="AEDEFF" w:themeFill="accent2" w:themeFillTint="3F"/>
      </w:tcPr>
    </w:tblStylePr>
    <w:tblStylePr w:type="band1Horz">
      <w:tblPr/>
      <w:tcPr>
        <w:tcBorders>
          <w:top w:val="single" w:sz="8" w:space="0" w:color="006FBA" w:themeColor="accent2"/>
          <w:left w:val="single" w:sz="8" w:space="0" w:color="006FBA" w:themeColor="accent2"/>
          <w:bottom w:val="single" w:sz="8" w:space="0" w:color="006FBA" w:themeColor="accent2"/>
          <w:right w:val="single" w:sz="8" w:space="0" w:color="006FBA" w:themeColor="accent2"/>
          <w:insideV w:val="single" w:sz="8" w:space="0" w:color="006FBA" w:themeColor="accent2"/>
        </w:tcBorders>
        <w:shd w:val="clear" w:color="auto" w:fill="AEDEFF" w:themeFill="accent2" w:themeFillTint="3F"/>
      </w:tcPr>
    </w:tblStylePr>
    <w:tblStylePr w:type="band2Horz">
      <w:tblPr/>
      <w:tcPr>
        <w:tcBorders>
          <w:top w:val="single" w:sz="8" w:space="0" w:color="006FBA" w:themeColor="accent2"/>
          <w:left w:val="single" w:sz="8" w:space="0" w:color="006FBA" w:themeColor="accent2"/>
          <w:bottom w:val="single" w:sz="8" w:space="0" w:color="006FBA" w:themeColor="accent2"/>
          <w:right w:val="single" w:sz="8" w:space="0" w:color="006FBA" w:themeColor="accent2"/>
          <w:insideV w:val="single" w:sz="8" w:space="0" w:color="006FBA"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58B6E7" w:themeColor="accent3"/>
        <w:left w:val="single" w:sz="8" w:space="0" w:color="58B6E7" w:themeColor="accent3"/>
        <w:bottom w:val="single" w:sz="8" w:space="0" w:color="58B6E7" w:themeColor="accent3"/>
        <w:right w:val="single" w:sz="8" w:space="0" w:color="58B6E7" w:themeColor="accent3"/>
        <w:insideH w:val="single" w:sz="8" w:space="0" w:color="58B6E7" w:themeColor="accent3"/>
        <w:insideV w:val="single" w:sz="8" w:space="0" w:color="58B6E7"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58B6E7" w:themeColor="accent3"/>
          <w:left w:val="single" w:sz="8" w:space="0" w:color="58B6E7" w:themeColor="accent3"/>
          <w:bottom w:val="single" w:sz="18" w:space="0" w:color="58B6E7" w:themeColor="accent3"/>
          <w:right w:val="single" w:sz="8" w:space="0" w:color="58B6E7" w:themeColor="accent3"/>
          <w:insideH w:val="nil"/>
          <w:insideV w:val="single" w:sz="8" w:space="0" w:color="58B6E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E7" w:themeColor="accent3"/>
          <w:left w:val="single" w:sz="8" w:space="0" w:color="58B6E7" w:themeColor="accent3"/>
          <w:bottom w:val="single" w:sz="8" w:space="0" w:color="58B6E7" w:themeColor="accent3"/>
          <w:right w:val="single" w:sz="8" w:space="0" w:color="58B6E7" w:themeColor="accent3"/>
          <w:insideH w:val="nil"/>
          <w:insideV w:val="single" w:sz="8" w:space="0" w:color="58B6E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E7" w:themeColor="accent3"/>
          <w:left w:val="single" w:sz="8" w:space="0" w:color="58B6E7" w:themeColor="accent3"/>
          <w:bottom w:val="single" w:sz="8" w:space="0" w:color="58B6E7" w:themeColor="accent3"/>
          <w:right w:val="single" w:sz="8" w:space="0" w:color="58B6E7" w:themeColor="accent3"/>
        </w:tcBorders>
      </w:tcPr>
    </w:tblStylePr>
    <w:tblStylePr w:type="band1Vert">
      <w:tblPr/>
      <w:tcPr>
        <w:tcBorders>
          <w:top w:val="single" w:sz="8" w:space="0" w:color="58B6E7" w:themeColor="accent3"/>
          <w:left w:val="single" w:sz="8" w:space="0" w:color="58B6E7" w:themeColor="accent3"/>
          <w:bottom w:val="single" w:sz="8" w:space="0" w:color="58B6E7" w:themeColor="accent3"/>
          <w:right w:val="single" w:sz="8" w:space="0" w:color="58B6E7" w:themeColor="accent3"/>
        </w:tcBorders>
        <w:shd w:val="clear" w:color="auto" w:fill="D5ECF9" w:themeFill="accent3" w:themeFillTint="3F"/>
      </w:tcPr>
    </w:tblStylePr>
    <w:tblStylePr w:type="band1Horz">
      <w:tblPr/>
      <w:tcPr>
        <w:tcBorders>
          <w:top w:val="single" w:sz="8" w:space="0" w:color="58B6E7" w:themeColor="accent3"/>
          <w:left w:val="single" w:sz="8" w:space="0" w:color="58B6E7" w:themeColor="accent3"/>
          <w:bottom w:val="single" w:sz="8" w:space="0" w:color="58B6E7" w:themeColor="accent3"/>
          <w:right w:val="single" w:sz="8" w:space="0" w:color="58B6E7" w:themeColor="accent3"/>
          <w:insideV w:val="single" w:sz="8" w:space="0" w:color="58B6E7" w:themeColor="accent3"/>
        </w:tcBorders>
        <w:shd w:val="clear" w:color="auto" w:fill="D5ECF9" w:themeFill="accent3" w:themeFillTint="3F"/>
      </w:tcPr>
    </w:tblStylePr>
    <w:tblStylePr w:type="band2Horz">
      <w:tblPr/>
      <w:tcPr>
        <w:tcBorders>
          <w:top w:val="single" w:sz="8" w:space="0" w:color="58B6E7" w:themeColor="accent3"/>
          <w:left w:val="single" w:sz="8" w:space="0" w:color="58B6E7" w:themeColor="accent3"/>
          <w:bottom w:val="single" w:sz="8" w:space="0" w:color="58B6E7" w:themeColor="accent3"/>
          <w:right w:val="single" w:sz="8" w:space="0" w:color="58B6E7" w:themeColor="accent3"/>
          <w:insideV w:val="single" w:sz="8" w:space="0" w:color="58B6E7"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B9AA79" w:themeColor="accent4"/>
        <w:left w:val="single" w:sz="8" w:space="0" w:color="B9AA79" w:themeColor="accent4"/>
        <w:bottom w:val="single" w:sz="8" w:space="0" w:color="B9AA79" w:themeColor="accent4"/>
        <w:right w:val="single" w:sz="8" w:space="0" w:color="B9AA79" w:themeColor="accent4"/>
        <w:insideH w:val="single" w:sz="8" w:space="0" w:color="B9AA79" w:themeColor="accent4"/>
        <w:insideV w:val="single" w:sz="8" w:space="0" w:color="B9AA79"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9AA79" w:themeColor="accent4"/>
          <w:left w:val="single" w:sz="8" w:space="0" w:color="B9AA79" w:themeColor="accent4"/>
          <w:bottom w:val="single" w:sz="18" w:space="0" w:color="B9AA79" w:themeColor="accent4"/>
          <w:right w:val="single" w:sz="8" w:space="0" w:color="B9AA79" w:themeColor="accent4"/>
          <w:insideH w:val="nil"/>
          <w:insideV w:val="single" w:sz="8" w:space="0" w:color="B9AA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9AA79" w:themeColor="accent4"/>
          <w:left w:val="single" w:sz="8" w:space="0" w:color="B9AA79" w:themeColor="accent4"/>
          <w:bottom w:val="single" w:sz="8" w:space="0" w:color="B9AA79" w:themeColor="accent4"/>
          <w:right w:val="single" w:sz="8" w:space="0" w:color="B9AA79" w:themeColor="accent4"/>
          <w:insideH w:val="nil"/>
          <w:insideV w:val="single" w:sz="8" w:space="0" w:color="B9AA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9AA79" w:themeColor="accent4"/>
          <w:left w:val="single" w:sz="8" w:space="0" w:color="B9AA79" w:themeColor="accent4"/>
          <w:bottom w:val="single" w:sz="8" w:space="0" w:color="B9AA79" w:themeColor="accent4"/>
          <w:right w:val="single" w:sz="8" w:space="0" w:color="B9AA79" w:themeColor="accent4"/>
        </w:tcBorders>
      </w:tcPr>
    </w:tblStylePr>
    <w:tblStylePr w:type="band1Vert">
      <w:tblPr/>
      <w:tcPr>
        <w:tcBorders>
          <w:top w:val="single" w:sz="8" w:space="0" w:color="B9AA79" w:themeColor="accent4"/>
          <w:left w:val="single" w:sz="8" w:space="0" w:color="B9AA79" w:themeColor="accent4"/>
          <w:bottom w:val="single" w:sz="8" w:space="0" w:color="B9AA79" w:themeColor="accent4"/>
          <w:right w:val="single" w:sz="8" w:space="0" w:color="B9AA79" w:themeColor="accent4"/>
        </w:tcBorders>
        <w:shd w:val="clear" w:color="auto" w:fill="EDE9DD" w:themeFill="accent4" w:themeFillTint="3F"/>
      </w:tcPr>
    </w:tblStylePr>
    <w:tblStylePr w:type="band1Horz">
      <w:tblPr/>
      <w:tcPr>
        <w:tcBorders>
          <w:top w:val="single" w:sz="8" w:space="0" w:color="B9AA79" w:themeColor="accent4"/>
          <w:left w:val="single" w:sz="8" w:space="0" w:color="B9AA79" w:themeColor="accent4"/>
          <w:bottom w:val="single" w:sz="8" w:space="0" w:color="B9AA79" w:themeColor="accent4"/>
          <w:right w:val="single" w:sz="8" w:space="0" w:color="B9AA79" w:themeColor="accent4"/>
          <w:insideV w:val="single" w:sz="8" w:space="0" w:color="B9AA79" w:themeColor="accent4"/>
        </w:tcBorders>
        <w:shd w:val="clear" w:color="auto" w:fill="EDE9DD" w:themeFill="accent4" w:themeFillTint="3F"/>
      </w:tcPr>
    </w:tblStylePr>
    <w:tblStylePr w:type="band2Horz">
      <w:tblPr/>
      <w:tcPr>
        <w:tcBorders>
          <w:top w:val="single" w:sz="8" w:space="0" w:color="B9AA79" w:themeColor="accent4"/>
          <w:left w:val="single" w:sz="8" w:space="0" w:color="B9AA79" w:themeColor="accent4"/>
          <w:bottom w:val="single" w:sz="8" w:space="0" w:color="B9AA79" w:themeColor="accent4"/>
          <w:right w:val="single" w:sz="8" w:space="0" w:color="B9AA79" w:themeColor="accent4"/>
          <w:insideV w:val="single" w:sz="8" w:space="0" w:color="B9AA79"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B2B5AB" w:themeColor="accent5"/>
        <w:left w:val="single" w:sz="8" w:space="0" w:color="B2B5AB" w:themeColor="accent5"/>
        <w:bottom w:val="single" w:sz="8" w:space="0" w:color="B2B5AB" w:themeColor="accent5"/>
        <w:right w:val="single" w:sz="8" w:space="0" w:color="B2B5AB" w:themeColor="accent5"/>
        <w:insideH w:val="single" w:sz="8" w:space="0" w:color="B2B5AB" w:themeColor="accent5"/>
        <w:insideV w:val="single" w:sz="8" w:space="0" w:color="B2B5AB"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2B5AB" w:themeColor="accent5"/>
          <w:left w:val="single" w:sz="8" w:space="0" w:color="B2B5AB" w:themeColor="accent5"/>
          <w:bottom w:val="single" w:sz="18" w:space="0" w:color="B2B5AB" w:themeColor="accent5"/>
          <w:right w:val="single" w:sz="8" w:space="0" w:color="B2B5AB" w:themeColor="accent5"/>
          <w:insideH w:val="nil"/>
          <w:insideV w:val="single" w:sz="8" w:space="0" w:color="B2B5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5AB" w:themeColor="accent5"/>
          <w:left w:val="single" w:sz="8" w:space="0" w:color="B2B5AB" w:themeColor="accent5"/>
          <w:bottom w:val="single" w:sz="8" w:space="0" w:color="B2B5AB" w:themeColor="accent5"/>
          <w:right w:val="single" w:sz="8" w:space="0" w:color="B2B5AB" w:themeColor="accent5"/>
          <w:insideH w:val="nil"/>
          <w:insideV w:val="single" w:sz="8" w:space="0" w:color="B2B5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5AB" w:themeColor="accent5"/>
          <w:left w:val="single" w:sz="8" w:space="0" w:color="B2B5AB" w:themeColor="accent5"/>
          <w:bottom w:val="single" w:sz="8" w:space="0" w:color="B2B5AB" w:themeColor="accent5"/>
          <w:right w:val="single" w:sz="8" w:space="0" w:color="B2B5AB" w:themeColor="accent5"/>
        </w:tcBorders>
      </w:tcPr>
    </w:tblStylePr>
    <w:tblStylePr w:type="band1Vert">
      <w:tblPr/>
      <w:tcPr>
        <w:tcBorders>
          <w:top w:val="single" w:sz="8" w:space="0" w:color="B2B5AB" w:themeColor="accent5"/>
          <w:left w:val="single" w:sz="8" w:space="0" w:color="B2B5AB" w:themeColor="accent5"/>
          <w:bottom w:val="single" w:sz="8" w:space="0" w:color="B2B5AB" w:themeColor="accent5"/>
          <w:right w:val="single" w:sz="8" w:space="0" w:color="B2B5AB" w:themeColor="accent5"/>
        </w:tcBorders>
        <w:shd w:val="clear" w:color="auto" w:fill="EBECEA" w:themeFill="accent5" w:themeFillTint="3F"/>
      </w:tcPr>
    </w:tblStylePr>
    <w:tblStylePr w:type="band1Horz">
      <w:tblPr/>
      <w:tcPr>
        <w:tcBorders>
          <w:top w:val="single" w:sz="8" w:space="0" w:color="B2B5AB" w:themeColor="accent5"/>
          <w:left w:val="single" w:sz="8" w:space="0" w:color="B2B5AB" w:themeColor="accent5"/>
          <w:bottom w:val="single" w:sz="8" w:space="0" w:color="B2B5AB" w:themeColor="accent5"/>
          <w:right w:val="single" w:sz="8" w:space="0" w:color="B2B5AB" w:themeColor="accent5"/>
          <w:insideV w:val="single" w:sz="8" w:space="0" w:color="B2B5AB" w:themeColor="accent5"/>
        </w:tcBorders>
        <w:shd w:val="clear" w:color="auto" w:fill="EBECEA" w:themeFill="accent5" w:themeFillTint="3F"/>
      </w:tcPr>
    </w:tblStylePr>
    <w:tblStylePr w:type="band2Horz">
      <w:tblPr/>
      <w:tcPr>
        <w:tcBorders>
          <w:top w:val="single" w:sz="8" w:space="0" w:color="B2B5AB" w:themeColor="accent5"/>
          <w:left w:val="single" w:sz="8" w:space="0" w:color="B2B5AB" w:themeColor="accent5"/>
          <w:bottom w:val="single" w:sz="8" w:space="0" w:color="B2B5AB" w:themeColor="accent5"/>
          <w:right w:val="single" w:sz="8" w:space="0" w:color="B2B5AB" w:themeColor="accent5"/>
          <w:insideV w:val="single" w:sz="8" w:space="0" w:color="B2B5AB"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FAA41A" w:themeColor="accent6"/>
        <w:left w:val="single" w:sz="8" w:space="0" w:color="FAA41A" w:themeColor="accent6"/>
        <w:bottom w:val="single" w:sz="8" w:space="0" w:color="FAA41A" w:themeColor="accent6"/>
        <w:right w:val="single" w:sz="8" w:space="0" w:color="FAA41A" w:themeColor="accent6"/>
        <w:insideH w:val="single" w:sz="8" w:space="0" w:color="FAA41A" w:themeColor="accent6"/>
        <w:insideV w:val="single" w:sz="8" w:space="0" w:color="FAA41A"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AA41A" w:themeColor="accent6"/>
          <w:left w:val="single" w:sz="8" w:space="0" w:color="FAA41A" w:themeColor="accent6"/>
          <w:bottom w:val="single" w:sz="18" w:space="0" w:color="FAA41A" w:themeColor="accent6"/>
          <w:right w:val="single" w:sz="8" w:space="0" w:color="FAA41A" w:themeColor="accent6"/>
          <w:insideH w:val="nil"/>
          <w:insideV w:val="single" w:sz="8" w:space="0" w:color="FAA41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A41A" w:themeColor="accent6"/>
          <w:left w:val="single" w:sz="8" w:space="0" w:color="FAA41A" w:themeColor="accent6"/>
          <w:bottom w:val="single" w:sz="8" w:space="0" w:color="FAA41A" w:themeColor="accent6"/>
          <w:right w:val="single" w:sz="8" w:space="0" w:color="FAA41A" w:themeColor="accent6"/>
          <w:insideH w:val="nil"/>
          <w:insideV w:val="single" w:sz="8" w:space="0" w:color="FAA41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A41A" w:themeColor="accent6"/>
          <w:left w:val="single" w:sz="8" w:space="0" w:color="FAA41A" w:themeColor="accent6"/>
          <w:bottom w:val="single" w:sz="8" w:space="0" w:color="FAA41A" w:themeColor="accent6"/>
          <w:right w:val="single" w:sz="8" w:space="0" w:color="FAA41A" w:themeColor="accent6"/>
        </w:tcBorders>
      </w:tcPr>
    </w:tblStylePr>
    <w:tblStylePr w:type="band1Vert">
      <w:tblPr/>
      <w:tcPr>
        <w:tcBorders>
          <w:top w:val="single" w:sz="8" w:space="0" w:color="FAA41A" w:themeColor="accent6"/>
          <w:left w:val="single" w:sz="8" w:space="0" w:color="FAA41A" w:themeColor="accent6"/>
          <w:bottom w:val="single" w:sz="8" w:space="0" w:color="FAA41A" w:themeColor="accent6"/>
          <w:right w:val="single" w:sz="8" w:space="0" w:color="FAA41A" w:themeColor="accent6"/>
        </w:tcBorders>
        <w:shd w:val="clear" w:color="auto" w:fill="FDE8C6" w:themeFill="accent6" w:themeFillTint="3F"/>
      </w:tcPr>
    </w:tblStylePr>
    <w:tblStylePr w:type="band1Horz">
      <w:tblPr/>
      <w:tcPr>
        <w:tcBorders>
          <w:top w:val="single" w:sz="8" w:space="0" w:color="FAA41A" w:themeColor="accent6"/>
          <w:left w:val="single" w:sz="8" w:space="0" w:color="FAA41A" w:themeColor="accent6"/>
          <w:bottom w:val="single" w:sz="8" w:space="0" w:color="FAA41A" w:themeColor="accent6"/>
          <w:right w:val="single" w:sz="8" w:space="0" w:color="FAA41A" w:themeColor="accent6"/>
          <w:insideV w:val="single" w:sz="8" w:space="0" w:color="FAA41A" w:themeColor="accent6"/>
        </w:tcBorders>
        <w:shd w:val="clear" w:color="auto" w:fill="FDE8C6" w:themeFill="accent6" w:themeFillTint="3F"/>
      </w:tcPr>
    </w:tblStylePr>
    <w:tblStylePr w:type="band2Horz">
      <w:tblPr/>
      <w:tcPr>
        <w:tcBorders>
          <w:top w:val="single" w:sz="8" w:space="0" w:color="FAA41A" w:themeColor="accent6"/>
          <w:left w:val="single" w:sz="8" w:space="0" w:color="FAA41A" w:themeColor="accent6"/>
          <w:bottom w:val="single" w:sz="8" w:space="0" w:color="FAA41A" w:themeColor="accent6"/>
          <w:right w:val="single" w:sz="8" w:space="0" w:color="FAA41A" w:themeColor="accent6"/>
          <w:insideV w:val="single" w:sz="8" w:space="0" w:color="FAA41A"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2D62" w:themeColor="accent1"/>
        <w:left w:val="single" w:sz="8" w:space="0" w:color="002D62" w:themeColor="accent1"/>
        <w:bottom w:val="single" w:sz="8" w:space="0" w:color="002D62" w:themeColor="accent1"/>
        <w:right w:val="single" w:sz="8" w:space="0" w:color="002D62"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2D62" w:themeFill="accent1"/>
      </w:tcPr>
    </w:tblStylePr>
    <w:tblStylePr w:type="lastRow">
      <w:pPr>
        <w:spacing w:before="0" w:after="0" w:line="240" w:lineRule="auto"/>
      </w:pPr>
      <w:rPr>
        <w:b/>
        <w:bCs/>
      </w:rPr>
      <w:tblPr/>
      <w:tcPr>
        <w:tcBorders>
          <w:top w:val="double" w:sz="6" w:space="0" w:color="002D62" w:themeColor="accent1"/>
          <w:left w:val="single" w:sz="8" w:space="0" w:color="002D62" w:themeColor="accent1"/>
          <w:bottom w:val="single" w:sz="8" w:space="0" w:color="002D62" w:themeColor="accent1"/>
          <w:right w:val="single" w:sz="8" w:space="0" w:color="002D62" w:themeColor="accent1"/>
        </w:tcBorders>
      </w:tcPr>
    </w:tblStylePr>
    <w:tblStylePr w:type="firstCol">
      <w:rPr>
        <w:b/>
        <w:bCs/>
      </w:rPr>
    </w:tblStylePr>
    <w:tblStylePr w:type="lastCol">
      <w:rPr>
        <w:b/>
        <w:bCs/>
      </w:rPr>
    </w:tblStylePr>
    <w:tblStylePr w:type="band1Vert">
      <w:tblPr/>
      <w:tcPr>
        <w:tcBorders>
          <w:top w:val="single" w:sz="8" w:space="0" w:color="002D62" w:themeColor="accent1"/>
          <w:left w:val="single" w:sz="8" w:space="0" w:color="002D62" w:themeColor="accent1"/>
          <w:bottom w:val="single" w:sz="8" w:space="0" w:color="002D62" w:themeColor="accent1"/>
          <w:right w:val="single" w:sz="8" w:space="0" w:color="002D62" w:themeColor="accent1"/>
        </w:tcBorders>
      </w:tcPr>
    </w:tblStylePr>
    <w:tblStylePr w:type="band1Horz">
      <w:tblPr/>
      <w:tcPr>
        <w:tcBorders>
          <w:top w:val="single" w:sz="8" w:space="0" w:color="002D62" w:themeColor="accent1"/>
          <w:left w:val="single" w:sz="8" w:space="0" w:color="002D62" w:themeColor="accent1"/>
          <w:bottom w:val="single" w:sz="8" w:space="0" w:color="002D62" w:themeColor="accent1"/>
          <w:right w:val="single" w:sz="8" w:space="0" w:color="002D62"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006FBA" w:themeColor="accent2"/>
        <w:left w:val="single" w:sz="8" w:space="0" w:color="006FBA" w:themeColor="accent2"/>
        <w:bottom w:val="single" w:sz="8" w:space="0" w:color="006FBA" w:themeColor="accent2"/>
        <w:right w:val="single" w:sz="8" w:space="0" w:color="006FBA"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6FBA" w:themeFill="accent2"/>
      </w:tcPr>
    </w:tblStylePr>
    <w:tblStylePr w:type="lastRow">
      <w:pPr>
        <w:spacing w:before="0" w:after="0" w:line="240" w:lineRule="auto"/>
      </w:pPr>
      <w:rPr>
        <w:b/>
        <w:bCs/>
      </w:rPr>
      <w:tblPr/>
      <w:tcPr>
        <w:tcBorders>
          <w:top w:val="double" w:sz="6" w:space="0" w:color="006FBA" w:themeColor="accent2"/>
          <w:left w:val="single" w:sz="8" w:space="0" w:color="006FBA" w:themeColor="accent2"/>
          <w:bottom w:val="single" w:sz="8" w:space="0" w:color="006FBA" w:themeColor="accent2"/>
          <w:right w:val="single" w:sz="8" w:space="0" w:color="006FBA" w:themeColor="accent2"/>
        </w:tcBorders>
      </w:tcPr>
    </w:tblStylePr>
    <w:tblStylePr w:type="firstCol">
      <w:rPr>
        <w:b/>
        <w:bCs/>
      </w:rPr>
    </w:tblStylePr>
    <w:tblStylePr w:type="lastCol">
      <w:rPr>
        <w:b/>
        <w:bCs/>
      </w:rPr>
    </w:tblStylePr>
    <w:tblStylePr w:type="band1Vert">
      <w:tblPr/>
      <w:tcPr>
        <w:tcBorders>
          <w:top w:val="single" w:sz="8" w:space="0" w:color="006FBA" w:themeColor="accent2"/>
          <w:left w:val="single" w:sz="8" w:space="0" w:color="006FBA" w:themeColor="accent2"/>
          <w:bottom w:val="single" w:sz="8" w:space="0" w:color="006FBA" w:themeColor="accent2"/>
          <w:right w:val="single" w:sz="8" w:space="0" w:color="006FBA" w:themeColor="accent2"/>
        </w:tcBorders>
      </w:tcPr>
    </w:tblStylePr>
    <w:tblStylePr w:type="band1Horz">
      <w:tblPr/>
      <w:tcPr>
        <w:tcBorders>
          <w:top w:val="single" w:sz="8" w:space="0" w:color="006FBA" w:themeColor="accent2"/>
          <w:left w:val="single" w:sz="8" w:space="0" w:color="006FBA" w:themeColor="accent2"/>
          <w:bottom w:val="single" w:sz="8" w:space="0" w:color="006FBA" w:themeColor="accent2"/>
          <w:right w:val="single" w:sz="8" w:space="0" w:color="006FBA"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58B6E7" w:themeColor="accent3"/>
        <w:left w:val="single" w:sz="8" w:space="0" w:color="58B6E7" w:themeColor="accent3"/>
        <w:bottom w:val="single" w:sz="8" w:space="0" w:color="58B6E7" w:themeColor="accent3"/>
        <w:right w:val="single" w:sz="8" w:space="0" w:color="58B6E7"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58B6E7" w:themeFill="accent3"/>
      </w:tcPr>
    </w:tblStylePr>
    <w:tblStylePr w:type="lastRow">
      <w:pPr>
        <w:spacing w:before="0" w:after="0" w:line="240" w:lineRule="auto"/>
      </w:pPr>
      <w:rPr>
        <w:b/>
        <w:bCs/>
      </w:rPr>
      <w:tblPr/>
      <w:tcPr>
        <w:tcBorders>
          <w:top w:val="double" w:sz="6" w:space="0" w:color="58B6E7" w:themeColor="accent3"/>
          <w:left w:val="single" w:sz="8" w:space="0" w:color="58B6E7" w:themeColor="accent3"/>
          <w:bottom w:val="single" w:sz="8" w:space="0" w:color="58B6E7" w:themeColor="accent3"/>
          <w:right w:val="single" w:sz="8" w:space="0" w:color="58B6E7" w:themeColor="accent3"/>
        </w:tcBorders>
      </w:tcPr>
    </w:tblStylePr>
    <w:tblStylePr w:type="firstCol">
      <w:rPr>
        <w:b/>
        <w:bCs/>
      </w:rPr>
    </w:tblStylePr>
    <w:tblStylePr w:type="lastCol">
      <w:rPr>
        <w:b/>
        <w:bCs/>
      </w:rPr>
    </w:tblStylePr>
    <w:tblStylePr w:type="band1Vert">
      <w:tblPr/>
      <w:tcPr>
        <w:tcBorders>
          <w:top w:val="single" w:sz="8" w:space="0" w:color="58B6E7" w:themeColor="accent3"/>
          <w:left w:val="single" w:sz="8" w:space="0" w:color="58B6E7" w:themeColor="accent3"/>
          <w:bottom w:val="single" w:sz="8" w:space="0" w:color="58B6E7" w:themeColor="accent3"/>
          <w:right w:val="single" w:sz="8" w:space="0" w:color="58B6E7" w:themeColor="accent3"/>
        </w:tcBorders>
      </w:tcPr>
    </w:tblStylePr>
    <w:tblStylePr w:type="band1Horz">
      <w:tblPr/>
      <w:tcPr>
        <w:tcBorders>
          <w:top w:val="single" w:sz="8" w:space="0" w:color="58B6E7" w:themeColor="accent3"/>
          <w:left w:val="single" w:sz="8" w:space="0" w:color="58B6E7" w:themeColor="accent3"/>
          <w:bottom w:val="single" w:sz="8" w:space="0" w:color="58B6E7" w:themeColor="accent3"/>
          <w:right w:val="single" w:sz="8" w:space="0" w:color="58B6E7"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B9AA79" w:themeColor="accent4"/>
        <w:left w:val="single" w:sz="8" w:space="0" w:color="B9AA79" w:themeColor="accent4"/>
        <w:bottom w:val="single" w:sz="8" w:space="0" w:color="B9AA79" w:themeColor="accent4"/>
        <w:right w:val="single" w:sz="8" w:space="0" w:color="B9AA79"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9AA79" w:themeFill="accent4"/>
      </w:tcPr>
    </w:tblStylePr>
    <w:tblStylePr w:type="lastRow">
      <w:pPr>
        <w:spacing w:before="0" w:after="0" w:line="240" w:lineRule="auto"/>
      </w:pPr>
      <w:rPr>
        <w:b/>
        <w:bCs/>
      </w:rPr>
      <w:tblPr/>
      <w:tcPr>
        <w:tcBorders>
          <w:top w:val="double" w:sz="6" w:space="0" w:color="B9AA79" w:themeColor="accent4"/>
          <w:left w:val="single" w:sz="8" w:space="0" w:color="B9AA79" w:themeColor="accent4"/>
          <w:bottom w:val="single" w:sz="8" w:space="0" w:color="B9AA79" w:themeColor="accent4"/>
          <w:right w:val="single" w:sz="8" w:space="0" w:color="B9AA79" w:themeColor="accent4"/>
        </w:tcBorders>
      </w:tcPr>
    </w:tblStylePr>
    <w:tblStylePr w:type="firstCol">
      <w:rPr>
        <w:b/>
        <w:bCs/>
      </w:rPr>
    </w:tblStylePr>
    <w:tblStylePr w:type="lastCol">
      <w:rPr>
        <w:b/>
        <w:bCs/>
      </w:rPr>
    </w:tblStylePr>
    <w:tblStylePr w:type="band1Vert">
      <w:tblPr/>
      <w:tcPr>
        <w:tcBorders>
          <w:top w:val="single" w:sz="8" w:space="0" w:color="B9AA79" w:themeColor="accent4"/>
          <w:left w:val="single" w:sz="8" w:space="0" w:color="B9AA79" w:themeColor="accent4"/>
          <w:bottom w:val="single" w:sz="8" w:space="0" w:color="B9AA79" w:themeColor="accent4"/>
          <w:right w:val="single" w:sz="8" w:space="0" w:color="B9AA79" w:themeColor="accent4"/>
        </w:tcBorders>
      </w:tcPr>
    </w:tblStylePr>
    <w:tblStylePr w:type="band1Horz">
      <w:tblPr/>
      <w:tcPr>
        <w:tcBorders>
          <w:top w:val="single" w:sz="8" w:space="0" w:color="B9AA79" w:themeColor="accent4"/>
          <w:left w:val="single" w:sz="8" w:space="0" w:color="B9AA79" w:themeColor="accent4"/>
          <w:bottom w:val="single" w:sz="8" w:space="0" w:color="B9AA79" w:themeColor="accent4"/>
          <w:right w:val="single" w:sz="8" w:space="0" w:color="B9AA79"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B2B5AB" w:themeColor="accent5"/>
        <w:left w:val="single" w:sz="8" w:space="0" w:color="B2B5AB" w:themeColor="accent5"/>
        <w:bottom w:val="single" w:sz="8" w:space="0" w:color="B2B5AB" w:themeColor="accent5"/>
        <w:right w:val="single" w:sz="8" w:space="0" w:color="B2B5AB"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2B5AB" w:themeFill="accent5"/>
      </w:tcPr>
    </w:tblStylePr>
    <w:tblStylePr w:type="lastRow">
      <w:pPr>
        <w:spacing w:before="0" w:after="0" w:line="240" w:lineRule="auto"/>
      </w:pPr>
      <w:rPr>
        <w:b/>
        <w:bCs/>
      </w:rPr>
      <w:tblPr/>
      <w:tcPr>
        <w:tcBorders>
          <w:top w:val="double" w:sz="6" w:space="0" w:color="B2B5AB" w:themeColor="accent5"/>
          <w:left w:val="single" w:sz="8" w:space="0" w:color="B2B5AB" w:themeColor="accent5"/>
          <w:bottom w:val="single" w:sz="8" w:space="0" w:color="B2B5AB" w:themeColor="accent5"/>
          <w:right w:val="single" w:sz="8" w:space="0" w:color="B2B5AB" w:themeColor="accent5"/>
        </w:tcBorders>
      </w:tcPr>
    </w:tblStylePr>
    <w:tblStylePr w:type="firstCol">
      <w:rPr>
        <w:b/>
        <w:bCs/>
      </w:rPr>
    </w:tblStylePr>
    <w:tblStylePr w:type="lastCol">
      <w:rPr>
        <w:b/>
        <w:bCs/>
      </w:rPr>
    </w:tblStylePr>
    <w:tblStylePr w:type="band1Vert">
      <w:tblPr/>
      <w:tcPr>
        <w:tcBorders>
          <w:top w:val="single" w:sz="8" w:space="0" w:color="B2B5AB" w:themeColor="accent5"/>
          <w:left w:val="single" w:sz="8" w:space="0" w:color="B2B5AB" w:themeColor="accent5"/>
          <w:bottom w:val="single" w:sz="8" w:space="0" w:color="B2B5AB" w:themeColor="accent5"/>
          <w:right w:val="single" w:sz="8" w:space="0" w:color="B2B5AB" w:themeColor="accent5"/>
        </w:tcBorders>
      </w:tcPr>
    </w:tblStylePr>
    <w:tblStylePr w:type="band1Horz">
      <w:tblPr/>
      <w:tcPr>
        <w:tcBorders>
          <w:top w:val="single" w:sz="8" w:space="0" w:color="B2B5AB" w:themeColor="accent5"/>
          <w:left w:val="single" w:sz="8" w:space="0" w:color="B2B5AB" w:themeColor="accent5"/>
          <w:bottom w:val="single" w:sz="8" w:space="0" w:color="B2B5AB" w:themeColor="accent5"/>
          <w:right w:val="single" w:sz="8" w:space="0" w:color="B2B5AB"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FAA41A" w:themeColor="accent6"/>
        <w:left w:val="single" w:sz="8" w:space="0" w:color="FAA41A" w:themeColor="accent6"/>
        <w:bottom w:val="single" w:sz="8" w:space="0" w:color="FAA41A" w:themeColor="accent6"/>
        <w:right w:val="single" w:sz="8" w:space="0" w:color="FAA41A"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AA41A" w:themeFill="accent6"/>
      </w:tcPr>
    </w:tblStylePr>
    <w:tblStylePr w:type="lastRow">
      <w:pPr>
        <w:spacing w:before="0" w:after="0" w:line="240" w:lineRule="auto"/>
      </w:pPr>
      <w:rPr>
        <w:b/>
        <w:bCs/>
      </w:rPr>
      <w:tblPr/>
      <w:tcPr>
        <w:tcBorders>
          <w:top w:val="double" w:sz="6" w:space="0" w:color="FAA41A" w:themeColor="accent6"/>
          <w:left w:val="single" w:sz="8" w:space="0" w:color="FAA41A" w:themeColor="accent6"/>
          <w:bottom w:val="single" w:sz="8" w:space="0" w:color="FAA41A" w:themeColor="accent6"/>
          <w:right w:val="single" w:sz="8" w:space="0" w:color="FAA41A" w:themeColor="accent6"/>
        </w:tcBorders>
      </w:tcPr>
    </w:tblStylePr>
    <w:tblStylePr w:type="firstCol">
      <w:rPr>
        <w:b/>
        <w:bCs/>
      </w:rPr>
    </w:tblStylePr>
    <w:tblStylePr w:type="lastCol">
      <w:rPr>
        <w:b/>
        <w:bCs/>
      </w:rPr>
    </w:tblStylePr>
    <w:tblStylePr w:type="band1Vert">
      <w:tblPr/>
      <w:tcPr>
        <w:tcBorders>
          <w:top w:val="single" w:sz="8" w:space="0" w:color="FAA41A" w:themeColor="accent6"/>
          <w:left w:val="single" w:sz="8" w:space="0" w:color="FAA41A" w:themeColor="accent6"/>
          <w:bottom w:val="single" w:sz="8" w:space="0" w:color="FAA41A" w:themeColor="accent6"/>
          <w:right w:val="single" w:sz="8" w:space="0" w:color="FAA41A" w:themeColor="accent6"/>
        </w:tcBorders>
      </w:tcPr>
    </w:tblStylePr>
    <w:tblStylePr w:type="band1Horz">
      <w:tblPr/>
      <w:tcPr>
        <w:tcBorders>
          <w:top w:val="single" w:sz="8" w:space="0" w:color="FAA41A" w:themeColor="accent6"/>
          <w:left w:val="single" w:sz="8" w:space="0" w:color="FAA41A" w:themeColor="accent6"/>
          <w:bottom w:val="single" w:sz="8" w:space="0" w:color="FAA41A" w:themeColor="accent6"/>
          <w:right w:val="single" w:sz="8" w:space="0" w:color="FAA41A"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2149" w:themeColor="accent1" w:themeShade="BF"/>
    </w:rPr>
    <w:tblPr>
      <w:tblStyleRowBandSize w:val="1"/>
      <w:tblStyleColBandSize w:val="1"/>
      <w:tblBorders>
        <w:top w:val="single" w:sz="8" w:space="0" w:color="002D62" w:themeColor="accent1"/>
        <w:bottom w:val="single" w:sz="8" w:space="0" w:color="002D62"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2D62" w:themeColor="accent1"/>
          <w:left w:val="nil"/>
          <w:bottom w:val="single" w:sz="8" w:space="0" w:color="002D62" w:themeColor="accent1"/>
          <w:right w:val="nil"/>
          <w:insideH w:val="nil"/>
          <w:insideV w:val="nil"/>
        </w:tcBorders>
      </w:tcPr>
    </w:tblStylePr>
    <w:tblStylePr w:type="lastRow">
      <w:pPr>
        <w:spacing w:before="0" w:after="0" w:line="240" w:lineRule="auto"/>
      </w:pPr>
      <w:rPr>
        <w:b/>
        <w:bCs/>
      </w:rPr>
      <w:tblPr/>
      <w:tcPr>
        <w:tcBorders>
          <w:top w:val="single" w:sz="8" w:space="0" w:color="002D62" w:themeColor="accent1"/>
          <w:left w:val="nil"/>
          <w:bottom w:val="single" w:sz="8" w:space="0" w:color="002D6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7FF" w:themeFill="accent1" w:themeFillTint="3F"/>
      </w:tcPr>
    </w:tblStylePr>
    <w:tblStylePr w:type="band1Horz">
      <w:tblPr/>
      <w:tcPr>
        <w:tcBorders>
          <w:left w:val="nil"/>
          <w:right w:val="nil"/>
          <w:insideH w:val="nil"/>
          <w:insideV w:val="nil"/>
        </w:tcBorders>
        <w:shd w:val="clear" w:color="auto" w:fill="99C7FF" w:themeFill="accent1" w:themeFillTint="3F"/>
      </w:tcPr>
    </w:tblStylePr>
  </w:style>
  <w:style w:type="table" w:styleId="LightShading-Accent2">
    <w:name w:val="Light Shading Accent 2"/>
    <w:basedOn w:val="TableNormal"/>
    <w:uiPriority w:val="98"/>
    <w:rsid w:val="00C63303"/>
    <w:rPr>
      <w:color w:val="00528B" w:themeColor="accent2" w:themeShade="BF"/>
    </w:rPr>
    <w:tblPr>
      <w:tblStyleRowBandSize w:val="1"/>
      <w:tblStyleColBandSize w:val="1"/>
      <w:tblBorders>
        <w:top w:val="single" w:sz="8" w:space="0" w:color="006FBA" w:themeColor="accent2"/>
        <w:bottom w:val="single" w:sz="8" w:space="0" w:color="006FBA"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6FBA" w:themeColor="accent2"/>
          <w:left w:val="nil"/>
          <w:bottom w:val="single" w:sz="8" w:space="0" w:color="006FBA" w:themeColor="accent2"/>
          <w:right w:val="nil"/>
          <w:insideH w:val="nil"/>
          <w:insideV w:val="nil"/>
        </w:tcBorders>
      </w:tcPr>
    </w:tblStylePr>
    <w:tblStylePr w:type="lastRow">
      <w:pPr>
        <w:spacing w:before="0" w:after="0" w:line="240" w:lineRule="auto"/>
      </w:pPr>
      <w:rPr>
        <w:b/>
        <w:bCs/>
      </w:rPr>
      <w:tblPr/>
      <w:tcPr>
        <w:tcBorders>
          <w:top w:val="single" w:sz="8" w:space="0" w:color="006FBA" w:themeColor="accent2"/>
          <w:left w:val="nil"/>
          <w:bottom w:val="single" w:sz="8" w:space="0" w:color="006FB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EFF" w:themeFill="accent2" w:themeFillTint="3F"/>
      </w:tcPr>
    </w:tblStylePr>
    <w:tblStylePr w:type="band1Horz">
      <w:tblPr/>
      <w:tcPr>
        <w:tcBorders>
          <w:left w:val="nil"/>
          <w:right w:val="nil"/>
          <w:insideH w:val="nil"/>
          <w:insideV w:val="nil"/>
        </w:tcBorders>
        <w:shd w:val="clear" w:color="auto" w:fill="AEDEFF" w:themeFill="accent2" w:themeFillTint="3F"/>
      </w:tcPr>
    </w:tblStylePr>
  </w:style>
  <w:style w:type="table" w:styleId="LightShading-Accent3">
    <w:name w:val="Light Shading Accent 3"/>
    <w:basedOn w:val="TableNormal"/>
    <w:uiPriority w:val="98"/>
    <w:rsid w:val="00C63303"/>
    <w:rPr>
      <w:color w:val="1E92D0" w:themeColor="accent3" w:themeShade="BF"/>
    </w:rPr>
    <w:tblPr>
      <w:tblStyleRowBandSize w:val="1"/>
      <w:tblStyleColBandSize w:val="1"/>
      <w:tblBorders>
        <w:top w:val="single" w:sz="8" w:space="0" w:color="58B6E7" w:themeColor="accent3"/>
        <w:bottom w:val="single" w:sz="8" w:space="0" w:color="58B6E7"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58B6E7" w:themeColor="accent3"/>
          <w:left w:val="nil"/>
          <w:bottom w:val="single" w:sz="8" w:space="0" w:color="58B6E7" w:themeColor="accent3"/>
          <w:right w:val="nil"/>
          <w:insideH w:val="nil"/>
          <w:insideV w:val="nil"/>
        </w:tcBorders>
      </w:tcPr>
    </w:tblStylePr>
    <w:tblStylePr w:type="lastRow">
      <w:pPr>
        <w:spacing w:before="0" w:after="0" w:line="240" w:lineRule="auto"/>
      </w:pPr>
      <w:rPr>
        <w:b/>
        <w:bCs/>
      </w:rPr>
      <w:tblPr/>
      <w:tcPr>
        <w:tcBorders>
          <w:top w:val="single" w:sz="8" w:space="0" w:color="58B6E7" w:themeColor="accent3"/>
          <w:left w:val="nil"/>
          <w:bottom w:val="single" w:sz="8" w:space="0" w:color="58B6E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F9" w:themeFill="accent3" w:themeFillTint="3F"/>
      </w:tcPr>
    </w:tblStylePr>
    <w:tblStylePr w:type="band1Horz">
      <w:tblPr/>
      <w:tcPr>
        <w:tcBorders>
          <w:left w:val="nil"/>
          <w:right w:val="nil"/>
          <w:insideH w:val="nil"/>
          <w:insideV w:val="nil"/>
        </w:tcBorders>
        <w:shd w:val="clear" w:color="auto" w:fill="D5ECF9" w:themeFill="accent3" w:themeFillTint="3F"/>
      </w:tcPr>
    </w:tblStylePr>
  </w:style>
  <w:style w:type="table" w:styleId="LightShading-Accent4">
    <w:name w:val="Light Shading Accent 4"/>
    <w:basedOn w:val="TableNormal"/>
    <w:uiPriority w:val="98"/>
    <w:rsid w:val="00C63303"/>
    <w:rPr>
      <w:color w:val="96854E" w:themeColor="accent4" w:themeShade="BF"/>
    </w:rPr>
    <w:tblPr>
      <w:tblStyleRowBandSize w:val="1"/>
      <w:tblStyleColBandSize w:val="1"/>
      <w:tblBorders>
        <w:top w:val="single" w:sz="8" w:space="0" w:color="B9AA79" w:themeColor="accent4"/>
        <w:bottom w:val="single" w:sz="8" w:space="0" w:color="B9AA79"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9AA79" w:themeColor="accent4"/>
          <w:left w:val="nil"/>
          <w:bottom w:val="single" w:sz="8" w:space="0" w:color="B9AA79" w:themeColor="accent4"/>
          <w:right w:val="nil"/>
          <w:insideH w:val="nil"/>
          <w:insideV w:val="nil"/>
        </w:tcBorders>
      </w:tcPr>
    </w:tblStylePr>
    <w:tblStylePr w:type="lastRow">
      <w:pPr>
        <w:spacing w:before="0" w:after="0" w:line="240" w:lineRule="auto"/>
      </w:pPr>
      <w:rPr>
        <w:b/>
        <w:bCs/>
      </w:rPr>
      <w:tblPr/>
      <w:tcPr>
        <w:tcBorders>
          <w:top w:val="single" w:sz="8" w:space="0" w:color="B9AA79" w:themeColor="accent4"/>
          <w:left w:val="nil"/>
          <w:bottom w:val="single" w:sz="8" w:space="0" w:color="B9AA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9DD" w:themeFill="accent4" w:themeFillTint="3F"/>
      </w:tcPr>
    </w:tblStylePr>
    <w:tblStylePr w:type="band1Horz">
      <w:tblPr/>
      <w:tcPr>
        <w:tcBorders>
          <w:left w:val="nil"/>
          <w:right w:val="nil"/>
          <w:insideH w:val="nil"/>
          <w:insideV w:val="nil"/>
        </w:tcBorders>
        <w:shd w:val="clear" w:color="auto" w:fill="EDE9DD" w:themeFill="accent4" w:themeFillTint="3F"/>
      </w:tcPr>
    </w:tblStylePr>
  </w:style>
  <w:style w:type="table" w:styleId="LightShading-Accent5">
    <w:name w:val="Light Shading Accent 5"/>
    <w:basedOn w:val="TableNormal"/>
    <w:uiPriority w:val="98"/>
    <w:rsid w:val="00C63303"/>
    <w:rPr>
      <w:color w:val="868B7B" w:themeColor="accent5" w:themeShade="BF"/>
    </w:rPr>
    <w:tblPr>
      <w:tblStyleRowBandSize w:val="1"/>
      <w:tblStyleColBandSize w:val="1"/>
      <w:tblBorders>
        <w:top w:val="single" w:sz="8" w:space="0" w:color="B2B5AB" w:themeColor="accent5"/>
        <w:bottom w:val="single" w:sz="8" w:space="0" w:color="B2B5AB"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2B5AB" w:themeColor="accent5"/>
          <w:left w:val="nil"/>
          <w:bottom w:val="single" w:sz="8" w:space="0" w:color="B2B5AB" w:themeColor="accent5"/>
          <w:right w:val="nil"/>
          <w:insideH w:val="nil"/>
          <w:insideV w:val="nil"/>
        </w:tcBorders>
      </w:tcPr>
    </w:tblStylePr>
    <w:tblStylePr w:type="lastRow">
      <w:pPr>
        <w:spacing w:before="0" w:after="0" w:line="240" w:lineRule="auto"/>
      </w:pPr>
      <w:rPr>
        <w:b/>
        <w:bCs/>
      </w:rPr>
      <w:tblPr/>
      <w:tcPr>
        <w:tcBorders>
          <w:top w:val="single" w:sz="8" w:space="0" w:color="B2B5AB" w:themeColor="accent5"/>
          <w:left w:val="nil"/>
          <w:bottom w:val="single" w:sz="8" w:space="0" w:color="B2B5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CEA" w:themeFill="accent5" w:themeFillTint="3F"/>
      </w:tcPr>
    </w:tblStylePr>
    <w:tblStylePr w:type="band1Horz">
      <w:tblPr/>
      <w:tcPr>
        <w:tcBorders>
          <w:left w:val="nil"/>
          <w:right w:val="nil"/>
          <w:insideH w:val="nil"/>
          <w:insideV w:val="nil"/>
        </w:tcBorders>
        <w:shd w:val="clear" w:color="auto" w:fill="EBECEA" w:themeFill="accent5" w:themeFillTint="3F"/>
      </w:tcPr>
    </w:tblStylePr>
  </w:style>
  <w:style w:type="table" w:styleId="LightShading-Accent6">
    <w:name w:val="Light Shading Accent 6"/>
    <w:basedOn w:val="TableNormal"/>
    <w:uiPriority w:val="98"/>
    <w:rsid w:val="00C63303"/>
    <w:rPr>
      <w:color w:val="CA7E04" w:themeColor="accent6" w:themeShade="BF"/>
    </w:rPr>
    <w:tblPr>
      <w:tblStyleRowBandSize w:val="1"/>
      <w:tblStyleColBandSize w:val="1"/>
      <w:tblBorders>
        <w:top w:val="single" w:sz="8" w:space="0" w:color="FAA41A" w:themeColor="accent6"/>
        <w:bottom w:val="single" w:sz="8" w:space="0" w:color="FAA41A"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AA41A" w:themeColor="accent6"/>
          <w:left w:val="nil"/>
          <w:bottom w:val="single" w:sz="8" w:space="0" w:color="FAA41A" w:themeColor="accent6"/>
          <w:right w:val="nil"/>
          <w:insideH w:val="nil"/>
          <w:insideV w:val="nil"/>
        </w:tcBorders>
      </w:tcPr>
    </w:tblStylePr>
    <w:tblStylePr w:type="lastRow">
      <w:pPr>
        <w:spacing w:before="0" w:after="0" w:line="240" w:lineRule="auto"/>
      </w:pPr>
      <w:rPr>
        <w:b/>
        <w:bCs/>
      </w:rPr>
      <w:tblPr/>
      <w:tcPr>
        <w:tcBorders>
          <w:top w:val="single" w:sz="8" w:space="0" w:color="FAA41A" w:themeColor="accent6"/>
          <w:left w:val="nil"/>
          <w:bottom w:val="single" w:sz="8" w:space="0" w:color="FAA41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8C6" w:themeFill="accent6" w:themeFillTint="3F"/>
      </w:tcPr>
    </w:tblStylePr>
    <w:tblStylePr w:type="band1Horz">
      <w:tblPr/>
      <w:tcPr>
        <w:tcBorders>
          <w:left w:val="nil"/>
          <w:right w:val="nil"/>
          <w:insideH w:val="nil"/>
          <w:insideV w:val="nil"/>
        </w:tcBorders>
        <w:shd w:val="clear" w:color="auto" w:fill="FDE8C6" w:themeFill="accent6" w:themeFillTint="3F"/>
      </w:tcPr>
    </w:tblStylePr>
  </w:style>
  <w:style w:type="character" w:styleId="LineNumber">
    <w:name w:val="line number"/>
    <w:basedOn w:val="DefaultParagraphFont"/>
    <w:semiHidden/>
    <w:rsid w:val="00C63303"/>
    <w:rPr>
      <w:rFonts w:asciiTheme="minorHAnsi" w:hAnsiTheme="minorHAnsi" w:cstheme="minorHAnsi"/>
    </w:rPr>
  </w:style>
  <w:style w:type="paragraph" w:styleId="List">
    <w:name w:val="List"/>
    <w:basedOn w:val="Normal"/>
    <w:semiHidden/>
    <w:rsid w:val="00C63303"/>
    <w:pPr>
      <w:ind w:left="283" w:hanging="283"/>
      <w:contextualSpacing/>
    </w:pPr>
  </w:style>
  <w:style w:type="paragraph" w:styleId="List2">
    <w:name w:val="List 2"/>
    <w:basedOn w:val="Normal"/>
    <w:semiHidden/>
    <w:rsid w:val="00C63303"/>
    <w:pPr>
      <w:ind w:left="566" w:hanging="283"/>
      <w:contextualSpacing/>
    </w:pPr>
  </w:style>
  <w:style w:type="paragraph" w:styleId="List3">
    <w:name w:val="List 3"/>
    <w:basedOn w:val="Normal"/>
    <w:semiHidden/>
    <w:rsid w:val="00C63303"/>
    <w:pPr>
      <w:ind w:left="849" w:hanging="283"/>
      <w:contextualSpacing/>
    </w:pPr>
  </w:style>
  <w:style w:type="paragraph" w:styleId="List4">
    <w:name w:val="List 4"/>
    <w:basedOn w:val="Normal"/>
    <w:semiHidden/>
    <w:rsid w:val="00C63303"/>
    <w:pPr>
      <w:ind w:left="1132" w:hanging="283"/>
      <w:contextualSpacing/>
    </w:pPr>
  </w:style>
  <w:style w:type="numbering" w:customStyle="1" w:styleId="ListNumbers">
    <w:name w:val="ListNumbers"/>
    <w:uiPriority w:val="99"/>
    <w:rsid w:val="004F46BC"/>
  </w:style>
  <w:style w:type="paragraph" w:styleId="ListBullet2">
    <w:name w:val="List Bullet 2"/>
    <w:aliases w:val="List_Bullet_2"/>
    <w:basedOn w:val="Normal"/>
    <w:qFormat/>
    <w:rsid w:val="00746EFF"/>
    <w:pPr>
      <w:numPr>
        <w:ilvl w:val="1"/>
        <w:numId w:val="10"/>
      </w:numPr>
    </w:pPr>
  </w:style>
  <w:style w:type="paragraph" w:styleId="ListBullet4">
    <w:name w:val="List Bullet 4"/>
    <w:basedOn w:val="Normal"/>
    <w:semiHidden/>
    <w:rsid w:val="00C63303"/>
    <w:pPr>
      <w:numPr>
        <w:numId w:val="1"/>
      </w:numPr>
      <w:contextualSpacing/>
    </w:pPr>
  </w:style>
  <w:style w:type="paragraph" w:styleId="ListBullet5">
    <w:name w:val="List Bullet 5"/>
    <w:basedOn w:val="Normal"/>
    <w:semiHidden/>
    <w:rsid w:val="00C63303"/>
    <w:pPr>
      <w:numPr>
        <w:numId w:val="2"/>
      </w:numPr>
      <w:contextualSpacing/>
    </w:pPr>
  </w:style>
  <w:style w:type="paragraph" w:styleId="ListContinue">
    <w:name w:val="List Continue"/>
    <w:basedOn w:val="Normal"/>
    <w:semiHidden/>
    <w:rsid w:val="00C63303"/>
    <w:pPr>
      <w:ind w:left="283"/>
      <w:contextualSpacing/>
    </w:pPr>
  </w:style>
  <w:style w:type="paragraph" w:styleId="ListContinue2">
    <w:name w:val="List Continue 2"/>
    <w:basedOn w:val="Normal"/>
    <w:semiHidden/>
    <w:rsid w:val="00C63303"/>
    <w:pPr>
      <w:ind w:left="566"/>
      <w:contextualSpacing/>
    </w:pPr>
  </w:style>
  <w:style w:type="paragraph" w:styleId="ListContinue3">
    <w:name w:val="List Continue 3"/>
    <w:basedOn w:val="Normal"/>
    <w:semiHidden/>
    <w:rsid w:val="00C63303"/>
    <w:pPr>
      <w:ind w:left="849"/>
      <w:contextualSpacing/>
    </w:pPr>
  </w:style>
  <w:style w:type="paragraph" w:styleId="ListContinue4">
    <w:name w:val="List Continue 4"/>
    <w:basedOn w:val="Normal"/>
    <w:semiHidden/>
    <w:rsid w:val="00C63303"/>
    <w:pPr>
      <w:ind w:left="1132"/>
      <w:contextualSpacing/>
    </w:pPr>
  </w:style>
  <w:style w:type="paragraph" w:styleId="ListContinue5">
    <w:name w:val="List Continue 5"/>
    <w:basedOn w:val="Normal"/>
    <w:semiHidden/>
    <w:rsid w:val="00C63303"/>
    <w:pPr>
      <w:ind w:left="1415"/>
      <w:contextualSpacing/>
    </w:pPr>
  </w:style>
  <w:style w:type="paragraph" w:customStyle="1" w:styleId="Details">
    <w:name w:val="Details"/>
    <w:basedOn w:val="Normal"/>
    <w:qFormat/>
    <w:rsid w:val="00BC0965"/>
    <w:pPr>
      <w:jc w:val="center"/>
    </w:pPr>
    <w:rPr>
      <w:b/>
      <w:caps/>
    </w:rPr>
  </w:style>
  <w:style w:type="paragraph" w:styleId="ListNumber4">
    <w:name w:val="List Number 4"/>
    <w:basedOn w:val="Normal"/>
    <w:semiHidden/>
    <w:rsid w:val="00C63303"/>
    <w:pPr>
      <w:numPr>
        <w:numId w:val="3"/>
      </w:numPr>
      <w:contextualSpacing/>
    </w:pPr>
  </w:style>
  <w:style w:type="paragraph" w:styleId="ListNumber5">
    <w:name w:val="List Number 5"/>
    <w:basedOn w:val="Normal"/>
    <w:uiPriority w:val="3"/>
    <w:semiHidden/>
    <w:rsid w:val="00C63303"/>
    <w:pPr>
      <w:numPr>
        <w:numId w:val="4"/>
      </w:numPr>
      <w:contextualSpacing/>
    </w:pPr>
  </w:style>
  <w:style w:type="paragraph" w:styleId="MacroText">
    <w:name w:val="macro"/>
    <w:link w:val="MacroTextChar"/>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semiHidden/>
    <w:rsid w:val="00D20874"/>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005CC9" w:themeColor="accent1" w:themeTint="BF"/>
        <w:left w:val="single" w:sz="8" w:space="0" w:color="005CC9" w:themeColor="accent1" w:themeTint="BF"/>
        <w:bottom w:val="single" w:sz="8" w:space="0" w:color="005CC9" w:themeColor="accent1" w:themeTint="BF"/>
        <w:right w:val="single" w:sz="8" w:space="0" w:color="005CC9" w:themeColor="accent1" w:themeTint="BF"/>
        <w:insideH w:val="single" w:sz="8" w:space="0" w:color="005CC9" w:themeColor="accent1" w:themeTint="BF"/>
        <w:insideV w:val="single" w:sz="8" w:space="0" w:color="005CC9" w:themeColor="accent1" w:themeTint="BF"/>
      </w:tblBorders>
    </w:tblPr>
    <w:tcPr>
      <w:shd w:val="clear" w:color="auto" w:fill="99C7F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5CC9" w:themeColor="accent1" w:themeTint="BF"/>
        </w:tcBorders>
      </w:tcPr>
    </w:tblStylePr>
    <w:tblStylePr w:type="firstCol">
      <w:rPr>
        <w:b/>
        <w:bCs/>
      </w:rPr>
    </w:tblStylePr>
    <w:tblStylePr w:type="lastCol">
      <w:rPr>
        <w:b/>
        <w:bCs/>
      </w:rPr>
    </w:tblStylePr>
    <w:tblStylePr w:type="band1Vert">
      <w:tblPr/>
      <w:tcPr>
        <w:shd w:val="clear" w:color="auto" w:fill="318FFF" w:themeFill="accent1" w:themeFillTint="7F"/>
      </w:tcPr>
    </w:tblStylePr>
    <w:tblStylePr w:type="band1Horz">
      <w:tblPr/>
      <w:tcPr>
        <w:shd w:val="clear" w:color="auto" w:fill="318FFF"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0C9CFF" w:themeColor="accent2" w:themeTint="BF"/>
        <w:left w:val="single" w:sz="8" w:space="0" w:color="0C9CFF" w:themeColor="accent2" w:themeTint="BF"/>
        <w:bottom w:val="single" w:sz="8" w:space="0" w:color="0C9CFF" w:themeColor="accent2" w:themeTint="BF"/>
        <w:right w:val="single" w:sz="8" w:space="0" w:color="0C9CFF" w:themeColor="accent2" w:themeTint="BF"/>
        <w:insideH w:val="single" w:sz="8" w:space="0" w:color="0C9CFF" w:themeColor="accent2" w:themeTint="BF"/>
        <w:insideV w:val="single" w:sz="8" w:space="0" w:color="0C9CFF" w:themeColor="accent2" w:themeTint="BF"/>
      </w:tblBorders>
    </w:tblPr>
    <w:tcPr>
      <w:shd w:val="clear" w:color="auto" w:fill="AEDEFF"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C9CFF" w:themeColor="accent2" w:themeTint="BF"/>
        </w:tcBorders>
      </w:tcPr>
    </w:tblStylePr>
    <w:tblStylePr w:type="firstCol">
      <w:rPr>
        <w:b/>
        <w:bCs/>
      </w:rPr>
    </w:tblStylePr>
    <w:tblStylePr w:type="lastCol">
      <w:rPr>
        <w:b/>
        <w:bCs/>
      </w:rPr>
    </w:tblStylePr>
    <w:tblStylePr w:type="band1Vert">
      <w:tblPr/>
      <w:tcPr>
        <w:shd w:val="clear" w:color="auto" w:fill="5DBDFF" w:themeFill="accent2" w:themeFillTint="7F"/>
      </w:tcPr>
    </w:tblStylePr>
    <w:tblStylePr w:type="band1Horz">
      <w:tblPr/>
      <w:tcPr>
        <w:shd w:val="clear" w:color="auto" w:fill="5DBDFF"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81C7ED" w:themeColor="accent3" w:themeTint="BF"/>
        <w:left w:val="single" w:sz="8" w:space="0" w:color="81C7ED" w:themeColor="accent3" w:themeTint="BF"/>
        <w:bottom w:val="single" w:sz="8" w:space="0" w:color="81C7ED" w:themeColor="accent3" w:themeTint="BF"/>
        <w:right w:val="single" w:sz="8" w:space="0" w:color="81C7ED" w:themeColor="accent3" w:themeTint="BF"/>
        <w:insideH w:val="single" w:sz="8" w:space="0" w:color="81C7ED" w:themeColor="accent3" w:themeTint="BF"/>
        <w:insideV w:val="single" w:sz="8" w:space="0" w:color="81C7ED" w:themeColor="accent3" w:themeTint="BF"/>
      </w:tblBorders>
    </w:tblPr>
    <w:tcPr>
      <w:shd w:val="clear" w:color="auto" w:fill="D5ECF9"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1C7ED" w:themeColor="accent3" w:themeTint="BF"/>
        </w:tcBorders>
      </w:tcPr>
    </w:tblStylePr>
    <w:tblStylePr w:type="firstCol">
      <w:rPr>
        <w:b/>
        <w:bCs/>
      </w:rPr>
    </w:tblStylePr>
    <w:tblStylePr w:type="lastCol">
      <w:rPr>
        <w:b/>
        <w:bCs/>
      </w:rPr>
    </w:tblStylePr>
    <w:tblStylePr w:type="band1Vert">
      <w:tblPr/>
      <w:tcPr>
        <w:shd w:val="clear" w:color="auto" w:fill="ABDAF3" w:themeFill="accent3" w:themeFillTint="7F"/>
      </w:tcPr>
    </w:tblStylePr>
    <w:tblStylePr w:type="band1Horz">
      <w:tblPr/>
      <w:tcPr>
        <w:shd w:val="clear" w:color="auto" w:fill="ABDAF3"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CABF9A" w:themeColor="accent4" w:themeTint="BF"/>
        <w:left w:val="single" w:sz="8" w:space="0" w:color="CABF9A" w:themeColor="accent4" w:themeTint="BF"/>
        <w:bottom w:val="single" w:sz="8" w:space="0" w:color="CABF9A" w:themeColor="accent4" w:themeTint="BF"/>
        <w:right w:val="single" w:sz="8" w:space="0" w:color="CABF9A" w:themeColor="accent4" w:themeTint="BF"/>
        <w:insideH w:val="single" w:sz="8" w:space="0" w:color="CABF9A" w:themeColor="accent4" w:themeTint="BF"/>
        <w:insideV w:val="single" w:sz="8" w:space="0" w:color="CABF9A" w:themeColor="accent4" w:themeTint="BF"/>
      </w:tblBorders>
    </w:tblPr>
    <w:tcPr>
      <w:shd w:val="clear" w:color="auto" w:fill="EDE9DD"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ABF9A" w:themeColor="accent4" w:themeTint="BF"/>
        </w:tcBorders>
      </w:tcPr>
    </w:tblStylePr>
    <w:tblStylePr w:type="firstCol">
      <w:rPr>
        <w:b/>
        <w:bCs/>
      </w:rPr>
    </w:tblStylePr>
    <w:tblStylePr w:type="lastCol">
      <w:rPr>
        <w:b/>
        <w:bCs/>
      </w:rPr>
    </w:tblStylePr>
    <w:tblStylePr w:type="band1Vert">
      <w:tblPr/>
      <w:tcPr>
        <w:shd w:val="clear" w:color="auto" w:fill="DCD4BC" w:themeFill="accent4" w:themeFillTint="7F"/>
      </w:tcPr>
    </w:tblStylePr>
    <w:tblStylePr w:type="band1Horz">
      <w:tblPr/>
      <w:tcPr>
        <w:shd w:val="clear" w:color="auto" w:fill="DCD4BC"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C5C7BF" w:themeColor="accent5" w:themeTint="BF"/>
        <w:left w:val="single" w:sz="8" w:space="0" w:color="C5C7BF" w:themeColor="accent5" w:themeTint="BF"/>
        <w:bottom w:val="single" w:sz="8" w:space="0" w:color="C5C7BF" w:themeColor="accent5" w:themeTint="BF"/>
        <w:right w:val="single" w:sz="8" w:space="0" w:color="C5C7BF" w:themeColor="accent5" w:themeTint="BF"/>
        <w:insideH w:val="single" w:sz="8" w:space="0" w:color="C5C7BF" w:themeColor="accent5" w:themeTint="BF"/>
        <w:insideV w:val="single" w:sz="8" w:space="0" w:color="C5C7BF" w:themeColor="accent5" w:themeTint="BF"/>
      </w:tblBorders>
    </w:tblPr>
    <w:tcPr>
      <w:shd w:val="clear" w:color="auto" w:fill="EBECEA"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5C7BF" w:themeColor="accent5" w:themeTint="BF"/>
        </w:tcBorders>
      </w:tcPr>
    </w:tblStylePr>
    <w:tblStylePr w:type="firstCol">
      <w:rPr>
        <w:b/>
        <w:bCs/>
      </w:rPr>
    </w:tblStylePr>
    <w:tblStylePr w:type="lastCol">
      <w:rPr>
        <w:b/>
        <w:bCs/>
      </w:rPr>
    </w:tblStylePr>
    <w:tblStylePr w:type="band1Vert">
      <w:tblPr/>
      <w:tcPr>
        <w:shd w:val="clear" w:color="auto" w:fill="D8DAD5" w:themeFill="accent5" w:themeFillTint="7F"/>
      </w:tcPr>
    </w:tblStylePr>
    <w:tblStylePr w:type="band1Horz">
      <w:tblPr/>
      <w:tcPr>
        <w:shd w:val="clear" w:color="auto" w:fill="D8DAD5"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FBBA53" w:themeColor="accent6" w:themeTint="BF"/>
        <w:left w:val="single" w:sz="8" w:space="0" w:color="FBBA53" w:themeColor="accent6" w:themeTint="BF"/>
        <w:bottom w:val="single" w:sz="8" w:space="0" w:color="FBBA53" w:themeColor="accent6" w:themeTint="BF"/>
        <w:right w:val="single" w:sz="8" w:space="0" w:color="FBBA53" w:themeColor="accent6" w:themeTint="BF"/>
        <w:insideH w:val="single" w:sz="8" w:space="0" w:color="FBBA53" w:themeColor="accent6" w:themeTint="BF"/>
        <w:insideV w:val="single" w:sz="8" w:space="0" w:color="FBBA53" w:themeColor="accent6" w:themeTint="BF"/>
      </w:tblBorders>
    </w:tblPr>
    <w:tcPr>
      <w:shd w:val="clear" w:color="auto" w:fill="FDE8C6"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BBA53" w:themeColor="accent6" w:themeTint="BF"/>
        </w:tcBorders>
      </w:tcPr>
    </w:tblStylePr>
    <w:tblStylePr w:type="firstCol">
      <w:rPr>
        <w:b/>
        <w:bCs/>
      </w:rPr>
    </w:tblStylePr>
    <w:tblStylePr w:type="lastCol">
      <w:rPr>
        <w:b/>
        <w:bCs/>
      </w:rPr>
    </w:tblStylePr>
    <w:tblStylePr w:type="band1Vert">
      <w:tblPr/>
      <w:tcPr>
        <w:shd w:val="clear" w:color="auto" w:fill="FCD18C" w:themeFill="accent6" w:themeFillTint="7F"/>
      </w:tcPr>
    </w:tblStylePr>
    <w:tblStylePr w:type="band1Horz">
      <w:tblPr/>
      <w:tcPr>
        <w:shd w:val="clear" w:color="auto" w:fill="FCD18C"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2D62" w:themeColor="accent1"/>
        <w:left w:val="single" w:sz="8" w:space="0" w:color="002D62" w:themeColor="accent1"/>
        <w:bottom w:val="single" w:sz="8" w:space="0" w:color="002D62" w:themeColor="accent1"/>
        <w:right w:val="single" w:sz="8" w:space="0" w:color="002D62" w:themeColor="accent1"/>
        <w:insideH w:val="single" w:sz="8" w:space="0" w:color="002D62" w:themeColor="accent1"/>
        <w:insideV w:val="single" w:sz="8" w:space="0" w:color="002D62" w:themeColor="accent1"/>
      </w:tblBorders>
    </w:tblPr>
    <w:tcPr>
      <w:shd w:val="clear" w:color="auto" w:fill="99C7F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6E8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CD2FF" w:themeFill="accent1" w:themeFillTint="33"/>
      </w:tcPr>
    </w:tblStylePr>
    <w:tblStylePr w:type="band1Vert">
      <w:tblPr/>
      <w:tcPr>
        <w:shd w:val="clear" w:color="auto" w:fill="318FFF" w:themeFill="accent1" w:themeFillTint="7F"/>
      </w:tcPr>
    </w:tblStylePr>
    <w:tblStylePr w:type="band1Horz">
      <w:tblPr/>
      <w:tcPr>
        <w:tcBorders>
          <w:insideH w:val="single" w:sz="6" w:space="0" w:color="002D62" w:themeColor="accent1"/>
          <w:insideV w:val="single" w:sz="6" w:space="0" w:color="002D62" w:themeColor="accent1"/>
        </w:tcBorders>
        <w:shd w:val="clear" w:color="auto" w:fill="318F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006FBA" w:themeColor="accent2"/>
        <w:left w:val="single" w:sz="8" w:space="0" w:color="006FBA" w:themeColor="accent2"/>
        <w:bottom w:val="single" w:sz="8" w:space="0" w:color="006FBA" w:themeColor="accent2"/>
        <w:right w:val="single" w:sz="8" w:space="0" w:color="006FBA" w:themeColor="accent2"/>
        <w:insideH w:val="single" w:sz="8" w:space="0" w:color="006FBA" w:themeColor="accent2"/>
        <w:insideV w:val="single" w:sz="8" w:space="0" w:color="006FBA" w:themeColor="accent2"/>
      </w:tblBorders>
    </w:tblPr>
    <w:tcPr>
      <w:shd w:val="clear" w:color="auto" w:fill="AEDEFF"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F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4FF" w:themeFill="accent2" w:themeFillTint="33"/>
      </w:tcPr>
    </w:tblStylePr>
    <w:tblStylePr w:type="band1Vert">
      <w:tblPr/>
      <w:tcPr>
        <w:shd w:val="clear" w:color="auto" w:fill="5DBDFF" w:themeFill="accent2" w:themeFillTint="7F"/>
      </w:tcPr>
    </w:tblStylePr>
    <w:tblStylePr w:type="band1Horz">
      <w:tblPr/>
      <w:tcPr>
        <w:tcBorders>
          <w:insideH w:val="single" w:sz="6" w:space="0" w:color="006FBA" w:themeColor="accent2"/>
          <w:insideV w:val="single" w:sz="6" w:space="0" w:color="006FBA" w:themeColor="accent2"/>
        </w:tcBorders>
        <w:shd w:val="clear" w:color="auto" w:fill="5D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58B6E7" w:themeColor="accent3"/>
        <w:left w:val="single" w:sz="8" w:space="0" w:color="58B6E7" w:themeColor="accent3"/>
        <w:bottom w:val="single" w:sz="8" w:space="0" w:color="58B6E7" w:themeColor="accent3"/>
        <w:right w:val="single" w:sz="8" w:space="0" w:color="58B6E7" w:themeColor="accent3"/>
        <w:insideH w:val="single" w:sz="8" w:space="0" w:color="58B6E7" w:themeColor="accent3"/>
        <w:insideV w:val="single" w:sz="8" w:space="0" w:color="58B6E7" w:themeColor="accent3"/>
      </w:tblBorders>
    </w:tblPr>
    <w:tcPr>
      <w:shd w:val="clear" w:color="auto" w:fill="D5ECF9"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E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A" w:themeFill="accent3" w:themeFillTint="33"/>
      </w:tcPr>
    </w:tblStylePr>
    <w:tblStylePr w:type="band1Vert">
      <w:tblPr/>
      <w:tcPr>
        <w:shd w:val="clear" w:color="auto" w:fill="ABDAF3" w:themeFill="accent3" w:themeFillTint="7F"/>
      </w:tcPr>
    </w:tblStylePr>
    <w:tblStylePr w:type="band1Horz">
      <w:tblPr/>
      <w:tcPr>
        <w:tcBorders>
          <w:insideH w:val="single" w:sz="6" w:space="0" w:color="58B6E7" w:themeColor="accent3"/>
          <w:insideV w:val="single" w:sz="6" w:space="0" w:color="58B6E7" w:themeColor="accent3"/>
        </w:tcBorders>
        <w:shd w:val="clear" w:color="auto" w:fill="ABDAF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B9AA79" w:themeColor="accent4"/>
        <w:left w:val="single" w:sz="8" w:space="0" w:color="B9AA79" w:themeColor="accent4"/>
        <w:bottom w:val="single" w:sz="8" w:space="0" w:color="B9AA79" w:themeColor="accent4"/>
        <w:right w:val="single" w:sz="8" w:space="0" w:color="B9AA79" w:themeColor="accent4"/>
        <w:insideH w:val="single" w:sz="8" w:space="0" w:color="B9AA79" w:themeColor="accent4"/>
        <w:insideV w:val="single" w:sz="8" w:space="0" w:color="B9AA79" w:themeColor="accent4"/>
      </w:tblBorders>
    </w:tblPr>
    <w:tcPr>
      <w:shd w:val="clear" w:color="auto" w:fill="EDE9DD"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8F6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EDE4" w:themeFill="accent4" w:themeFillTint="33"/>
      </w:tcPr>
    </w:tblStylePr>
    <w:tblStylePr w:type="band1Vert">
      <w:tblPr/>
      <w:tcPr>
        <w:shd w:val="clear" w:color="auto" w:fill="DCD4BC" w:themeFill="accent4" w:themeFillTint="7F"/>
      </w:tcPr>
    </w:tblStylePr>
    <w:tblStylePr w:type="band1Horz">
      <w:tblPr/>
      <w:tcPr>
        <w:tcBorders>
          <w:insideH w:val="single" w:sz="6" w:space="0" w:color="B9AA79" w:themeColor="accent4"/>
          <w:insideV w:val="single" w:sz="6" w:space="0" w:color="B9AA79" w:themeColor="accent4"/>
        </w:tcBorders>
        <w:shd w:val="clear" w:color="auto" w:fill="DCD4B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B2B5AB" w:themeColor="accent5"/>
        <w:left w:val="single" w:sz="8" w:space="0" w:color="B2B5AB" w:themeColor="accent5"/>
        <w:bottom w:val="single" w:sz="8" w:space="0" w:color="B2B5AB" w:themeColor="accent5"/>
        <w:right w:val="single" w:sz="8" w:space="0" w:color="B2B5AB" w:themeColor="accent5"/>
        <w:insideH w:val="single" w:sz="8" w:space="0" w:color="B2B5AB" w:themeColor="accent5"/>
        <w:insideV w:val="single" w:sz="8" w:space="0" w:color="B2B5AB" w:themeColor="accent5"/>
      </w:tblBorders>
    </w:tblPr>
    <w:tcPr>
      <w:shd w:val="clear" w:color="auto" w:fill="EBECEA"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0EE" w:themeFill="accent5" w:themeFillTint="33"/>
      </w:tcPr>
    </w:tblStylePr>
    <w:tblStylePr w:type="band1Vert">
      <w:tblPr/>
      <w:tcPr>
        <w:shd w:val="clear" w:color="auto" w:fill="D8DAD5" w:themeFill="accent5" w:themeFillTint="7F"/>
      </w:tcPr>
    </w:tblStylePr>
    <w:tblStylePr w:type="band1Horz">
      <w:tblPr/>
      <w:tcPr>
        <w:tcBorders>
          <w:insideH w:val="single" w:sz="6" w:space="0" w:color="B2B5AB" w:themeColor="accent5"/>
          <w:insideV w:val="single" w:sz="6" w:space="0" w:color="B2B5AB" w:themeColor="accent5"/>
        </w:tcBorders>
        <w:shd w:val="clear" w:color="auto" w:fill="D8DA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FAA41A" w:themeColor="accent6"/>
        <w:left w:val="single" w:sz="8" w:space="0" w:color="FAA41A" w:themeColor="accent6"/>
        <w:bottom w:val="single" w:sz="8" w:space="0" w:color="FAA41A" w:themeColor="accent6"/>
        <w:right w:val="single" w:sz="8" w:space="0" w:color="FAA41A" w:themeColor="accent6"/>
        <w:insideH w:val="single" w:sz="8" w:space="0" w:color="FAA41A" w:themeColor="accent6"/>
        <w:insideV w:val="single" w:sz="8" w:space="0" w:color="FAA41A" w:themeColor="accent6"/>
      </w:tblBorders>
    </w:tblPr>
    <w:tcPr>
      <w:shd w:val="clear" w:color="auto" w:fill="FDE8C6"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EF6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CD1" w:themeFill="accent6" w:themeFillTint="33"/>
      </w:tcPr>
    </w:tblStylePr>
    <w:tblStylePr w:type="band1Vert">
      <w:tblPr/>
      <w:tcPr>
        <w:shd w:val="clear" w:color="auto" w:fill="FCD18C" w:themeFill="accent6" w:themeFillTint="7F"/>
      </w:tcPr>
    </w:tblStylePr>
    <w:tblStylePr w:type="band1Horz">
      <w:tblPr/>
      <w:tcPr>
        <w:tcBorders>
          <w:insideH w:val="single" w:sz="6" w:space="0" w:color="FAA41A" w:themeColor="accent6"/>
          <w:insideV w:val="single" w:sz="6" w:space="0" w:color="FAA41A" w:themeColor="accent6"/>
        </w:tcBorders>
        <w:shd w:val="clear" w:color="auto" w:fill="FCD18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7FF"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D6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D6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D6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D6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18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18FFF"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DEFF"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FB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FB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FB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FB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BDFF"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F9"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E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E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E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E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F3"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9DD"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9AA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9AA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9AA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9AA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D4B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D4BC"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CEA"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5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5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5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5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A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AD5"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8C6"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A41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A41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A41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A41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1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18C"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2D62" w:themeColor="accent1"/>
        <w:bottom w:val="single" w:sz="8" w:space="0" w:color="002D62"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2D62" w:themeColor="accent1"/>
        </w:tcBorders>
      </w:tcPr>
    </w:tblStylePr>
    <w:tblStylePr w:type="lastRow">
      <w:rPr>
        <w:b/>
        <w:bCs/>
        <w:color w:val="000000" w:themeColor="text2"/>
      </w:rPr>
      <w:tblPr/>
      <w:tcPr>
        <w:tcBorders>
          <w:top w:val="single" w:sz="8" w:space="0" w:color="002D62" w:themeColor="accent1"/>
          <w:bottom w:val="single" w:sz="8" w:space="0" w:color="002D62" w:themeColor="accent1"/>
        </w:tcBorders>
      </w:tcPr>
    </w:tblStylePr>
    <w:tblStylePr w:type="firstCol">
      <w:rPr>
        <w:b/>
        <w:bCs/>
      </w:rPr>
    </w:tblStylePr>
    <w:tblStylePr w:type="lastCol">
      <w:rPr>
        <w:b/>
        <w:bCs/>
      </w:rPr>
      <w:tblPr/>
      <w:tcPr>
        <w:tcBorders>
          <w:top w:val="single" w:sz="8" w:space="0" w:color="002D62" w:themeColor="accent1"/>
          <w:bottom w:val="single" w:sz="8" w:space="0" w:color="002D62" w:themeColor="accent1"/>
        </w:tcBorders>
      </w:tcPr>
    </w:tblStylePr>
    <w:tblStylePr w:type="band1Vert">
      <w:tblPr/>
      <w:tcPr>
        <w:shd w:val="clear" w:color="auto" w:fill="99C7FF" w:themeFill="accent1" w:themeFillTint="3F"/>
      </w:tcPr>
    </w:tblStylePr>
    <w:tblStylePr w:type="band1Horz">
      <w:tblPr/>
      <w:tcPr>
        <w:shd w:val="clear" w:color="auto" w:fill="99C7FF"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006FBA" w:themeColor="accent2"/>
        <w:bottom w:val="single" w:sz="8" w:space="0" w:color="006FBA"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6FBA" w:themeColor="accent2"/>
        </w:tcBorders>
      </w:tcPr>
    </w:tblStylePr>
    <w:tblStylePr w:type="lastRow">
      <w:rPr>
        <w:b/>
        <w:bCs/>
        <w:color w:val="000000" w:themeColor="text2"/>
      </w:rPr>
      <w:tblPr/>
      <w:tcPr>
        <w:tcBorders>
          <w:top w:val="single" w:sz="8" w:space="0" w:color="006FBA" w:themeColor="accent2"/>
          <w:bottom w:val="single" w:sz="8" w:space="0" w:color="006FBA" w:themeColor="accent2"/>
        </w:tcBorders>
      </w:tcPr>
    </w:tblStylePr>
    <w:tblStylePr w:type="firstCol">
      <w:rPr>
        <w:b/>
        <w:bCs/>
      </w:rPr>
    </w:tblStylePr>
    <w:tblStylePr w:type="lastCol">
      <w:rPr>
        <w:b/>
        <w:bCs/>
      </w:rPr>
      <w:tblPr/>
      <w:tcPr>
        <w:tcBorders>
          <w:top w:val="single" w:sz="8" w:space="0" w:color="006FBA" w:themeColor="accent2"/>
          <w:bottom w:val="single" w:sz="8" w:space="0" w:color="006FBA" w:themeColor="accent2"/>
        </w:tcBorders>
      </w:tcPr>
    </w:tblStylePr>
    <w:tblStylePr w:type="band1Vert">
      <w:tblPr/>
      <w:tcPr>
        <w:shd w:val="clear" w:color="auto" w:fill="AEDEFF" w:themeFill="accent2" w:themeFillTint="3F"/>
      </w:tcPr>
    </w:tblStylePr>
    <w:tblStylePr w:type="band1Horz">
      <w:tblPr/>
      <w:tcPr>
        <w:shd w:val="clear" w:color="auto" w:fill="AEDEFF"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58B6E7" w:themeColor="accent3"/>
        <w:bottom w:val="single" w:sz="8" w:space="0" w:color="58B6E7"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58B6E7" w:themeColor="accent3"/>
        </w:tcBorders>
      </w:tcPr>
    </w:tblStylePr>
    <w:tblStylePr w:type="lastRow">
      <w:rPr>
        <w:b/>
        <w:bCs/>
        <w:color w:val="000000" w:themeColor="text2"/>
      </w:rPr>
      <w:tblPr/>
      <w:tcPr>
        <w:tcBorders>
          <w:top w:val="single" w:sz="8" w:space="0" w:color="58B6E7" w:themeColor="accent3"/>
          <w:bottom w:val="single" w:sz="8" w:space="0" w:color="58B6E7" w:themeColor="accent3"/>
        </w:tcBorders>
      </w:tcPr>
    </w:tblStylePr>
    <w:tblStylePr w:type="firstCol">
      <w:rPr>
        <w:b/>
        <w:bCs/>
      </w:rPr>
    </w:tblStylePr>
    <w:tblStylePr w:type="lastCol">
      <w:rPr>
        <w:b/>
        <w:bCs/>
      </w:rPr>
      <w:tblPr/>
      <w:tcPr>
        <w:tcBorders>
          <w:top w:val="single" w:sz="8" w:space="0" w:color="58B6E7" w:themeColor="accent3"/>
          <w:bottom w:val="single" w:sz="8" w:space="0" w:color="58B6E7" w:themeColor="accent3"/>
        </w:tcBorders>
      </w:tcPr>
    </w:tblStylePr>
    <w:tblStylePr w:type="band1Vert">
      <w:tblPr/>
      <w:tcPr>
        <w:shd w:val="clear" w:color="auto" w:fill="D5ECF9" w:themeFill="accent3" w:themeFillTint="3F"/>
      </w:tcPr>
    </w:tblStylePr>
    <w:tblStylePr w:type="band1Horz">
      <w:tblPr/>
      <w:tcPr>
        <w:shd w:val="clear" w:color="auto" w:fill="D5ECF9"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B9AA79" w:themeColor="accent4"/>
        <w:bottom w:val="single" w:sz="8" w:space="0" w:color="B9AA79"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9AA79" w:themeColor="accent4"/>
        </w:tcBorders>
      </w:tcPr>
    </w:tblStylePr>
    <w:tblStylePr w:type="lastRow">
      <w:rPr>
        <w:b/>
        <w:bCs/>
        <w:color w:val="000000" w:themeColor="text2"/>
      </w:rPr>
      <w:tblPr/>
      <w:tcPr>
        <w:tcBorders>
          <w:top w:val="single" w:sz="8" w:space="0" w:color="B9AA79" w:themeColor="accent4"/>
          <w:bottom w:val="single" w:sz="8" w:space="0" w:color="B9AA79" w:themeColor="accent4"/>
        </w:tcBorders>
      </w:tcPr>
    </w:tblStylePr>
    <w:tblStylePr w:type="firstCol">
      <w:rPr>
        <w:b/>
        <w:bCs/>
      </w:rPr>
    </w:tblStylePr>
    <w:tblStylePr w:type="lastCol">
      <w:rPr>
        <w:b/>
        <w:bCs/>
      </w:rPr>
      <w:tblPr/>
      <w:tcPr>
        <w:tcBorders>
          <w:top w:val="single" w:sz="8" w:space="0" w:color="B9AA79" w:themeColor="accent4"/>
          <w:bottom w:val="single" w:sz="8" w:space="0" w:color="B9AA79" w:themeColor="accent4"/>
        </w:tcBorders>
      </w:tcPr>
    </w:tblStylePr>
    <w:tblStylePr w:type="band1Vert">
      <w:tblPr/>
      <w:tcPr>
        <w:shd w:val="clear" w:color="auto" w:fill="EDE9DD" w:themeFill="accent4" w:themeFillTint="3F"/>
      </w:tcPr>
    </w:tblStylePr>
    <w:tblStylePr w:type="band1Horz">
      <w:tblPr/>
      <w:tcPr>
        <w:shd w:val="clear" w:color="auto" w:fill="EDE9DD"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B2B5AB" w:themeColor="accent5"/>
        <w:bottom w:val="single" w:sz="8" w:space="0" w:color="B2B5AB"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2B5AB" w:themeColor="accent5"/>
        </w:tcBorders>
      </w:tcPr>
    </w:tblStylePr>
    <w:tblStylePr w:type="lastRow">
      <w:rPr>
        <w:b/>
        <w:bCs/>
        <w:color w:val="000000" w:themeColor="text2"/>
      </w:rPr>
      <w:tblPr/>
      <w:tcPr>
        <w:tcBorders>
          <w:top w:val="single" w:sz="8" w:space="0" w:color="B2B5AB" w:themeColor="accent5"/>
          <w:bottom w:val="single" w:sz="8" w:space="0" w:color="B2B5AB" w:themeColor="accent5"/>
        </w:tcBorders>
      </w:tcPr>
    </w:tblStylePr>
    <w:tblStylePr w:type="firstCol">
      <w:rPr>
        <w:b/>
        <w:bCs/>
      </w:rPr>
    </w:tblStylePr>
    <w:tblStylePr w:type="lastCol">
      <w:rPr>
        <w:b/>
        <w:bCs/>
      </w:rPr>
      <w:tblPr/>
      <w:tcPr>
        <w:tcBorders>
          <w:top w:val="single" w:sz="8" w:space="0" w:color="B2B5AB" w:themeColor="accent5"/>
          <w:bottom w:val="single" w:sz="8" w:space="0" w:color="B2B5AB" w:themeColor="accent5"/>
        </w:tcBorders>
      </w:tcPr>
    </w:tblStylePr>
    <w:tblStylePr w:type="band1Vert">
      <w:tblPr/>
      <w:tcPr>
        <w:shd w:val="clear" w:color="auto" w:fill="EBECEA" w:themeFill="accent5" w:themeFillTint="3F"/>
      </w:tcPr>
    </w:tblStylePr>
    <w:tblStylePr w:type="band1Horz">
      <w:tblPr/>
      <w:tcPr>
        <w:shd w:val="clear" w:color="auto" w:fill="EBECEA"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FAA41A" w:themeColor="accent6"/>
        <w:bottom w:val="single" w:sz="8" w:space="0" w:color="FAA41A"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AA41A" w:themeColor="accent6"/>
        </w:tcBorders>
      </w:tcPr>
    </w:tblStylePr>
    <w:tblStylePr w:type="lastRow">
      <w:rPr>
        <w:b/>
        <w:bCs/>
        <w:color w:val="000000" w:themeColor="text2"/>
      </w:rPr>
      <w:tblPr/>
      <w:tcPr>
        <w:tcBorders>
          <w:top w:val="single" w:sz="8" w:space="0" w:color="FAA41A" w:themeColor="accent6"/>
          <w:bottom w:val="single" w:sz="8" w:space="0" w:color="FAA41A" w:themeColor="accent6"/>
        </w:tcBorders>
      </w:tcPr>
    </w:tblStylePr>
    <w:tblStylePr w:type="firstCol">
      <w:rPr>
        <w:b/>
        <w:bCs/>
      </w:rPr>
    </w:tblStylePr>
    <w:tblStylePr w:type="lastCol">
      <w:rPr>
        <w:b/>
        <w:bCs/>
      </w:rPr>
      <w:tblPr/>
      <w:tcPr>
        <w:tcBorders>
          <w:top w:val="single" w:sz="8" w:space="0" w:color="FAA41A" w:themeColor="accent6"/>
          <w:bottom w:val="single" w:sz="8" w:space="0" w:color="FAA41A" w:themeColor="accent6"/>
        </w:tcBorders>
      </w:tcPr>
    </w:tblStylePr>
    <w:tblStylePr w:type="band1Vert">
      <w:tblPr/>
      <w:tcPr>
        <w:shd w:val="clear" w:color="auto" w:fill="FDE8C6" w:themeFill="accent6" w:themeFillTint="3F"/>
      </w:tcPr>
    </w:tblStylePr>
    <w:tblStylePr w:type="band1Horz">
      <w:tblPr/>
      <w:tcPr>
        <w:shd w:val="clear" w:color="auto" w:fill="FDE8C6"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2D62" w:themeColor="accent1"/>
        <w:left w:val="single" w:sz="8" w:space="0" w:color="002D62" w:themeColor="accent1"/>
        <w:bottom w:val="single" w:sz="8" w:space="0" w:color="002D62" w:themeColor="accent1"/>
        <w:right w:val="single" w:sz="8" w:space="0" w:color="002D62"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2D62" w:themeColor="accent1"/>
          <w:right w:val="nil"/>
          <w:insideH w:val="nil"/>
          <w:insideV w:val="nil"/>
        </w:tcBorders>
        <w:shd w:val="clear" w:color="auto" w:fill="FFFFFF" w:themeFill="background1"/>
      </w:tcPr>
    </w:tblStylePr>
    <w:tblStylePr w:type="lastRow">
      <w:tblPr/>
      <w:tcPr>
        <w:tcBorders>
          <w:top w:val="single" w:sz="8" w:space="0" w:color="002D6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D62" w:themeColor="accent1"/>
          <w:insideH w:val="nil"/>
          <w:insideV w:val="nil"/>
        </w:tcBorders>
        <w:shd w:val="clear" w:color="auto" w:fill="FFFFFF" w:themeFill="background1"/>
      </w:tcPr>
    </w:tblStylePr>
    <w:tblStylePr w:type="lastCol">
      <w:tblPr/>
      <w:tcPr>
        <w:tcBorders>
          <w:top w:val="nil"/>
          <w:left w:val="single" w:sz="8" w:space="0" w:color="002D6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7FF" w:themeFill="accent1" w:themeFillTint="3F"/>
      </w:tcPr>
    </w:tblStylePr>
    <w:tblStylePr w:type="band1Horz">
      <w:tblPr/>
      <w:tcPr>
        <w:tcBorders>
          <w:top w:val="nil"/>
          <w:bottom w:val="nil"/>
          <w:insideH w:val="nil"/>
          <w:insideV w:val="nil"/>
        </w:tcBorders>
        <w:shd w:val="clear" w:color="auto" w:fill="99C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006FBA" w:themeColor="accent2"/>
        <w:left w:val="single" w:sz="8" w:space="0" w:color="006FBA" w:themeColor="accent2"/>
        <w:bottom w:val="single" w:sz="8" w:space="0" w:color="006FBA" w:themeColor="accent2"/>
        <w:right w:val="single" w:sz="8" w:space="0" w:color="006FBA"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6FBA" w:themeColor="accent2"/>
          <w:right w:val="nil"/>
          <w:insideH w:val="nil"/>
          <w:insideV w:val="nil"/>
        </w:tcBorders>
        <w:shd w:val="clear" w:color="auto" w:fill="FFFFFF" w:themeFill="background1"/>
      </w:tcPr>
    </w:tblStylePr>
    <w:tblStylePr w:type="lastRow">
      <w:tblPr/>
      <w:tcPr>
        <w:tcBorders>
          <w:top w:val="single" w:sz="8" w:space="0" w:color="006FB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FBA" w:themeColor="accent2"/>
          <w:insideH w:val="nil"/>
          <w:insideV w:val="nil"/>
        </w:tcBorders>
        <w:shd w:val="clear" w:color="auto" w:fill="FFFFFF" w:themeFill="background1"/>
      </w:tcPr>
    </w:tblStylePr>
    <w:tblStylePr w:type="lastCol">
      <w:tblPr/>
      <w:tcPr>
        <w:tcBorders>
          <w:top w:val="nil"/>
          <w:left w:val="single" w:sz="8" w:space="0" w:color="006FB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DEFF" w:themeFill="accent2" w:themeFillTint="3F"/>
      </w:tcPr>
    </w:tblStylePr>
    <w:tblStylePr w:type="band1Horz">
      <w:tblPr/>
      <w:tcPr>
        <w:tcBorders>
          <w:top w:val="nil"/>
          <w:bottom w:val="nil"/>
          <w:insideH w:val="nil"/>
          <w:insideV w:val="nil"/>
        </w:tcBorders>
        <w:shd w:val="clear" w:color="auto" w:fill="AE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58B6E7" w:themeColor="accent3"/>
        <w:left w:val="single" w:sz="8" w:space="0" w:color="58B6E7" w:themeColor="accent3"/>
        <w:bottom w:val="single" w:sz="8" w:space="0" w:color="58B6E7" w:themeColor="accent3"/>
        <w:right w:val="single" w:sz="8" w:space="0" w:color="58B6E7"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58B6E7" w:themeColor="accent3"/>
          <w:right w:val="nil"/>
          <w:insideH w:val="nil"/>
          <w:insideV w:val="nil"/>
        </w:tcBorders>
        <w:shd w:val="clear" w:color="auto" w:fill="FFFFFF" w:themeFill="background1"/>
      </w:tcPr>
    </w:tblStylePr>
    <w:tblStylePr w:type="lastRow">
      <w:tblPr/>
      <w:tcPr>
        <w:tcBorders>
          <w:top w:val="single" w:sz="8" w:space="0" w:color="58B6E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E7" w:themeColor="accent3"/>
          <w:insideH w:val="nil"/>
          <w:insideV w:val="nil"/>
        </w:tcBorders>
        <w:shd w:val="clear" w:color="auto" w:fill="FFFFFF" w:themeFill="background1"/>
      </w:tcPr>
    </w:tblStylePr>
    <w:tblStylePr w:type="lastCol">
      <w:tblPr/>
      <w:tcPr>
        <w:tcBorders>
          <w:top w:val="nil"/>
          <w:left w:val="single" w:sz="8" w:space="0" w:color="58B6E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F9" w:themeFill="accent3" w:themeFillTint="3F"/>
      </w:tcPr>
    </w:tblStylePr>
    <w:tblStylePr w:type="band1Horz">
      <w:tblPr/>
      <w:tcPr>
        <w:tcBorders>
          <w:top w:val="nil"/>
          <w:bottom w:val="nil"/>
          <w:insideH w:val="nil"/>
          <w:insideV w:val="nil"/>
        </w:tcBorders>
        <w:shd w:val="clear" w:color="auto" w:fill="D5EC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B9AA79" w:themeColor="accent4"/>
        <w:left w:val="single" w:sz="8" w:space="0" w:color="B9AA79" w:themeColor="accent4"/>
        <w:bottom w:val="single" w:sz="8" w:space="0" w:color="B9AA79" w:themeColor="accent4"/>
        <w:right w:val="single" w:sz="8" w:space="0" w:color="B9AA79"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9AA79" w:themeColor="accent4"/>
          <w:right w:val="nil"/>
          <w:insideH w:val="nil"/>
          <w:insideV w:val="nil"/>
        </w:tcBorders>
        <w:shd w:val="clear" w:color="auto" w:fill="FFFFFF" w:themeFill="background1"/>
      </w:tcPr>
    </w:tblStylePr>
    <w:tblStylePr w:type="lastRow">
      <w:tblPr/>
      <w:tcPr>
        <w:tcBorders>
          <w:top w:val="single" w:sz="8" w:space="0" w:color="B9AA7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9AA79" w:themeColor="accent4"/>
          <w:insideH w:val="nil"/>
          <w:insideV w:val="nil"/>
        </w:tcBorders>
        <w:shd w:val="clear" w:color="auto" w:fill="FFFFFF" w:themeFill="background1"/>
      </w:tcPr>
    </w:tblStylePr>
    <w:tblStylePr w:type="lastCol">
      <w:tblPr/>
      <w:tcPr>
        <w:tcBorders>
          <w:top w:val="nil"/>
          <w:left w:val="single" w:sz="8" w:space="0" w:color="B9AA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9DD" w:themeFill="accent4" w:themeFillTint="3F"/>
      </w:tcPr>
    </w:tblStylePr>
    <w:tblStylePr w:type="band1Horz">
      <w:tblPr/>
      <w:tcPr>
        <w:tcBorders>
          <w:top w:val="nil"/>
          <w:bottom w:val="nil"/>
          <w:insideH w:val="nil"/>
          <w:insideV w:val="nil"/>
        </w:tcBorders>
        <w:shd w:val="clear" w:color="auto" w:fill="EDE9D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B2B5AB" w:themeColor="accent5"/>
        <w:left w:val="single" w:sz="8" w:space="0" w:color="B2B5AB" w:themeColor="accent5"/>
        <w:bottom w:val="single" w:sz="8" w:space="0" w:color="B2B5AB" w:themeColor="accent5"/>
        <w:right w:val="single" w:sz="8" w:space="0" w:color="B2B5AB"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2B5AB" w:themeColor="accent5"/>
          <w:right w:val="nil"/>
          <w:insideH w:val="nil"/>
          <w:insideV w:val="nil"/>
        </w:tcBorders>
        <w:shd w:val="clear" w:color="auto" w:fill="FFFFFF" w:themeFill="background1"/>
      </w:tcPr>
    </w:tblStylePr>
    <w:tblStylePr w:type="lastRow">
      <w:tblPr/>
      <w:tcPr>
        <w:tcBorders>
          <w:top w:val="single" w:sz="8" w:space="0" w:color="B2B5A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5AB" w:themeColor="accent5"/>
          <w:insideH w:val="nil"/>
          <w:insideV w:val="nil"/>
        </w:tcBorders>
        <w:shd w:val="clear" w:color="auto" w:fill="FFFFFF" w:themeFill="background1"/>
      </w:tcPr>
    </w:tblStylePr>
    <w:tblStylePr w:type="lastCol">
      <w:tblPr/>
      <w:tcPr>
        <w:tcBorders>
          <w:top w:val="nil"/>
          <w:left w:val="single" w:sz="8" w:space="0" w:color="B2B5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A" w:themeFill="accent5" w:themeFillTint="3F"/>
      </w:tcPr>
    </w:tblStylePr>
    <w:tblStylePr w:type="band1Horz">
      <w:tblPr/>
      <w:tcPr>
        <w:tcBorders>
          <w:top w:val="nil"/>
          <w:bottom w:val="nil"/>
          <w:insideH w:val="nil"/>
          <w:insideV w:val="nil"/>
        </w:tcBorders>
        <w:shd w:val="clear" w:color="auto" w:fill="EBEC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FAA41A" w:themeColor="accent6"/>
        <w:left w:val="single" w:sz="8" w:space="0" w:color="FAA41A" w:themeColor="accent6"/>
        <w:bottom w:val="single" w:sz="8" w:space="0" w:color="FAA41A" w:themeColor="accent6"/>
        <w:right w:val="single" w:sz="8" w:space="0" w:color="FAA41A"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AA41A" w:themeColor="accent6"/>
          <w:right w:val="nil"/>
          <w:insideH w:val="nil"/>
          <w:insideV w:val="nil"/>
        </w:tcBorders>
        <w:shd w:val="clear" w:color="auto" w:fill="FFFFFF" w:themeFill="background1"/>
      </w:tcPr>
    </w:tblStylePr>
    <w:tblStylePr w:type="lastRow">
      <w:tblPr/>
      <w:tcPr>
        <w:tcBorders>
          <w:top w:val="single" w:sz="8" w:space="0" w:color="FAA41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A41A" w:themeColor="accent6"/>
          <w:insideH w:val="nil"/>
          <w:insideV w:val="nil"/>
        </w:tcBorders>
        <w:shd w:val="clear" w:color="auto" w:fill="FFFFFF" w:themeFill="background1"/>
      </w:tcPr>
    </w:tblStylePr>
    <w:tblStylePr w:type="lastCol">
      <w:tblPr/>
      <w:tcPr>
        <w:tcBorders>
          <w:top w:val="nil"/>
          <w:left w:val="single" w:sz="8" w:space="0" w:color="FAA41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8C6" w:themeFill="accent6" w:themeFillTint="3F"/>
      </w:tcPr>
    </w:tblStylePr>
    <w:tblStylePr w:type="band1Horz">
      <w:tblPr/>
      <w:tcPr>
        <w:tcBorders>
          <w:top w:val="nil"/>
          <w:bottom w:val="nil"/>
          <w:insideH w:val="nil"/>
          <w:insideV w:val="nil"/>
        </w:tcBorders>
        <w:shd w:val="clear" w:color="auto" w:fill="FDE8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005CC9" w:themeColor="accent1" w:themeTint="BF"/>
        <w:left w:val="single" w:sz="8" w:space="0" w:color="005CC9" w:themeColor="accent1" w:themeTint="BF"/>
        <w:bottom w:val="single" w:sz="8" w:space="0" w:color="005CC9" w:themeColor="accent1" w:themeTint="BF"/>
        <w:right w:val="single" w:sz="8" w:space="0" w:color="005CC9" w:themeColor="accent1" w:themeTint="BF"/>
        <w:insideH w:val="single" w:sz="8" w:space="0" w:color="005CC9"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5CC9" w:themeColor="accent1" w:themeTint="BF"/>
          <w:left w:val="single" w:sz="8" w:space="0" w:color="005CC9" w:themeColor="accent1" w:themeTint="BF"/>
          <w:bottom w:val="single" w:sz="8" w:space="0" w:color="005CC9" w:themeColor="accent1" w:themeTint="BF"/>
          <w:right w:val="single" w:sz="8" w:space="0" w:color="005CC9" w:themeColor="accent1" w:themeTint="BF"/>
          <w:insideH w:val="nil"/>
          <w:insideV w:val="nil"/>
        </w:tcBorders>
        <w:shd w:val="clear" w:color="auto" w:fill="002D62" w:themeFill="accent1"/>
      </w:tcPr>
    </w:tblStylePr>
    <w:tblStylePr w:type="lastRow">
      <w:pPr>
        <w:spacing w:before="0" w:after="0" w:line="240" w:lineRule="auto"/>
      </w:pPr>
      <w:rPr>
        <w:b/>
        <w:bCs/>
      </w:rPr>
      <w:tblPr/>
      <w:tcPr>
        <w:tcBorders>
          <w:top w:val="double" w:sz="6" w:space="0" w:color="005CC9" w:themeColor="accent1" w:themeTint="BF"/>
          <w:left w:val="single" w:sz="8" w:space="0" w:color="005CC9" w:themeColor="accent1" w:themeTint="BF"/>
          <w:bottom w:val="single" w:sz="8" w:space="0" w:color="005CC9" w:themeColor="accent1" w:themeTint="BF"/>
          <w:right w:val="single" w:sz="8" w:space="0" w:color="005CC9" w:themeColor="accent1" w:themeTint="BF"/>
          <w:insideH w:val="nil"/>
          <w:insideV w:val="nil"/>
        </w:tcBorders>
      </w:tcPr>
    </w:tblStylePr>
    <w:tblStylePr w:type="firstCol">
      <w:rPr>
        <w:b/>
        <w:bCs/>
      </w:rPr>
    </w:tblStylePr>
    <w:tblStylePr w:type="lastCol">
      <w:rPr>
        <w:b/>
        <w:bCs/>
      </w:rPr>
    </w:tblStylePr>
    <w:tblStylePr w:type="band1Vert">
      <w:tblPr/>
      <w:tcPr>
        <w:shd w:val="clear" w:color="auto" w:fill="99C7FF" w:themeFill="accent1" w:themeFillTint="3F"/>
      </w:tcPr>
    </w:tblStylePr>
    <w:tblStylePr w:type="band1Horz">
      <w:tblPr/>
      <w:tcPr>
        <w:tcBorders>
          <w:insideH w:val="nil"/>
          <w:insideV w:val="nil"/>
        </w:tcBorders>
        <w:shd w:val="clear" w:color="auto" w:fill="99C7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0C9CFF" w:themeColor="accent2" w:themeTint="BF"/>
        <w:left w:val="single" w:sz="8" w:space="0" w:color="0C9CFF" w:themeColor="accent2" w:themeTint="BF"/>
        <w:bottom w:val="single" w:sz="8" w:space="0" w:color="0C9CFF" w:themeColor="accent2" w:themeTint="BF"/>
        <w:right w:val="single" w:sz="8" w:space="0" w:color="0C9CFF" w:themeColor="accent2" w:themeTint="BF"/>
        <w:insideH w:val="single" w:sz="8" w:space="0" w:color="0C9CFF"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C9CFF" w:themeColor="accent2" w:themeTint="BF"/>
          <w:left w:val="single" w:sz="8" w:space="0" w:color="0C9CFF" w:themeColor="accent2" w:themeTint="BF"/>
          <w:bottom w:val="single" w:sz="8" w:space="0" w:color="0C9CFF" w:themeColor="accent2" w:themeTint="BF"/>
          <w:right w:val="single" w:sz="8" w:space="0" w:color="0C9CFF" w:themeColor="accent2" w:themeTint="BF"/>
          <w:insideH w:val="nil"/>
          <w:insideV w:val="nil"/>
        </w:tcBorders>
        <w:shd w:val="clear" w:color="auto" w:fill="006FBA" w:themeFill="accent2"/>
      </w:tcPr>
    </w:tblStylePr>
    <w:tblStylePr w:type="lastRow">
      <w:pPr>
        <w:spacing w:before="0" w:after="0" w:line="240" w:lineRule="auto"/>
      </w:pPr>
      <w:rPr>
        <w:b/>
        <w:bCs/>
      </w:rPr>
      <w:tblPr/>
      <w:tcPr>
        <w:tcBorders>
          <w:top w:val="double" w:sz="6" w:space="0" w:color="0C9CFF" w:themeColor="accent2" w:themeTint="BF"/>
          <w:left w:val="single" w:sz="8" w:space="0" w:color="0C9CFF" w:themeColor="accent2" w:themeTint="BF"/>
          <w:bottom w:val="single" w:sz="8" w:space="0" w:color="0C9CFF" w:themeColor="accent2" w:themeTint="BF"/>
          <w:right w:val="single" w:sz="8" w:space="0" w:color="0C9C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DEFF" w:themeFill="accent2" w:themeFillTint="3F"/>
      </w:tcPr>
    </w:tblStylePr>
    <w:tblStylePr w:type="band1Horz">
      <w:tblPr/>
      <w:tcPr>
        <w:tcBorders>
          <w:insideH w:val="nil"/>
          <w:insideV w:val="nil"/>
        </w:tcBorders>
        <w:shd w:val="clear" w:color="auto" w:fill="AE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81C7ED" w:themeColor="accent3" w:themeTint="BF"/>
        <w:left w:val="single" w:sz="8" w:space="0" w:color="81C7ED" w:themeColor="accent3" w:themeTint="BF"/>
        <w:bottom w:val="single" w:sz="8" w:space="0" w:color="81C7ED" w:themeColor="accent3" w:themeTint="BF"/>
        <w:right w:val="single" w:sz="8" w:space="0" w:color="81C7ED" w:themeColor="accent3" w:themeTint="BF"/>
        <w:insideH w:val="single" w:sz="8" w:space="0" w:color="81C7E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1C7ED" w:themeColor="accent3" w:themeTint="BF"/>
          <w:left w:val="single" w:sz="8" w:space="0" w:color="81C7ED" w:themeColor="accent3" w:themeTint="BF"/>
          <w:bottom w:val="single" w:sz="8" w:space="0" w:color="81C7ED" w:themeColor="accent3" w:themeTint="BF"/>
          <w:right w:val="single" w:sz="8" w:space="0" w:color="81C7ED" w:themeColor="accent3" w:themeTint="BF"/>
          <w:insideH w:val="nil"/>
          <w:insideV w:val="nil"/>
        </w:tcBorders>
        <w:shd w:val="clear" w:color="auto" w:fill="58B6E7" w:themeFill="accent3"/>
      </w:tcPr>
    </w:tblStylePr>
    <w:tblStylePr w:type="lastRow">
      <w:pPr>
        <w:spacing w:before="0" w:after="0" w:line="240" w:lineRule="auto"/>
      </w:pPr>
      <w:rPr>
        <w:b/>
        <w:bCs/>
      </w:rPr>
      <w:tblPr/>
      <w:tcPr>
        <w:tcBorders>
          <w:top w:val="double" w:sz="6" w:space="0" w:color="81C7ED" w:themeColor="accent3" w:themeTint="BF"/>
          <w:left w:val="single" w:sz="8" w:space="0" w:color="81C7ED" w:themeColor="accent3" w:themeTint="BF"/>
          <w:bottom w:val="single" w:sz="8" w:space="0" w:color="81C7ED" w:themeColor="accent3" w:themeTint="BF"/>
          <w:right w:val="single" w:sz="8" w:space="0" w:color="81C7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CF9" w:themeFill="accent3" w:themeFillTint="3F"/>
      </w:tcPr>
    </w:tblStylePr>
    <w:tblStylePr w:type="band1Horz">
      <w:tblPr/>
      <w:tcPr>
        <w:tcBorders>
          <w:insideH w:val="nil"/>
          <w:insideV w:val="nil"/>
        </w:tcBorders>
        <w:shd w:val="clear" w:color="auto" w:fill="D5ECF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CABF9A" w:themeColor="accent4" w:themeTint="BF"/>
        <w:left w:val="single" w:sz="8" w:space="0" w:color="CABF9A" w:themeColor="accent4" w:themeTint="BF"/>
        <w:bottom w:val="single" w:sz="8" w:space="0" w:color="CABF9A" w:themeColor="accent4" w:themeTint="BF"/>
        <w:right w:val="single" w:sz="8" w:space="0" w:color="CABF9A" w:themeColor="accent4" w:themeTint="BF"/>
        <w:insideH w:val="single" w:sz="8" w:space="0" w:color="CABF9A"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ABF9A" w:themeColor="accent4" w:themeTint="BF"/>
          <w:left w:val="single" w:sz="8" w:space="0" w:color="CABF9A" w:themeColor="accent4" w:themeTint="BF"/>
          <w:bottom w:val="single" w:sz="8" w:space="0" w:color="CABF9A" w:themeColor="accent4" w:themeTint="BF"/>
          <w:right w:val="single" w:sz="8" w:space="0" w:color="CABF9A" w:themeColor="accent4" w:themeTint="BF"/>
          <w:insideH w:val="nil"/>
          <w:insideV w:val="nil"/>
        </w:tcBorders>
        <w:shd w:val="clear" w:color="auto" w:fill="B9AA79" w:themeFill="accent4"/>
      </w:tcPr>
    </w:tblStylePr>
    <w:tblStylePr w:type="lastRow">
      <w:pPr>
        <w:spacing w:before="0" w:after="0" w:line="240" w:lineRule="auto"/>
      </w:pPr>
      <w:rPr>
        <w:b/>
        <w:bCs/>
      </w:rPr>
      <w:tblPr/>
      <w:tcPr>
        <w:tcBorders>
          <w:top w:val="double" w:sz="6" w:space="0" w:color="CABF9A" w:themeColor="accent4" w:themeTint="BF"/>
          <w:left w:val="single" w:sz="8" w:space="0" w:color="CABF9A" w:themeColor="accent4" w:themeTint="BF"/>
          <w:bottom w:val="single" w:sz="8" w:space="0" w:color="CABF9A" w:themeColor="accent4" w:themeTint="BF"/>
          <w:right w:val="single" w:sz="8" w:space="0" w:color="CABF9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E9DD" w:themeFill="accent4" w:themeFillTint="3F"/>
      </w:tcPr>
    </w:tblStylePr>
    <w:tblStylePr w:type="band1Horz">
      <w:tblPr/>
      <w:tcPr>
        <w:tcBorders>
          <w:insideH w:val="nil"/>
          <w:insideV w:val="nil"/>
        </w:tcBorders>
        <w:shd w:val="clear" w:color="auto" w:fill="EDE9D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C5C7BF" w:themeColor="accent5" w:themeTint="BF"/>
        <w:left w:val="single" w:sz="8" w:space="0" w:color="C5C7BF" w:themeColor="accent5" w:themeTint="BF"/>
        <w:bottom w:val="single" w:sz="8" w:space="0" w:color="C5C7BF" w:themeColor="accent5" w:themeTint="BF"/>
        <w:right w:val="single" w:sz="8" w:space="0" w:color="C5C7BF" w:themeColor="accent5" w:themeTint="BF"/>
        <w:insideH w:val="single" w:sz="8" w:space="0" w:color="C5C7BF"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5C7BF" w:themeColor="accent5" w:themeTint="BF"/>
          <w:left w:val="single" w:sz="8" w:space="0" w:color="C5C7BF" w:themeColor="accent5" w:themeTint="BF"/>
          <w:bottom w:val="single" w:sz="8" w:space="0" w:color="C5C7BF" w:themeColor="accent5" w:themeTint="BF"/>
          <w:right w:val="single" w:sz="8" w:space="0" w:color="C5C7BF" w:themeColor="accent5" w:themeTint="BF"/>
          <w:insideH w:val="nil"/>
          <w:insideV w:val="nil"/>
        </w:tcBorders>
        <w:shd w:val="clear" w:color="auto" w:fill="B2B5AB" w:themeFill="accent5"/>
      </w:tcPr>
    </w:tblStylePr>
    <w:tblStylePr w:type="lastRow">
      <w:pPr>
        <w:spacing w:before="0" w:after="0" w:line="240" w:lineRule="auto"/>
      </w:pPr>
      <w:rPr>
        <w:b/>
        <w:bCs/>
      </w:rPr>
      <w:tblPr/>
      <w:tcPr>
        <w:tcBorders>
          <w:top w:val="double" w:sz="6" w:space="0" w:color="C5C7BF" w:themeColor="accent5" w:themeTint="BF"/>
          <w:left w:val="single" w:sz="8" w:space="0" w:color="C5C7BF" w:themeColor="accent5" w:themeTint="BF"/>
          <w:bottom w:val="single" w:sz="8" w:space="0" w:color="C5C7BF" w:themeColor="accent5" w:themeTint="BF"/>
          <w:right w:val="single" w:sz="8" w:space="0" w:color="C5C7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ECEA" w:themeFill="accent5" w:themeFillTint="3F"/>
      </w:tcPr>
    </w:tblStylePr>
    <w:tblStylePr w:type="band1Horz">
      <w:tblPr/>
      <w:tcPr>
        <w:tcBorders>
          <w:insideH w:val="nil"/>
          <w:insideV w:val="nil"/>
        </w:tcBorders>
        <w:shd w:val="clear" w:color="auto" w:fill="EBEC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FBBA53" w:themeColor="accent6" w:themeTint="BF"/>
        <w:left w:val="single" w:sz="8" w:space="0" w:color="FBBA53" w:themeColor="accent6" w:themeTint="BF"/>
        <w:bottom w:val="single" w:sz="8" w:space="0" w:color="FBBA53" w:themeColor="accent6" w:themeTint="BF"/>
        <w:right w:val="single" w:sz="8" w:space="0" w:color="FBBA53" w:themeColor="accent6" w:themeTint="BF"/>
        <w:insideH w:val="single" w:sz="8" w:space="0" w:color="FBBA53"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BBA53" w:themeColor="accent6" w:themeTint="BF"/>
          <w:left w:val="single" w:sz="8" w:space="0" w:color="FBBA53" w:themeColor="accent6" w:themeTint="BF"/>
          <w:bottom w:val="single" w:sz="8" w:space="0" w:color="FBBA53" w:themeColor="accent6" w:themeTint="BF"/>
          <w:right w:val="single" w:sz="8" w:space="0" w:color="FBBA53" w:themeColor="accent6" w:themeTint="BF"/>
          <w:insideH w:val="nil"/>
          <w:insideV w:val="nil"/>
        </w:tcBorders>
        <w:shd w:val="clear" w:color="auto" w:fill="FAA41A" w:themeFill="accent6"/>
      </w:tcPr>
    </w:tblStylePr>
    <w:tblStylePr w:type="lastRow">
      <w:pPr>
        <w:spacing w:before="0" w:after="0" w:line="240" w:lineRule="auto"/>
      </w:pPr>
      <w:rPr>
        <w:b/>
        <w:bCs/>
      </w:rPr>
      <w:tblPr/>
      <w:tcPr>
        <w:tcBorders>
          <w:top w:val="double" w:sz="6" w:space="0" w:color="FBBA53" w:themeColor="accent6" w:themeTint="BF"/>
          <w:left w:val="single" w:sz="8" w:space="0" w:color="FBBA53" w:themeColor="accent6" w:themeTint="BF"/>
          <w:bottom w:val="single" w:sz="8" w:space="0" w:color="FBBA53" w:themeColor="accent6" w:themeTint="BF"/>
          <w:right w:val="single" w:sz="8" w:space="0" w:color="FBBA5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8C6" w:themeFill="accent6" w:themeFillTint="3F"/>
      </w:tcPr>
    </w:tblStylePr>
    <w:tblStylePr w:type="band1Horz">
      <w:tblPr/>
      <w:tcPr>
        <w:tcBorders>
          <w:insideH w:val="nil"/>
          <w:insideV w:val="nil"/>
        </w:tcBorders>
        <w:shd w:val="clear" w:color="auto" w:fill="FDE8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2D6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D62" w:themeFill="accent1"/>
      </w:tcPr>
    </w:tblStylePr>
    <w:tblStylePr w:type="lastCol">
      <w:rPr>
        <w:b/>
        <w:bCs/>
        <w:color w:val="FFFFFF" w:themeColor="background1"/>
      </w:rPr>
      <w:tblPr/>
      <w:tcPr>
        <w:tcBorders>
          <w:left w:val="nil"/>
          <w:right w:val="nil"/>
          <w:insideH w:val="nil"/>
          <w:insideV w:val="nil"/>
        </w:tcBorders>
        <w:shd w:val="clear" w:color="auto" w:fill="002D6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6FB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FBA" w:themeFill="accent2"/>
      </w:tcPr>
    </w:tblStylePr>
    <w:tblStylePr w:type="lastCol">
      <w:rPr>
        <w:b/>
        <w:bCs/>
        <w:color w:val="FFFFFF" w:themeColor="background1"/>
      </w:rPr>
      <w:tblPr/>
      <w:tcPr>
        <w:tcBorders>
          <w:left w:val="nil"/>
          <w:right w:val="nil"/>
          <w:insideH w:val="nil"/>
          <w:insideV w:val="nil"/>
        </w:tcBorders>
        <w:shd w:val="clear" w:color="auto" w:fill="006FB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58B6E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8B6E7" w:themeFill="accent3"/>
      </w:tcPr>
    </w:tblStylePr>
    <w:tblStylePr w:type="lastCol">
      <w:rPr>
        <w:b/>
        <w:bCs/>
        <w:color w:val="FFFFFF" w:themeColor="background1"/>
      </w:rPr>
      <w:tblPr/>
      <w:tcPr>
        <w:tcBorders>
          <w:left w:val="nil"/>
          <w:right w:val="nil"/>
          <w:insideH w:val="nil"/>
          <w:insideV w:val="nil"/>
        </w:tcBorders>
        <w:shd w:val="clear" w:color="auto" w:fill="58B6E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9AA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AA79" w:themeFill="accent4"/>
      </w:tcPr>
    </w:tblStylePr>
    <w:tblStylePr w:type="lastCol">
      <w:rPr>
        <w:b/>
        <w:bCs/>
        <w:color w:val="FFFFFF" w:themeColor="background1"/>
      </w:rPr>
      <w:tblPr/>
      <w:tcPr>
        <w:tcBorders>
          <w:left w:val="nil"/>
          <w:right w:val="nil"/>
          <w:insideH w:val="nil"/>
          <w:insideV w:val="nil"/>
        </w:tcBorders>
        <w:shd w:val="clear" w:color="auto" w:fill="B9AA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2B5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5AB" w:themeFill="accent5"/>
      </w:tcPr>
    </w:tblStylePr>
    <w:tblStylePr w:type="lastCol">
      <w:rPr>
        <w:b/>
        <w:bCs/>
        <w:color w:val="FFFFFF" w:themeColor="background1"/>
      </w:rPr>
      <w:tblPr/>
      <w:tcPr>
        <w:tcBorders>
          <w:left w:val="nil"/>
          <w:right w:val="nil"/>
          <w:insideH w:val="nil"/>
          <w:insideV w:val="nil"/>
        </w:tcBorders>
        <w:shd w:val="clear" w:color="auto" w:fill="B2B5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AA41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A41A" w:themeFill="accent6"/>
      </w:tcPr>
    </w:tblStylePr>
    <w:tblStylePr w:type="lastCol">
      <w:rPr>
        <w:b/>
        <w:bCs/>
        <w:color w:val="FFFFFF" w:themeColor="background1"/>
      </w:rPr>
      <w:tblPr/>
      <w:tcPr>
        <w:tcBorders>
          <w:left w:val="nil"/>
          <w:right w:val="nil"/>
          <w:insideH w:val="nil"/>
          <w:insideV w:val="nil"/>
        </w:tcBorders>
        <w:shd w:val="clear" w:color="auto" w:fill="FAA41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C63303"/>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rPr>
  </w:style>
  <w:style w:type="character" w:customStyle="1" w:styleId="MessageHeaderChar">
    <w:name w:val="Message Header Char"/>
    <w:basedOn w:val="DefaultParagraphFont"/>
    <w:link w:val="MessageHeader"/>
    <w:semiHidden/>
    <w:rsid w:val="00D20874"/>
    <w:rPr>
      <w:rFonts w:ascii="Calibri" w:eastAsiaTheme="majorEastAsia" w:hAnsi="Calibri"/>
      <w:snapToGrid w:val="0"/>
      <w:color w:val="000000" w:themeColor="text2"/>
      <w:sz w:val="24"/>
      <w:shd w:val="pct20" w:color="auto" w:fill="auto"/>
      <w:lang w:val="en-AU" w:eastAsia="ja-JP"/>
    </w:rPr>
  </w:style>
  <w:style w:type="paragraph" w:styleId="NormalWeb">
    <w:name w:val="Normal (Web)"/>
    <w:basedOn w:val="Normal"/>
    <w:uiPriority w:val="99"/>
    <w:semiHidden/>
    <w:rsid w:val="00C63303"/>
  </w:style>
  <w:style w:type="paragraph" w:styleId="NormalIndent">
    <w:name w:val="Normal Indent"/>
    <w:basedOn w:val="Normal"/>
    <w:semiHidden/>
    <w:rsid w:val="00C63303"/>
    <w:pPr>
      <w:ind w:left="720"/>
    </w:pPr>
  </w:style>
  <w:style w:type="paragraph" w:styleId="NoteHeading">
    <w:name w:val="Note Heading"/>
    <w:basedOn w:val="Normal"/>
    <w:next w:val="Normal"/>
    <w:link w:val="NoteHeadingChar"/>
    <w:semiHidden/>
    <w:rsid w:val="00C63303"/>
    <w:rPr>
      <w:rFonts w:asciiTheme="majorHAnsi" w:hAnsiTheme="majorHAnsi" w:cstheme="majorHAnsi"/>
    </w:rPr>
  </w:style>
  <w:style w:type="character" w:customStyle="1" w:styleId="NoteHeadingChar">
    <w:name w:val="Note Heading Char"/>
    <w:basedOn w:val="DefaultParagraphFont"/>
    <w:link w:val="NoteHeading"/>
    <w:semiHidden/>
    <w:rsid w:val="00D20874"/>
    <w:rPr>
      <w:rFonts w:asciiTheme="majorHAnsi" w:eastAsia="MS Mincho" w:hAnsiTheme="majorHAnsi" w:cstheme="majorHAnsi"/>
      <w:snapToGrid w:val="0"/>
      <w:color w:val="000000" w:themeColor="text2"/>
      <w:lang w:val="en-AU" w:eastAsia="ja-JP"/>
    </w:rPr>
  </w:style>
  <w:style w:type="character" w:styleId="PlaceholderText">
    <w:name w:val="Placeholder Text"/>
    <w:basedOn w:val="DefaultParagraphFont"/>
    <w:semiHidden/>
    <w:rsid w:val="00C63303"/>
    <w:rPr>
      <w:rFonts w:asciiTheme="minorHAnsi" w:hAnsiTheme="minorHAnsi" w:cstheme="minorHAnsi"/>
      <w:color w:val="808080"/>
    </w:rPr>
  </w:style>
  <w:style w:type="paragraph" w:styleId="PlainText">
    <w:name w:val="Plain Text"/>
    <w:basedOn w:val="Normal"/>
    <w:link w:val="PlainTextChar"/>
    <w:semiHidden/>
    <w:rsid w:val="00C63303"/>
    <w:rPr>
      <w:sz w:val="21"/>
      <w:szCs w:val="21"/>
    </w:rPr>
  </w:style>
  <w:style w:type="character" w:customStyle="1" w:styleId="PlainTextChar">
    <w:name w:val="Plain Text Char"/>
    <w:basedOn w:val="DefaultParagraphFont"/>
    <w:link w:val="PlainText"/>
    <w:semiHidden/>
    <w:rsid w:val="00D20874"/>
    <w:rPr>
      <w:rFonts w:ascii="Calibri" w:eastAsia="MS Mincho" w:hAnsi="Calibri"/>
      <w:snapToGrid w:val="0"/>
      <w:color w:val="000000" w:themeColor="text2"/>
      <w:sz w:val="21"/>
      <w:szCs w:val="21"/>
      <w:lang w:val="en-AU" w:eastAsia="ja-JP"/>
    </w:rPr>
  </w:style>
  <w:style w:type="paragraph" w:styleId="Salutation">
    <w:name w:val="Salutation"/>
    <w:basedOn w:val="Normal"/>
    <w:next w:val="Normal"/>
    <w:link w:val="SalutationChar"/>
    <w:semiHidden/>
    <w:rsid w:val="00C63303"/>
  </w:style>
  <w:style w:type="character" w:customStyle="1" w:styleId="SalutationChar">
    <w:name w:val="Salutation Char"/>
    <w:basedOn w:val="DefaultParagraphFont"/>
    <w:link w:val="Salutation"/>
    <w:semiHidden/>
    <w:rsid w:val="00D20874"/>
    <w:rPr>
      <w:rFonts w:ascii="Calibri" w:eastAsia="MS Mincho" w:hAnsi="Calibri"/>
      <w:snapToGrid w:val="0"/>
      <w:color w:val="000000" w:themeColor="text2"/>
      <w:lang w:val="en-AU" w:eastAsia="ja-JP"/>
    </w:rPr>
  </w:style>
  <w:style w:type="paragraph" w:styleId="Signature">
    <w:name w:val="Signature"/>
    <w:basedOn w:val="Normal"/>
    <w:link w:val="SignatureChar"/>
    <w:semiHidden/>
    <w:rsid w:val="00C63303"/>
    <w:pPr>
      <w:ind w:left="4252"/>
    </w:pPr>
  </w:style>
  <w:style w:type="character" w:customStyle="1" w:styleId="SignatureChar">
    <w:name w:val="Signature Char"/>
    <w:basedOn w:val="DefaultParagraphFont"/>
    <w:link w:val="Signature"/>
    <w:semiHidden/>
    <w:rsid w:val="00D20874"/>
    <w:rPr>
      <w:rFonts w:ascii="Calibri" w:eastAsia="MS Mincho" w:hAnsi="Calibri"/>
      <w:snapToGrid w:val="0"/>
      <w:color w:val="000000" w:themeColor="text2"/>
      <w:lang w:val="en-AU" w:eastAsia="ja-JP"/>
    </w:rPr>
  </w:style>
  <w:style w:type="character" w:styleId="Strong">
    <w:name w:val="Strong"/>
    <w:basedOn w:val="DefaultParagraphFont"/>
    <w:rsid w:val="00C63303"/>
    <w:rPr>
      <w:rFonts w:asciiTheme="minorHAnsi" w:hAnsiTheme="minorHAnsi" w:cstheme="minorHAnsi"/>
      <w:b/>
      <w:bCs/>
    </w:rPr>
  </w:style>
  <w:style w:type="paragraph" w:styleId="Subtitle">
    <w:name w:val="Subtitle"/>
    <w:basedOn w:val="Normal"/>
    <w:next w:val="Normal"/>
    <w:link w:val="SubtitleChar"/>
    <w:rsid w:val="00C63303"/>
    <w:pPr>
      <w:numPr>
        <w:ilvl w:val="1"/>
      </w:numPr>
    </w:pPr>
    <w:rPr>
      <w:rFonts w:eastAsiaTheme="majorEastAsia"/>
      <w:i/>
      <w:iCs/>
      <w:color w:val="002D62" w:themeColor="accent1"/>
      <w:spacing w:val="15"/>
    </w:rPr>
  </w:style>
  <w:style w:type="character" w:customStyle="1" w:styleId="SubtitleChar">
    <w:name w:val="Subtitle Char"/>
    <w:basedOn w:val="DefaultParagraphFont"/>
    <w:link w:val="Subtitle"/>
    <w:rsid w:val="00D20874"/>
    <w:rPr>
      <w:rFonts w:ascii="Calibri" w:eastAsiaTheme="majorEastAsia" w:hAnsi="Calibri"/>
      <w:i/>
      <w:iCs/>
      <w:snapToGrid w:val="0"/>
      <w:color w:val="002D62" w:themeColor="accent1"/>
      <w:spacing w:val="15"/>
      <w:sz w:val="24"/>
      <w:lang w:val="en-AU" w:eastAsia="ja-JP"/>
    </w:rPr>
  </w:style>
  <w:style w:type="character" w:styleId="SubtleEmphasis">
    <w:name w:val="Subtle Emphasis"/>
    <w:basedOn w:val="DefaultParagraphFont"/>
    <w:rsid w:val="00C63303"/>
    <w:rPr>
      <w:rFonts w:asciiTheme="minorHAnsi" w:hAnsiTheme="minorHAnsi" w:cstheme="minorHAnsi"/>
      <w:i/>
      <w:iCs/>
      <w:color w:val="808080" w:themeColor="text1" w:themeTint="7F"/>
    </w:rPr>
  </w:style>
  <w:style w:type="character" w:styleId="SubtleReference">
    <w:name w:val="Subtle Reference"/>
    <w:basedOn w:val="DefaultParagraphFont"/>
    <w:rsid w:val="00C63303"/>
    <w:rPr>
      <w:rFonts w:asciiTheme="minorHAnsi" w:hAnsiTheme="minorHAnsi" w:cstheme="minorHAnsi"/>
      <w:smallCaps/>
      <w:color w:val="006FBA"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0">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63303"/>
    <w:pPr>
      <w:ind w:left="200" w:hanging="200"/>
    </w:p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OAHeading">
    <w:name w:val="toa heading"/>
    <w:basedOn w:val="Normal"/>
    <w:next w:val="Normal"/>
    <w:semiHidden/>
    <w:rsid w:val="00C63303"/>
    <w:rPr>
      <w:rFonts w:asciiTheme="majorHAnsi" w:eastAsiaTheme="majorEastAsia" w:hAnsiTheme="majorHAnsi" w:cstheme="majorHAnsi"/>
      <w:b/>
      <w:bCs/>
    </w:rPr>
  </w:style>
  <w:style w:type="paragraph" w:styleId="TOC5">
    <w:name w:val="toc 5"/>
    <w:basedOn w:val="Normal"/>
    <w:next w:val="Normal"/>
    <w:autoRedefine/>
    <w:semiHidden/>
    <w:rsid w:val="00C63303"/>
    <w:pPr>
      <w:spacing w:after="100"/>
      <w:ind w:left="800"/>
    </w:pPr>
  </w:style>
  <w:style w:type="paragraph" w:styleId="TOC6">
    <w:name w:val="toc 6"/>
    <w:basedOn w:val="Normal"/>
    <w:next w:val="Normal"/>
    <w:autoRedefine/>
    <w:semiHidden/>
    <w:rsid w:val="00C63303"/>
    <w:pPr>
      <w:spacing w:after="100"/>
      <w:ind w:left="1000"/>
    </w:pPr>
  </w:style>
  <w:style w:type="paragraph" w:styleId="TOC7">
    <w:name w:val="toc 7"/>
    <w:basedOn w:val="Normal"/>
    <w:next w:val="Normal"/>
    <w:autoRedefine/>
    <w:semiHidden/>
    <w:rsid w:val="00C63303"/>
    <w:pPr>
      <w:spacing w:after="100"/>
      <w:ind w:left="1200"/>
    </w:pPr>
  </w:style>
  <w:style w:type="paragraph" w:styleId="TOC8">
    <w:name w:val="toc 8"/>
    <w:basedOn w:val="Normal"/>
    <w:next w:val="Normal"/>
    <w:autoRedefine/>
    <w:semiHidden/>
    <w:rsid w:val="00C63303"/>
    <w:pPr>
      <w:spacing w:after="100"/>
      <w:ind w:left="1400"/>
    </w:pPr>
  </w:style>
  <w:style w:type="paragraph" w:styleId="TOC9">
    <w:name w:val="toc 9"/>
    <w:basedOn w:val="Normal"/>
    <w:next w:val="Normal"/>
    <w:autoRedefine/>
    <w:semiHidden/>
    <w:rsid w:val="00C63303"/>
    <w:pPr>
      <w:spacing w:after="100"/>
      <w:ind w:left="1600"/>
    </w:p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D20874"/>
    <w:rPr>
      <w:rFonts w:ascii="Calibri" w:eastAsia="MS Mincho" w:hAnsi="Calibri"/>
      <w:snapToGrid w:val="0"/>
      <w:sz w:val="16"/>
      <w:lang w:val="en-AU" w:eastAsia="ja-JP"/>
    </w:rPr>
  </w:style>
  <w:style w:type="paragraph" w:customStyle="1" w:styleId="Headline">
    <w:name w:val="Headline"/>
    <w:basedOn w:val="Normal"/>
    <w:next w:val="Normal"/>
    <w:semiHidden/>
    <w:qFormat/>
    <w:rsid w:val="008112BE"/>
    <w:pPr>
      <w:framePr w:w="10206" w:h="1758" w:hRule="exact" w:vSpace="284" w:wrap="around" w:vAnchor="text" w:hAnchor="text" w:y="1"/>
      <w:pBdr>
        <w:top w:val="dotted" w:sz="12" w:space="15" w:color="000000" w:themeColor="text2"/>
        <w:bottom w:val="dotted" w:sz="12" w:space="0" w:color="000000" w:themeColor="text2"/>
      </w:pBdr>
    </w:pPr>
    <w:rPr>
      <w:caps/>
      <w:sz w:val="50"/>
    </w:rPr>
  </w:style>
  <w:style w:type="paragraph" w:customStyle="1" w:styleId="HeaderTitle">
    <w:name w:val="Header Title"/>
    <w:basedOn w:val="Header"/>
    <w:uiPriority w:val="1"/>
    <w:qFormat/>
    <w:rsid w:val="000C6732"/>
    <w:pPr>
      <w:spacing w:before="360" w:line="300" w:lineRule="atLeast"/>
    </w:pPr>
    <w:rPr>
      <w:rFonts w:ascii="Arial" w:hAnsi="Arial"/>
      <w:caps/>
      <w:color w:val="FFFFFF"/>
      <w:sz w:val="34"/>
    </w:rPr>
  </w:style>
  <w:style w:type="numbering" w:customStyle="1" w:styleId="ListBullets">
    <w:name w:val="ListBullets"/>
    <w:uiPriority w:val="99"/>
    <w:rsid w:val="00746EFF"/>
  </w:style>
  <w:style w:type="numbering" w:customStyle="1" w:styleId="AppendixList">
    <w:name w:val="Appendix List"/>
    <w:uiPriority w:val="99"/>
    <w:rsid w:val="00A52CF9"/>
  </w:style>
  <w:style w:type="numbering" w:customStyle="1" w:styleId="TableList">
    <w:name w:val="TableList"/>
    <w:uiPriority w:val="99"/>
    <w:rsid w:val="00EE693E"/>
  </w:style>
  <w:style w:type="character" w:customStyle="1" w:styleId="Mention1">
    <w:name w:val="Mention1"/>
    <w:basedOn w:val="DefaultParagraphFont"/>
    <w:semiHidden/>
    <w:unhideWhenUsed/>
    <w:rsid w:val="00CF4088"/>
    <w:rPr>
      <w:color w:val="2B579A"/>
      <w:shd w:val="clear" w:color="auto" w:fill="E6E6E6"/>
    </w:rPr>
  </w:style>
  <w:style w:type="paragraph" w:customStyle="1" w:styleId="FooterContacts">
    <w:name w:val="Footer Contacts"/>
    <w:basedOn w:val="Footer"/>
    <w:link w:val="FooterContactsChar"/>
    <w:uiPriority w:val="11"/>
    <w:qFormat/>
    <w:rsid w:val="004A61C7"/>
    <w:pPr>
      <w:adjustRightInd w:val="0"/>
      <w:snapToGrid w:val="0"/>
    </w:pPr>
    <w:rPr>
      <w:rFonts w:cstheme="majorHAnsi"/>
      <w:color w:val="FFFFFF"/>
      <w:spacing w:val="-2"/>
      <w:sz w:val="20"/>
    </w:rPr>
  </w:style>
  <w:style w:type="numbering" w:customStyle="1" w:styleId="NumberedHeadings">
    <w:name w:val="Numbered Headings"/>
    <w:uiPriority w:val="99"/>
    <w:rsid w:val="00176E3C"/>
  </w:style>
  <w:style w:type="paragraph" w:customStyle="1" w:styleId="IntroCopy">
    <w:name w:val="IntroCopy"/>
    <w:basedOn w:val="Normal"/>
    <w:semiHidden/>
    <w:rsid w:val="00ED28D2"/>
    <w:pPr>
      <w:framePr w:w="10206" w:vSpace="57" w:wrap="around" w:hAnchor="margin" w:y="1362" w:anchorLock="1"/>
      <w:spacing w:after="1100" w:line="360" w:lineRule="atLeast"/>
      <w:ind w:right="1701"/>
      <w:contextualSpacing/>
    </w:pPr>
    <w:rPr>
      <w:color w:val="002D62" w:themeColor="accent1"/>
      <w:sz w:val="28"/>
    </w:rPr>
  </w:style>
  <w:style w:type="character" w:customStyle="1" w:styleId="FooterChar">
    <w:name w:val="Footer Char"/>
    <w:link w:val="Footer"/>
    <w:uiPriority w:val="9"/>
    <w:rsid w:val="00305B4B"/>
    <w:rPr>
      <w:rFonts w:asciiTheme="minorHAnsi" w:eastAsia="MS Mincho" w:hAnsiTheme="minorHAnsi"/>
      <w:snapToGrid w:val="0"/>
      <w:color w:val="000000" w:themeColor="text1"/>
      <w:sz w:val="16"/>
      <w:szCs w:val="16"/>
      <w:lang w:val="en-AU" w:eastAsia="ja-JP"/>
    </w:rPr>
  </w:style>
  <w:style w:type="numbering" w:customStyle="1" w:styleId="TableBulletList">
    <w:name w:val="TableBullet List"/>
    <w:uiPriority w:val="99"/>
    <w:rsid w:val="00250974"/>
  </w:style>
  <w:style w:type="character" w:customStyle="1" w:styleId="FooterContactsChar">
    <w:name w:val="Footer Contacts Char"/>
    <w:basedOn w:val="FooterChar"/>
    <w:link w:val="FooterContacts"/>
    <w:uiPriority w:val="11"/>
    <w:rsid w:val="004A61C7"/>
    <w:rPr>
      <w:rFonts w:ascii="Arial" w:eastAsia="MS Mincho" w:hAnsi="Arial" w:cstheme="majorHAnsi"/>
      <w:snapToGrid w:val="0"/>
      <w:color w:val="FFFFFF"/>
      <w:spacing w:val="-2"/>
      <w:sz w:val="16"/>
      <w:szCs w:val="16"/>
      <w:lang w:val="en-AU" w:eastAsia="ja-JP"/>
    </w:rPr>
  </w:style>
  <w:style w:type="paragraph" w:customStyle="1" w:styleId="Head20">
    <w:name w:val="Head 2.0"/>
    <w:basedOn w:val="HeaderTitle"/>
    <w:qFormat/>
    <w:rsid w:val="00111715"/>
    <w:pPr>
      <w:adjustRightInd w:val="0"/>
      <w:snapToGrid w:val="0"/>
      <w:spacing w:before="0" w:after="200" w:line="240" w:lineRule="auto"/>
    </w:pPr>
    <w:rPr>
      <w:rFonts w:asciiTheme="minorHAnsi" w:hAnsiTheme="minorHAnsi"/>
      <w:caps w:val="0"/>
      <w:color w:val="auto"/>
      <w:sz w:val="32"/>
    </w:rPr>
  </w:style>
  <w:style w:type="paragraph" w:customStyle="1" w:styleId="CalloutHeading">
    <w:name w:val="Callout Heading"/>
    <w:basedOn w:val="Normal"/>
    <w:next w:val="CalloutText"/>
    <w:qFormat/>
    <w:rsid w:val="00D64300"/>
    <w:pPr>
      <w:spacing w:before="120"/>
      <w:ind w:left="170" w:right="57"/>
    </w:pPr>
    <w:rPr>
      <w:b/>
      <w:color w:val="002D62" w:themeColor="accent1"/>
      <w:sz w:val="26"/>
    </w:rPr>
  </w:style>
  <w:style w:type="paragraph" w:customStyle="1" w:styleId="CalloutText">
    <w:name w:val="Callout Text"/>
    <w:basedOn w:val="Normal"/>
    <w:qFormat/>
    <w:rsid w:val="00D64300"/>
    <w:pPr>
      <w:ind w:left="170" w:right="57"/>
    </w:pPr>
    <w:rPr>
      <w:rFonts w:cstheme="majorHAnsi"/>
    </w:rPr>
  </w:style>
  <w:style w:type="character" w:customStyle="1" w:styleId="UnresolvedMention1">
    <w:name w:val="Unresolved Mention1"/>
    <w:basedOn w:val="DefaultParagraphFont"/>
    <w:uiPriority w:val="99"/>
    <w:semiHidden/>
    <w:unhideWhenUsed/>
    <w:rsid w:val="0013633F"/>
    <w:rPr>
      <w:color w:val="808080"/>
      <w:shd w:val="clear" w:color="auto" w:fill="E6E6E6"/>
    </w:rPr>
  </w:style>
  <w:style w:type="paragraph" w:customStyle="1" w:styleId="TableBullets">
    <w:name w:val="Table Bullets"/>
    <w:basedOn w:val="ListBullet"/>
    <w:next w:val="Normal"/>
    <w:qFormat/>
    <w:rsid w:val="0062231D"/>
    <w:pPr>
      <w:spacing w:line="240" w:lineRule="atLeast"/>
    </w:pPr>
  </w:style>
  <w:style w:type="paragraph" w:styleId="NoSpacing">
    <w:name w:val="No Spacing"/>
    <w:rsid w:val="0076084C"/>
    <w:pPr>
      <w:adjustRightInd w:val="0"/>
      <w:snapToGrid w:val="0"/>
    </w:pPr>
    <w:rPr>
      <w:rFonts w:ascii="Arial" w:eastAsia="MS Mincho" w:hAnsi="Arial"/>
      <w:snapToGrid w:val="0"/>
      <w:color w:val="000000" w:themeColor="text2"/>
      <w:lang w:val="en-AU" w:eastAsia="ja-JP"/>
    </w:rPr>
  </w:style>
  <w:style w:type="paragraph" w:customStyle="1" w:styleId="PrintInstructions">
    <w:name w:val="Print Instructions"/>
    <w:basedOn w:val="Normal"/>
    <w:qFormat/>
    <w:rsid w:val="005B6859"/>
    <w:rPr>
      <w:vanish/>
      <w:color w:val="FF0000"/>
    </w:rPr>
  </w:style>
  <w:style w:type="paragraph" w:customStyle="1" w:styleId="ReportTitle">
    <w:name w:val="Report Title"/>
    <w:basedOn w:val="Normal"/>
    <w:qFormat/>
    <w:rsid w:val="00716244"/>
    <w:rPr>
      <w:rFonts w:ascii="Georgia" w:hAnsi="Georgia"/>
      <w:sz w:val="60"/>
    </w:rPr>
  </w:style>
  <w:style w:type="character" w:customStyle="1" w:styleId="UnresolvedMention2">
    <w:name w:val="Unresolved Mention2"/>
    <w:basedOn w:val="DefaultParagraphFont"/>
    <w:uiPriority w:val="99"/>
    <w:unhideWhenUsed/>
    <w:rsid w:val="007E76B0"/>
    <w:rPr>
      <w:color w:val="605E5C"/>
      <w:shd w:val="clear" w:color="auto" w:fill="E1DFDD"/>
    </w:rPr>
  </w:style>
  <w:style w:type="paragraph" w:styleId="TOCHeading">
    <w:name w:val="TOC Heading"/>
    <w:basedOn w:val="Heading1"/>
    <w:next w:val="Normal"/>
    <w:uiPriority w:val="39"/>
    <w:unhideWhenUsed/>
    <w:qFormat/>
    <w:rsid w:val="00075180"/>
    <w:pPr>
      <w:keepLines/>
      <w:spacing w:before="240" w:line="259" w:lineRule="auto"/>
      <w:outlineLvl w:val="9"/>
    </w:pPr>
    <w:rPr>
      <w:rFonts w:asciiTheme="majorHAnsi" w:eastAsiaTheme="majorEastAsia" w:hAnsiTheme="majorHAnsi" w:cstheme="majorBidi"/>
      <w:bCs/>
      <w:snapToGrid w:val="0"/>
      <w:color w:val="002149" w:themeColor="accent1" w:themeShade="BF"/>
      <w:lang w:val="en-US" w:eastAsia="en-US"/>
    </w:rPr>
  </w:style>
  <w:style w:type="paragraph" w:styleId="TOC1">
    <w:name w:val="toc 1"/>
    <w:basedOn w:val="Normal"/>
    <w:next w:val="Normal"/>
    <w:autoRedefine/>
    <w:uiPriority w:val="39"/>
    <w:unhideWhenUsed/>
    <w:rsid w:val="00B53A99"/>
    <w:pPr>
      <w:tabs>
        <w:tab w:val="left" w:pos="440"/>
        <w:tab w:val="right" w:leader="dot" w:pos="9060"/>
      </w:tabs>
      <w:spacing w:before="240" w:after="160" w:line="300" w:lineRule="auto"/>
    </w:pPr>
    <w:rPr>
      <w:rFonts w:asciiTheme="majorHAnsi" w:hAnsiTheme="majorHAnsi"/>
      <w:b/>
      <w:sz w:val="22"/>
    </w:rPr>
  </w:style>
  <w:style w:type="paragraph" w:styleId="TOC2">
    <w:name w:val="toc 2"/>
    <w:basedOn w:val="TOC1"/>
    <w:next w:val="Normal"/>
    <w:autoRedefine/>
    <w:uiPriority w:val="39"/>
    <w:unhideWhenUsed/>
    <w:rsid w:val="00B53A99"/>
    <w:pPr>
      <w:tabs>
        <w:tab w:val="clear" w:pos="9060"/>
        <w:tab w:val="right" w:leader="dot" w:pos="9072"/>
      </w:tabs>
      <w:spacing w:after="100"/>
    </w:pPr>
    <w:rPr>
      <w:b w:val="0"/>
    </w:rPr>
  </w:style>
  <w:style w:type="paragraph" w:styleId="Revision">
    <w:name w:val="Revision"/>
    <w:hidden/>
    <w:uiPriority w:val="99"/>
    <w:semiHidden/>
    <w:rsid w:val="0085438A"/>
    <w:rPr>
      <w:rFonts w:asciiTheme="minorHAnsi" w:eastAsia="MS Mincho" w:hAnsiTheme="minorHAnsi"/>
      <w:snapToGrid w:val="0"/>
      <w:color w:val="000000" w:themeColor="text2"/>
      <w:lang w:val="en-AU" w:eastAsia="ja-JP"/>
    </w:rPr>
  </w:style>
  <w:style w:type="paragraph" w:styleId="ListNumber">
    <w:name w:val="List Number"/>
    <w:basedOn w:val="Normal"/>
    <w:uiPriority w:val="3"/>
    <w:qFormat/>
    <w:rsid w:val="00026DE3"/>
    <w:pPr>
      <w:contextualSpacing/>
    </w:pPr>
  </w:style>
  <w:style w:type="paragraph" w:customStyle="1" w:styleId="paragraph">
    <w:name w:val="paragraph"/>
    <w:basedOn w:val="Normal"/>
    <w:rsid w:val="00C71489"/>
    <w:pPr>
      <w:adjustRightInd/>
      <w:spacing w:before="100" w:beforeAutospacing="1" w:after="100" w:afterAutospacing="1"/>
    </w:pPr>
    <w:rPr>
      <w:rFonts w:eastAsia="Times New Roman"/>
      <w:snapToGrid w:val="0"/>
      <w:lang w:val="en-US" w:eastAsia="en-US"/>
    </w:rPr>
  </w:style>
  <w:style w:type="character" w:customStyle="1" w:styleId="normaltextrun">
    <w:name w:val="normaltextrun"/>
    <w:basedOn w:val="DefaultParagraphFont"/>
    <w:rsid w:val="00C71489"/>
  </w:style>
  <w:style w:type="character" w:customStyle="1" w:styleId="spellingerror">
    <w:name w:val="spellingerror"/>
    <w:basedOn w:val="DefaultParagraphFont"/>
    <w:rsid w:val="00C71489"/>
  </w:style>
  <w:style w:type="character" w:customStyle="1" w:styleId="eop">
    <w:name w:val="eop"/>
    <w:basedOn w:val="DefaultParagraphFont"/>
    <w:rsid w:val="00C71489"/>
  </w:style>
  <w:style w:type="character" w:customStyle="1" w:styleId="contextualspellingandgrammarerror">
    <w:name w:val="contextualspellingandgrammarerror"/>
    <w:basedOn w:val="DefaultParagraphFont"/>
    <w:rsid w:val="00C71489"/>
  </w:style>
  <w:style w:type="paragraph" w:styleId="ListParagraph">
    <w:name w:val="List Paragraph"/>
    <w:aliases w:val="Recommendation,List Paragraph1,List Paragraph11,Bullet point,List Paragraph Number,List Bullet Cab,CAB - List Bullet,Bulleted Para,NFP GP Bulleted List,bullet point list,L,Bullet points,Content descriptions,Bullet Point,List Paragraph2"/>
    <w:basedOn w:val="Normal"/>
    <w:link w:val="ListParagraphChar"/>
    <w:uiPriority w:val="34"/>
    <w:qFormat/>
  </w:style>
  <w:style w:type="table" w:customStyle="1" w:styleId="SVATableStyle">
    <w:name w:val="SVA Table Style"/>
    <w:basedOn w:val="TableNormal"/>
    <w:uiPriority w:val="99"/>
    <w:rsid w:val="006A0070"/>
    <w:rPr>
      <w:rFonts w:asciiTheme="minorHAnsi" w:eastAsiaTheme="minorHAnsi" w:hAnsiTheme="minorHAnsi" w:cstheme="minorBidi"/>
      <w:sz w:val="22"/>
      <w:szCs w:val="22"/>
      <w:lang w:val="en-AU" w:eastAsia="en-US"/>
    </w:rPr>
    <w:tblPr>
      <w:tblStyleRowBandSize w:val="1"/>
      <w:tblBorders>
        <w:top w:val="single" w:sz="4" w:space="0" w:color="002D62" w:themeColor="background2"/>
        <w:bottom w:val="single" w:sz="4" w:space="0" w:color="002D62" w:themeColor="background2"/>
        <w:insideH w:val="single" w:sz="4" w:space="0" w:color="002D62" w:themeColor="background2"/>
      </w:tblBorders>
      <w:tblCellMar>
        <w:top w:w="57" w:type="dxa"/>
        <w:left w:w="0" w:type="dxa"/>
        <w:bottom w:w="57" w:type="dxa"/>
        <w:right w:w="0" w:type="dxa"/>
      </w:tblCellMar>
    </w:tblPr>
    <w:tblStylePr w:type="firstRow">
      <w:rPr>
        <w:rFonts w:asciiTheme="majorHAnsi" w:hAnsiTheme="majorHAnsi" w:cstheme="majorHAnsi"/>
        <w:b/>
      </w:rPr>
    </w:tblStylePr>
    <w:tblStylePr w:type="firstCol">
      <w:rPr>
        <w:b/>
      </w:rPr>
    </w:tblStylePr>
    <w:tblStylePr w:type="band1Horz">
      <w:tblPr/>
      <w:tcPr>
        <w:shd w:val="clear" w:color="auto" w:fill="EFEDE5"/>
      </w:tcPr>
    </w:tblStylePr>
  </w:style>
  <w:style w:type="paragraph" w:styleId="TOC3">
    <w:name w:val="toc 3"/>
    <w:basedOn w:val="Normal"/>
    <w:next w:val="Normal"/>
    <w:autoRedefine/>
    <w:uiPriority w:val="39"/>
    <w:unhideWhenUsed/>
    <w:rsid w:val="00594227"/>
    <w:pPr>
      <w:adjustRightInd/>
      <w:spacing w:after="100" w:line="259" w:lineRule="auto"/>
      <w:ind w:left="440"/>
    </w:pPr>
    <w:rPr>
      <w:snapToGrid w:val="0"/>
      <w:sz w:val="22"/>
      <w:szCs w:val="22"/>
      <w:lang w:val="en-US" w:eastAsia="en-US"/>
    </w:rPr>
  </w:style>
  <w:style w:type="paragraph" w:styleId="Caption">
    <w:name w:val="caption"/>
    <w:basedOn w:val="Normal"/>
    <w:next w:val="Normal"/>
    <w:uiPriority w:val="35"/>
    <w:unhideWhenUsed/>
    <w:qFormat/>
    <w:rsid w:val="00D519D6"/>
    <w:pPr>
      <w:keepNext/>
      <w:spacing w:before="120" w:after="200"/>
    </w:pPr>
    <w:rPr>
      <w:rFonts w:asciiTheme="minorHAnsi" w:hAnsiTheme="minorHAnsi" w:cstheme="minorHAnsi"/>
      <w:i/>
      <w:iCs/>
      <w:sz w:val="18"/>
      <w:szCs w:val="18"/>
    </w:rPr>
  </w:style>
  <w:style w:type="table" w:customStyle="1" w:styleId="TableGrid10">
    <w:name w:val="Table Grid1"/>
    <w:basedOn w:val="TableNormal"/>
    <w:next w:val="TableGrid"/>
    <w:uiPriority w:val="39"/>
    <w:rsid w:val="00F04F46"/>
    <w:rPr>
      <w:rFonts w:ascii="Calibri" w:eastAsia="Calibri" w:hAnsi="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E12EE3"/>
    <w:rPr>
      <w:rFonts w:ascii="Calibri" w:eastAsia="Calibri" w:hAnsi="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3594540">
    <w:name w:val="scxw3594540"/>
    <w:basedOn w:val="DefaultParagraphFont"/>
    <w:rsid w:val="00A73338"/>
  </w:style>
  <w:style w:type="table" w:customStyle="1" w:styleId="TableGrid30">
    <w:name w:val="Table Grid3"/>
    <w:basedOn w:val="TableNormal"/>
    <w:next w:val="TableGrid"/>
    <w:uiPriority w:val="39"/>
    <w:rsid w:val="003C6B55"/>
    <w:rPr>
      <w:rFonts w:ascii="Calibri" w:eastAsia="Calibri" w:hAnsi="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767C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7Char">
    <w:name w:val="Heading 7 Char"/>
    <w:basedOn w:val="DefaultParagraphFont"/>
    <w:link w:val="Heading7"/>
    <w:semiHidden/>
    <w:rsid w:val="00E77AB9"/>
    <w:rPr>
      <w:rFonts w:asciiTheme="majorHAnsi" w:eastAsiaTheme="minorEastAsia" w:hAnsiTheme="majorHAnsi" w:cstheme="majorHAnsi"/>
      <w:sz w:val="24"/>
      <w:szCs w:val="24"/>
      <w:lang w:val="en-AU" w:eastAsia="en-AU"/>
    </w:rPr>
  </w:style>
  <w:style w:type="character" w:customStyle="1" w:styleId="Heading2Char">
    <w:name w:val="Heading 2 Char"/>
    <w:basedOn w:val="DefaultParagraphFont"/>
    <w:link w:val="Heading2"/>
    <w:uiPriority w:val="1"/>
    <w:rsid w:val="00A64A41"/>
    <w:rPr>
      <w:rFonts w:ascii="Arial" w:eastAsiaTheme="minorEastAsia" w:hAnsi="Arial" w:cs="Arial"/>
      <w:b/>
      <w:bCs/>
      <w:sz w:val="30"/>
      <w:szCs w:val="30"/>
      <w:lang w:val="en-AU" w:eastAsia="en-AU"/>
    </w:rPr>
  </w:style>
  <w:style w:type="character" w:customStyle="1" w:styleId="UnresolvedMention3">
    <w:name w:val="Unresolved Mention3"/>
    <w:basedOn w:val="DefaultParagraphFont"/>
    <w:uiPriority w:val="99"/>
    <w:semiHidden/>
    <w:unhideWhenUsed/>
    <w:rsid w:val="00850804"/>
    <w:rPr>
      <w:color w:val="605E5C"/>
      <w:shd w:val="clear" w:color="auto" w:fill="E1DFDD"/>
    </w:rPr>
  </w:style>
  <w:style w:type="character" w:customStyle="1" w:styleId="UnresolvedMention4">
    <w:name w:val="Unresolved Mention4"/>
    <w:basedOn w:val="DefaultParagraphFont"/>
    <w:uiPriority w:val="99"/>
    <w:unhideWhenUsed/>
    <w:rsid w:val="000903A6"/>
    <w:rPr>
      <w:color w:val="605E5C"/>
      <w:shd w:val="clear" w:color="auto" w:fill="E1DFDD"/>
    </w:rPr>
  </w:style>
  <w:style w:type="character" w:customStyle="1" w:styleId="Heading1Char">
    <w:name w:val="Heading 1 Char"/>
    <w:basedOn w:val="DefaultParagraphFont"/>
    <w:link w:val="Heading1"/>
    <w:uiPriority w:val="1"/>
    <w:rsid w:val="006D5E8F"/>
    <w:rPr>
      <w:rFonts w:ascii="Georgia" w:eastAsiaTheme="minorEastAsia" w:hAnsi="Georgia" w:cs="Georgia"/>
      <w:sz w:val="60"/>
      <w:szCs w:val="60"/>
      <w:lang w:val="en-AU" w:eastAsia="en-AU"/>
    </w:rPr>
  </w:style>
  <w:style w:type="paragraph" w:styleId="Date">
    <w:name w:val="Date"/>
    <w:basedOn w:val="Normal"/>
    <w:next w:val="Normal"/>
    <w:link w:val="DateChar"/>
    <w:uiPriority w:val="99"/>
    <w:unhideWhenUsed/>
    <w:rsid w:val="002C597D"/>
    <w:pPr>
      <w:adjustRightInd/>
      <w:spacing w:line="276" w:lineRule="auto"/>
    </w:pPr>
    <w:rPr>
      <w:rFonts w:eastAsiaTheme="minorHAnsi" w:cstheme="minorBidi"/>
      <w:snapToGrid w:val="0"/>
      <w:szCs w:val="22"/>
      <w:lang w:eastAsia="en-US"/>
    </w:rPr>
  </w:style>
  <w:style w:type="character" w:customStyle="1" w:styleId="DateChar">
    <w:name w:val="Date Char"/>
    <w:basedOn w:val="DefaultParagraphFont"/>
    <w:link w:val="Date"/>
    <w:uiPriority w:val="99"/>
    <w:rsid w:val="002C597D"/>
    <w:rPr>
      <w:rFonts w:asciiTheme="minorHAnsi" w:eastAsiaTheme="minorHAnsi" w:hAnsiTheme="minorHAnsi" w:cstheme="minorBidi"/>
      <w:szCs w:val="22"/>
      <w:lang w:val="en-AU" w:eastAsia="en-US"/>
    </w:rPr>
  </w:style>
  <w:style w:type="character" w:customStyle="1" w:styleId="Heading5Char">
    <w:name w:val="Heading 5 Char"/>
    <w:basedOn w:val="DefaultParagraphFont"/>
    <w:link w:val="Heading5"/>
    <w:uiPriority w:val="1"/>
    <w:rsid w:val="002C597D"/>
    <w:rPr>
      <w:rFonts w:ascii="Arial" w:eastAsiaTheme="minorEastAsia" w:hAnsi="Arial" w:cs="Arial"/>
      <w:b/>
      <w:bCs/>
      <w:i/>
      <w:iCs/>
      <w:lang w:val="en-AU" w:eastAsia="en-AU"/>
    </w:rPr>
  </w:style>
  <w:style w:type="paragraph" w:customStyle="1" w:styleId="Normal-Table">
    <w:name w:val="Normal - Table"/>
    <w:basedOn w:val="NoSpacing"/>
    <w:qFormat/>
    <w:rsid w:val="002C597D"/>
    <w:pPr>
      <w:adjustRightInd/>
      <w:snapToGrid/>
    </w:pPr>
    <w:rPr>
      <w:rFonts w:asciiTheme="minorHAnsi" w:eastAsiaTheme="minorHAnsi" w:hAnsiTheme="minorHAnsi" w:cstheme="minorBidi"/>
      <w:snapToGrid/>
      <w:color w:val="auto"/>
      <w:szCs w:val="22"/>
      <w:lang w:val="en-GB" w:eastAsia="en-US"/>
    </w:rPr>
  </w:style>
  <w:style w:type="numbering" w:customStyle="1" w:styleId="Bullets">
    <w:name w:val="Bullets"/>
    <w:uiPriority w:val="99"/>
    <w:rsid w:val="00255114"/>
    <w:pPr>
      <w:numPr>
        <w:numId w:val="16"/>
      </w:numPr>
    </w:pPr>
  </w:style>
  <w:style w:type="paragraph" w:styleId="ListBullet3">
    <w:name w:val="List Bullet 3"/>
    <w:basedOn w:val="Normal"/>
    <w:uiPriority w:val="99"/>
    <w:unhideWhenUsed/>
    <w:rsid w:val="00255114"/>
    <w:pPr>
      <w:adjustRightInd/>
      <w:spacing w:line="276" w:lineRule="auto"/>
      <w:ind w:left="851" w:hanging="284"/>
      <w:contextualSpacing/>
    </w:pPr>
    <w:rPr>
      <w:rFonts w:eastAsiaTheme="minorHAnsi" w:cstheme="minorBidi"/>
      <w:snapToGrid w:val="0"/>
      <w:szCs w:val="22"/>
      <w:lang w:eastAsia="en-US"/>
    </w:rPr>
  </w:style>
  <w:style w:type="character" w:customStyle="1" w:styleId="scxw91268423">
    <w:name w:val="scxw91268423"/>
    <w:basedOn w:val="DefaultParagraphFont"/>
    <w:rsid w:val="00A10CF0"/>
  </w:style>
  <w:style w:type="character" w:customStyle="1" w:styleId="textrun">
    <w:name w:val="textrun"/>
    <w:basedOn w:val="DefaultParagraphFont"/>
    <w:rsid w:val="00F96596"/>
  </w:style>
  <w:style w:type="character" w:customStyle="1" w:styleId="ListParagraphChar">
    <w:name w:val="List Paragraph Char"/>
    <w:aliases w:val="Recommendation Char,List Paragraph1 Char,List Paragraph11 Char,Bullet point Char,List Paragraph Number Char,List Bullet Cab Char,CAB - List Bullet Char,Bulleted Para Char,NFP GP Bulleted List Char,bullet point list Char,L Char"/>
    <w:basedOn w:val="DefaultParagraphFont"/>
    <w:link w:val="ListParagraph"/>
    <w:uiPriority w:val="34"/>
    <w:locked/>
    <w:rsid w:val="00FD3FD6"/>
    <w:rPr>
      <w:rFonts w:eastAsiaTheme="minorEastAsia"/>
      <w:sz w:val="24"/>
      <w:szCs w:val="24"/>
      <w:lang w:val="en-AU" w:eastAsia="en-AU"/>
    </w:rPr>
  </w:style>
  <w:style w:type="paragraph" w:customStyle="1" w:styleId="Bulletedlist">
    <w:name w:val="Bulleted list"/>
    <w:basedOn w:val="Normal"/>
    <w:link w:val="BulletedlistChar"/>
    <w:qFormat/>
    <w:rsid w:val="009C6374"/>
    <w:pPr>
      <w:widowControl/>
      <w:numPr>
        <w:numId w:val="31"/>
      </w:numPr>
      <w:autoSpaceDE/>
      <w:autoSpaceDN/>
      <w:adjustRightInd/>
      <w:spacing w:after="160" w:line="300" w:lineRule="auto"/>
    </w:pPr>
    <w:rPr>
      <w:rFonts w:ascii="Arial" w:eastAsiaTheme="minorHAnsi" w:hAnsi="Arial" w:cs="Arial"/>
      <w:sz w:val="20"/>
      <w:szCs w:val="22"/>
      <w:lang w:eastAsia="en-US"/>
    </w:rPr>
  </w:style>
  <w:style w:type="character" w:customStyle="1" w:styleId="BulletedlistChar">
    <w:name w:val="Bulleted list Char"/>
    <w:basedOn w:val="DefaultParagraphFont"/>
    <w:link w:val="Bulletedlist"/>
    <w:rsid w:val="00DF1E7C"/>
    <w:rPr>
      <w:rFonts w:ascii="Arial" w:eastAsiaTheme="minorHAnsi" w:hAnsi="Arial" w:cs="Arial"/>
      <w:szCs w:val="22"/>
      <w:lang w:val="en-AU" w:eastAsia="en-US"/>
    </w:rPr>
  </w:style>
  <w:style w:type="paragraph" w:customStyle="1" w:styleId="Numberedlist">
    <w:name w:val="Numbered list"/>
    <w:basedOn w:val="Bulletedlist"/>
    <w:link w:val="NumberedlistChar"/>
    <w:qFormat/>
    <w:rsid w:val="007F09E7"/>
    <w:pPr>
      <w:numPr>
        <w:numId w:val="27"/>
      </w:numPr>
      <w:ind w:left="709" w:right="3"/>
    </w:pPr>
  </w:style>
  <w:style w:type="character" w:customStyle="1" w:styleId="NumberedlistChar">
    <w:name w:val="Numbered list Char"/>
    <w:basedOn w:val="BulletedlistChar"/>
    <w:link w:val="Numberedlist"/>
    <w:rsid w:val="007F09E7"/>
    <w:rPr>
      <w:rFonts w:ascii="Arial" w:eastAsiaTheme="minorHAnsi" w:hAnsi="Arial" w:cs="Arial"/>
      <w:szCs w:val="22"/>
      <w:lang w:val="en-AU" w:eastAsia="en-US"/>
    </w:rPr>
  </w:style>
  <w:style w:type="paragraph" w:customStyle="1" w:styleId="NumberedHead2">
    <w:name w:val="Numbered Head 2"/>
    <w:basedOn w:val="Heading1"/>
    <w:link w:val="NumberedHead2Char"/>
    <w:rsid w:val="00ED06B3"/>
    <w:rPr>
      <w:b/>
      <w:sz w:val="28"/>
    </w:rPr>
  </w:style>
  <w:style w:type="paragraph" w:customStyle="1" w:styleId="Head2withnumber">
    <w:name w:val="Head 2 with number"/>
    <w:basedOn w:val="NumberedHead2"/>
    <w:next w:val="Normal"/>
    <w:link w:val="Head2withnumberChar"/>
    <w:qFormat/>
    <w:rsid w:val="00ED06B3"/>
    <w:rPr>
      <w:b w:val="0"/>
    </w:rPr>
  </w:style>
  <w:style w:type="character" w:customStyle="1" w:styleId="NumberedHead2Char">
    <w:name w:val="Numbered Head 2 Char"/>
    <w:basedOn w:val="Heading1Char"/>
    <w:link w:val="NumberedHead2"/>
    <w:rsid w:val="00ED06B3"/>
    <w:rPr>
      <w:rFonts w:ascii="Arial" w:eastAsiaTheme="minorEastAsia" w:hAnsi="Arial" w:cs="Arial"/>
      <w:b/>
      <w:sz w:val="28"/>
      <w:szCs w:val="32"/>
      <w:lang w:val="en-AU" w:eastAsia="en-AU"/>
    </w:rPr>
  </w:style>
  <w:style w:type="character" w:customStyle="1" w:styleId="Head2withnumberChar">
    <w:name w:val="Head 2 with number Char"/>
    <w:basedOn w:val="NumberedHead2Char"/>
    <w:link w:val="Head2withnumber"/>
    <w:rsid w:val="00ED06B3"/>
    <w:rPr>
      <w:rFonts w:ascii="Arial" w:eastAsiaTheme="minorEastAsia" w:hAnsi="Arial" w:cs="Arial"/>
      <w:b w:val="0"/>
      <w:sz w:val="28"/>
      <w:szCs w:val="32"/>
      <w:lang w:val="en-AU" w:eastAsia="en-AU"/>
    </w:rPr>
  </w:style>
  <w:style w:type="paragraph" w:customStyle="1" w:styleId="Head3withnumber">
    <w:name w:val="Head 3 with number"/>
    <w:basedOn w:val="Heading2"/>
    <w:next w:val="Normal"/>
    <w:link w:val="Head3withnumberChar"/>
    <w:qFormat/>
    <w:rsid w:val="00D5740F"/>
    <w:pPr>
      <w:ind w:left="426"/>
    </w:pPr>
  </w:style>
  <w:style w:type="character" w:customStyle="1" w:styleId="Head3withnumberChar">
    <w:name w:val="Head 3 with number Char"/>
    <w:basedOn w:val="Heading2Char"/>
    <w:link w:val="Head3withnumber"/>
    <w:rsid w:val="00D5740F"/>
    <w:rPr>
      <w:rFonts w:asciiTheme="minorHAnsi" w:eastAsia="MS Mincho" w:hAnsiTheme="minorHAnsi" w:cstheme="majorHAnsi"/>
      <w:b/>
      <w:bCs/>
      <w:iCs w:val="0"/>
      <w:snapToGrid/>
      <w:sz w:val="22"/>
      <w:szCs w:val="28"/>
      <w:lang w:val="en-AU" w:eastAsia="ja-JP"/>
    </w:rPr>
  </w:style>
  <w:style w:type="paragraph" w:customStyle="1" w:styleId="Bulletlist">
    <w:name w:val="Bullet list"/>
    <w:basedOn w:val="Bulletedlist"/>
    <w:link w:val="BulletlistChar"/>
    <w:qFormat/>
    <w:rsid w:val="00ED06B3"/>
  </w:style>
  <w:style w:type="character" w:customStyle="1" w:styleId="BulletlistChar">
    <w:name w:val="Bullet list Char"/>
    <w:basedOn w:val="BulletedlistChar"/>
    <w:link w:val="Bulletlist"/>
    <w:rsid w:val="00ED06B3"/>
    <w:rPr>
      <w:rFonts w:ascii="Arial" w:eastAsiaTheme="minorHAnsi" w:hAnsi="Arial" w:cs="Arial"/>
      <w:szCs w:val="22"/>
      <w:lang w:val="en-AU" w:eastAsia="en-US"/>
    </w:rPr>
  </w:style>
  <w:style w:type="paragraph" w:customStyle="1" w:styleId="FooterFileName">
    <w:name w:val="Footer File Name"/>
    <w:rsid w:val="00ED06B3"/>
    <w:rPr>
      <w:rFonts w:ascii="Arial" w:eastAsia="Times New Roman" w:hAnsi="Arial"/>
      <w:caps/>
      <w:color w:val="404040"/>
      <w:sz w:val="12"/>
      <w:szCs w:val="12"/>
      <w:lang w:val="en-AU" w:eastAsia="en-US"/>
    </w:rPr>
  </w:style>
  <w:style w:type="paragraph" w:customStyle="1" w:styleId="FooterSectionName">
    <w:name w:val="Footer Section Name"/>
    <w:link w:val="FooterSectionNameChar"/>
    <w:rsid w:val="00ED06B3"/>
    <w:rPr>
      <w:rFonts w:ascii="Arial" w:eastAsia="Times New Roman" w:hAnsi="Arial" w:cs="Arial"/>
      <w:caps/>
      <w:color w:val="404040"/>
      <w:sz w:val="12"/>
      <w:lang w:val="en-AU" w:eastAsia="en-US"/>
    </w:rPr>
  </w:style>
  <w:style w:type="character" w:customStyle="1" w:styleId="FooterSectionNameChar">
    <w:name w:val="Footer Section Name Char"/>
    <w:basedOn w:val="DefaultParagraphFont"/>
    <w:link w:val="FooterSectionName"/>
    <w:rsid w:val="00ED06B3"/>
    <w:rPr>
      <w:rFonts w:ascii="Arial" w:eastAsia="Times New Roman" w:hAnsi="Arial" w:cs="Arial"/>
      <w:caps/>
      <w:color w:val="404040"/>
      <w:sz w:val="12"/>
      <w:lang w:val="en-AU" w:eastAsia="en-US"/>
    </w:rPr>
  </w:style>
  <w:style w:type="paragraph" w:customStyle="1" w:styleId="PageNumber">
    <w:name w:val="Page_Number"/>
    <w:basedOn w:val="Footer"/>
    <w:qFormat/>
    <w:rsid w:val="00ED06B3"/>
    <w:pPr>
      <w:tabs>
        <w:tab w:val="center" w:pos="4513"/>
        <w:tab w:val="right" w:pos="9026"/>
      </w:tabs>
    </w:pPr>
    <w:rPr>
      <w:rFonts w:ascii="Arial" w:eastAsia="Times New Roman" w:hAnsi="Arial" w:cs="Courier New"/>
      <w:snapToGrid/>
      <w:color w:val="404040"/>
      <w:sz w:val="28"/>
      <w:lang w:eastAsia="en-US"/>
    </w:rPr>
  </w:style>
  <w:style w:type="character" w:customStyle="1" w:styleId="Mention2">
    <w:name w:val="Mention2"/>
    <w:basedOn w:val="DefaultParagraphFont"/>
    <w:uiPriority w:val="99"/>
    <w:unhideWhenUsed/>
    <w:rsid w:val="00ED06B3"/>
    <w:rPr>
      <w:color w:val="2B579A"/>
      <w:shd w:val="clear" w:color="auto" w:fill="E1DFDD"/>
    </w:rPr>
  </w:style>
  <w:style w:type="character" w:customStyle="1" w:styleId="Mention3">
    <w:name w:val="Mention3"/>
    <w:basedOn w:val="DefaultParagraphFont"/>
    <w:uiPriority w:val="99"/>
    <w:unhideWhenUsed/>
    <w:rsid w:val="00ED06B3"/>
    <w:rPr>
      <w:color w:val="2B579A"/>
      <w:shd w:val="clear" w:color="auto" w:fill="E1DFDD"/>
    </w:rPr>
  </w:style>
  <w:style w:type="character" w:customStyle="1" w:styleId="Heading3Char">
    <w:name w:val="Heading 3 Char"/>
    <w:basedOn w:val="DefaultParagraphFont"/>
    <w:link w:val="Heading3"/>
    <w:uiPriority w:val="1"/>
    <w:rsid w:val="007F09E7"/>
    <w:rPr>
      <w:rFonts w:ascii="Arial" w:eastAsiaTheme="minorEastAsia" w:hAnsi="Arial" w:cs="Arial"/>
      <w:b/>
      <w:bCs/>
      <w:sz w:val="22"/>
      <w:szCs w:val="22"/>
      <w:lang w:val="en-AU" w:eastAsia="en-AU"/>
    </w:rPr>
  </w:style>
  <w:style w:type="character" w:customStyle="1" w:styleId="Heading4Char">
    <w:name w:val="Heading 4 Char"/>
    <w:basedOn w:val="DefaultParagraphFont"/>
    <w:link w:val="Heading4"/>
    <w:uiPriority w:val="1"/>
    <w:rsid w:val="00E40956"/>
    <w:rPr>
      <w:rFonts w:ascii="Arial" w:eastAsiaTheme="minorEastAsia" w:hAnsi="Arial" w:cs="Arial"/>
      <w:b/>
      <w:bCs/>
      <w:lang w:val="en-AU" w:eastAsia="en-AU"/>
    </w:rPr>
  </w:style>
  <w:style w:type="character" w:customStyle="1" w:styleId="Heading6Char">
    <w:name w:val="Heading 6 Char"/>
    <w:basedOn w:val="DefaultParagraphFont"/>
    <w:link w:val="Heading6"/>
    <w:uiPriority w:val="9"/>
    <w:rsid w:val="007F43D4"/>
    <w:rPr>
      <w:rFonts w:asciiTheme="majorHAnsi" w:eastAsiaTheme="minorEastAsia" w:hAnsiTheme="majorHAnsi" w:cstheme="majorHAnsi"/>
      <w:b/>
      <w:bCs/>
      <w:sz w:val="16"/>
      <w:szCs w:val="22"/>
      <w:lang w:val="en-AU" w:eastAsia="en-AU"/>
    </w:rPr>
  </w:style>
  <w:style w:type="character" w:customStyle="1" w:styleId="Heading8Char">
    <w:name w:val="Heading 8 Char"/>
    <w:basedOn w:val="DefaultParagraphFont"/>
    <w:link w:val="Heading8"/>
    <w:semiHidden/>
    <w:rsid w:val="007F43D4"/>
    <w:rPr>
      <w:rFonts w:asciiTheme="majorHAnsi" w:eastAsiaTheme="minorEastAsia" w:hAnsiTheme="majorHAnsi" w:cstheme="majorHAnsi"/>
      <w:i/>
      <w:iCs/>
      <w:sz w:val="24"/>
      <w:szCs w:val="24"/>
      <w:lang w:val="en-AU" w:eastAsia="en-AU"/>
    </w:rPr>
  </w:style>
  <w:style w:type="character" w:customStyle="1" w:styleId="Heading9Char">
    <w:name w:val="Heading 9 Char"/>
    <w:basedOn w:val="DefaultParagraphFont"/>
    <w:link w:val="Heading9"/>
    <w:semiHidden/>
    <w:rsid w:val="007F43D4"/>
    <w:rPr>
      <w:rFonts w:asciiTheme="majorHAnsi" w:eastAsiaTheme="minorEastAsia" w:hAnsiTheme="majorHAnsi" w:cstheme="majorHAnsi"/>
      <w:sz w:val="24"/>
      <w:szCs w:val="22"/>
      <w:lang w:val="en-AU" w:eastAsia="en-AU"/>
    </w:rPr>
  </w:style>
  <w:style w:type="numbering" w:customStyle="1" w:styleId="1111111">
    <w:name w:val="1 / 1.1 / 1.1.11"/>
    <w:basedOn w:val="NoList"/>
    <w:next w:val="111111"/>
    <w:uiPriority w:val="97"/>
    <w:semiHidden/>
    <w:rsid w:val="007F43D4"/>
    <w:pPr>
      <w:numPr>
        <w:numId w:val="6"/>
      </w:numPr>
    </w:pPr>
  </w:style>
  <w:style w:type="numbering" w:customStyle="1" w:styleId="1ai1">
    <w:name w:val="1 / a / i1"/>
    <w:basedOn w:val="NoList"/>
    <w:next w:val="1ai"/>
    <w:uiPriority w:val="97"/>
    <w:semiHidden/>
    <w:rsid w:val="007F43D4"/>
    <w:pPr>
      <w:numPr>
        <w:numId w:val="7"/>
      </w:numPr>
    </w:pPr>
  </w:style>
  <w:style w:type="numbering" w:customStyle="1" w:styleId="ArticleSection1">
    <w:name w:val="Article / Section1"/>
    <w:basedOn w:val="NoList"/>
    <w:next w:val="ArticleSection"/>
    <w:uiPriority w:val="97"/>
    <w:semiHidden/>
    <w:rsid w:val="007F43D4"/>
    <w:pPr>
      <w:numPr>
        <w:numId w:val="8"/>
      </w:numPr>
    </w:pPr>
  </w:style>
  <w:style w:type="numbering" w:customStyle="1" w:styleId="ListNumbers1">
    <w:name w:val="ListNumbers1"/>
    <w:uiPriority w:val="99"/>
    <w:rsid w:val="007F43D4"/>
    <w:pPr>
      <w:numPr>
        <w:numId w:val="9"/>
      </w:numPr>
    </w:pPr>
  </w:style>
  <w:style w:type="numbering" w:customStyle="1" w:styleId="ListBullets1">
    <w:name w:val="ListBullets1"/>
    <w:uiPriority w:val="99"/>
    <w:rsid w:val="007F43D4"/>
    <w:pPr>
      <w:numPr>
        <w:numId w:val="10"/>
      </w:numPr>
    </w:pPr>
  </w:style>
  <w:style w:type="numbering" w:customStyle="1" w:styleId="AppendixList1">
    <w:name w:val="Appendix List1"/>
    <w:uiPriority w:val="99"/>
    <w:rsid w:val="007F43D4"/>
    <w:pPr>
      <w:numPr>
        <w:numId w:val="11"/>
      </w:numPr>
    </w:pPr>
  </w:style>
  <w:style w:type="numbering" w:customStyle="1" w:styleId="TableList1">
    <w:name w:val="TableList1"/>
    <w:uiPriority w:val="99"/>
    <w:rsid w:val="007F43D4"/>
    <w:pPr>
      <w:numPr>
        <w:numId w:val="12"/>
      </w:numPr>
    </w:pPr>
  </w:style>
  <w:style w:type="numbering" w:customStyle="1" w:styleId="NumberedHeadings1">
    <w:name w:val="Numbered Headings1"/>
    <w:uiPriority w:val="99"/>
    <w:rsid w:val="007F43D4"/>
    <w:pPr>
      <w:numPr>
        <w:numId w:val="14"/>
      </w:numPr>
    </w:pPr>
  </w:style>
  <w:style w:type="numbering" w:customStyle="1" w:styleId="TableBulletList1">
    <w:name w:val="TableBullet List1"/>
    <w:uiPriority w:val="99"/>
    <w:rsid w:val="007F43D4"/>
    <w:pPr>
      <w:numPr>
        <w:numId w:val="15"/>
      </w:numPr>
    </w:pPr>
  </w:style>
  <w:style w:type="table" w:customStyle="1" w:styleId="TableGrid40">
    <w:name w:val="Table Grid4"/>
    <w:basedOn w:val="TableNormal"/>
    <w:next w:val="TableGrid"/>
    <w:uiPriority w:val="59"/>
    <w:rsid w:val="004C18E1"/>
    <w:rPr>
      <w:rFonts w:ascii="Calibri" w:eastAsia="Calibri" w:hAnsi="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DC7F31"/>
    <w:pPr>
      <w:adjustRightInd w:val="0"/>
      <w:snapToGrid w:val="0"/>
    </w:pPr>
    <w:rPr>
      <w:sz w:val="17"/>
    </w:rPr>
    <w:tblPr>
      <w:tblCellMar>
        <w:left w:w="0" w:type="dxa"/>
        <w:right w:w="0" w:type="dxa"/>
      </w:tblCellMar>
    </w:tblPr>
    <w:tcPr>
      <w:tcMar>
        <w:top w:w="57" w:type="dxa"/>
        <w:left w:w="57" w:type="dxa"/>
        <w:bottom w:w="57" w:type="dxa"/>
        <w:right w:w="57" w:type="dxa"/>
      </w:tcMar>
    </w:tcPr>
    <w:tblStylePr w:type="firstRow">
      <w:rPr>
        <w:rFonts w:ascii="Calibri Light" w:hAnsi="Calibri Light" w:cs="Calibri Light"/>
      </w:rPr>
    </w:tblStylePr>
  </w:style>
  <w:style w:type="table" w:customStyle="1" w:styleId="PlainTable11">
    <w:name w:val="Plain Table 11"/>
    <w:basedOn w:val="TableNormal"/>
    <w:next w:val="PlainTable1"/>
    <w:uiPriority w:val="41"/>
    <w:rsid w:val="00DC7F31"/>
    <w:rPr>
      <w:rFonts w:ascii="Calibri" w:eastAsia="Calibri" w:hAnsi="Calibri"/>
      <w:sz w:val="22"/>
      <w:szCs w:val="22"/>
      <w:lang w:val="en-AU"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DC7F3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unhideWhenUsed/>
    <w:rsid w:val="007128FB"/>
    <w:rPr>
      <w:color w:val="605E5C"/>
      <w:shd w:val="clear" w:color="auto" w:fill="E1DFDD"/>
    </w:rPr>
  </w:style>
  <w:style w:type="character" w:customStyle="1" w:styleId="Mention4">
    <w:name w:val="Mention4"/>
    <w:basedOn w:val="DefaultParagraphFont"/>
    <w:uiPriority w:val="99"/>
    <w:unhideWhenUsed/>
    <w:rsid w:val="007128FB"/>
    <w:rPr>
      <w:color w:val="2B579A"/>
      <w:shd w:val="clear" w:color="auto" w:fill="E1DFDD"/>
    </w:rPr>
  </w:style>
  <w:style w:type="paragraph" w:customStyle="1" w:styleId="HEADINGLVL2">
    <w:name w:val="HEADING LVL 2"/>
    <w:basedOn w:val="Heading2"/>
    <w:link w:val="HEADINGLVL2Char"/>
    <w:qFormat/>
    <w:rsid w:val="00C3224F"/>
    <w:pPr>
      <w:numPr>
        <w:ilvl w:val="1"/>
        <w:numId w:val="17"/>
      </w:numPr>
      <w:ind w:left="426"/>
    </w:pPr>
  </w:style>
  <w:style w:type="character" w:customStyle="1" w:styleId="HEADINGLVL2Char">
    <w:name w:val="HEADING LVL 2 Char"/>
    <w:basedOn w:val="Heading2Char"/>
    <w:link w:val="HEADINGLVL2"/>
    <w:rsid w:val="00C3224F"/>
    <w:rPr>
      <w:rFonts w:ascii="Arial" w:eastAsiaTheme="minorEastAsia" w:hAnsi="Arial" w:cs="Arial"/>
      <w:b/>
      <w:bCs/>
      <w:sz w:val="30"/>
      <w:szCs w:val="30"/>
      <w:lang w:val="en-AU" w:eastAsia="en-AU"/>
    </w:rPr>
  </w:style>
  <w:style w:type="table" w:styleId="GridTable1Light-Accent5">
    <w:name w:val="Grid Table 1 Light Accent 5"/>
    <w:basedOn w:val="TableNormal"/>
    <w:uiPriority w:val="46"/>
    <w:rsid w:val="003D6E37"/>
    <w:tblPr>
      <w:tblStyleRowBandSize w:val="1"/>
      <w:tblStyleColBandSize w:val="1"/>
      <w:tblBorders>
        <w:top w:val="single" w:sz="4" w:space="0" w:color="E0E1DD" w:themeColor="accent5" w:themeTint="66"/>
        <w:left w:val="single" w:sz="4" w:space="0" w:color="E0E1DD" w:themeColor="accent5" w:themeTint="66"/>
        <w:bottom w:val="single" w:sz="4" w:space="0" w:color="E0E1DD" w:themeColor="accent5" w:themeTint="66"/>
        <w:right w:val="single" w:sz="4" w:space="0" w:color="E0E1DD" w:themeColor="accent5" w:themeTint="66"/>
        <w:insideH w:val="single" w:sz="4" w:space="0" w:color="E0E1DD" w:themeColor="accent5" w:themeTint="66"/>
        <w:insideV w:val="single" w:sz="4" w:space="0" w:color="E0E1DD" w:themeColor="accent5" w:themeTint="66"/>
      </w:tblBorders>
    </w:tblPr>
    <w:tblStylePr w:type="firstRow">
      <w:rPr>
        <w:b/>
        <w:bCs/>
      </w:rPr>
      <w:tblPr/>
      <w:tcPr>
        <w:tcBorders>
          <w:bottom w:val="single" w:sz="12" w:space="0" w:color="D0D2CC" w:themeColor="accent5" w:themeTint="99"/>
        </w:tcBorders>
      </w:tcPr>
    </w:tblStylePr>
    <w:tblStylePr w:type="lastRow">
      <w:rPr>
        <w:b/>
        <w:bCs/>
      </w:rPr>
      <w:tblPr/>
      <w:tcPr>
        <w:tcBorders>
          <w:top w:val="double" w:sz="2" w:space="0" w:color="D0D2CC" w:themeColor="accent5" w:themeTint="99"/>
        </w:tcBorders>
      </w:tcPr>
    </w:tblStylePr>
    <w:tblStylePr w:type="firstCol">
      <w:rPr>
        <w:b/>
        <w:bCs/>
      </w:rPr>
    </w:tblStylePr>
    <w:tblStylePr w:type="lastCol">
      <w:rPr>
        <w:b/>
        <w:bCs/>
      </w:rPr>
    </w:tblStylePr>
  </w:style>
  <w:style w:type="paragraph" w:customStyle="1" w:styleId="guidelinebullet">
    <w:name w:val="guideline bullet"/>
    <w:basedOn w:val="ListParagraph"/>
    <w:link w:val="guidelinebulletChar"/>
    <w:qFormat/>
    <w:rsid w:val="007F2F23"/>
    <w:pPr>
      <w:adjustRightInd/>
      <w:spacing w:before="60"/>
    </w:pPr>
    <w:rPr>
      <w:rFonts w:eastAsiaTheme="minorHAnsi" w:cstheme="minorBidi"/>
      <w:snapToGrid w:val="0"/>
      <w:sz w:val="22"/>
      <w:szCs w:val="22"/>
      <w:lang w:eastAsia="en-US"/>
    </w:rPr>
  </w:style>
  <w:style w:type="character" w:customStyle="1" w:styleId="guidelinebulletChar">
    <w:name w:val="guideline bullet Char"/>
    <w:basedOn w:val="DefaultParagraphFont"/>
    <w:link w:val="guidelinebullet"/>
    <w:rsid w:val="007F2F23"/>
    <w:rPr>
      <w:rFonts w:asciiTheme="minorHAnsi" w:eastAsiaTheme="minorHAnsi" w:hAnsiTheme="minorHAnsi" w:cstheme="minorBidi"/>
      <w:sz w:val="22"/>
      <w:szCs w:val="22"/>
      <w:lang w:val="en-AU" w:eastAsia="en-US"/>
    </w:rPr>
  </w:style>
  <w:style w:type="paragraph" w:customStyle="1" w:styleId="TableParagraph">
    <w:name w:val="Table Paragraph"/>
    <w:basedOn w:val="Numberedlist"/>
    <w:uiPriority w:val="1"/>
    <w:qFormat/>
    <w:rsid w:val="00404437"/>
    <w:pPr>
      <w:numPr>
        <w:numId w:val="0"/>
      </w:numPr>
      <w:spacing w:after="0"/>
      <w:ind w:left="57"/>
    </w:pPr>
  </w:style>
  <w:style w:type="character" w:customStyle="1" w:styleId="UnresolvedMention6">
    <w:name w:val="Unresolved Mention6"/>
    <w:basedOn w:val="DefaultParagraphFont"/>
    <w:uiPriority w:val="99"/>
    <w:unhideWhenUsed/>
    <w:rsid w:val="000910F6"/>
    <w:rPr>
      <w:color w:val="605E5C"/>
      <w:shd w:val="clear" w:color="auto" w:fill="E1DFDD"/>
    </w:rPr>
  </w:style>
  <w:style w:type="character" w:customStyle="1" w:styleId="Mention5">
    <w:name w:val="Mention5"/>
    <w:basedOn w:val="DefaultParagraphFont"/>
    <w:uiPriority w:val="99"/>
    <w:unhideWhenUsed/>
    <w:rsid w:val="000910F6"/>
    <w:rPr>
      <w:color w:val="2B579A"/>
      <w:shd w:val="clear" w:color="auto" w:fill="E1DFDD"/>
    </w:rPr>
  </w:style>
  <w:style w:type="character" w:customStyle="1" w:styleId="UnresolvedMention7">
    <w:name w:val="Unresolved Mention7"/>
    <w:basedOn w:val="DefaultParagraphFont"/>
    <w:uiPriority w:val="99"/>
    <w:unhideWhenUsed/>
    <w:rsid w:val="00D83A74"/>
    <w:rPr>
      <w:color w:val="605E5C"/>
      <w:shd w:val="clear" w:color="auto" w:fill="E1DFDD"/>
    </w:rPr>
  </w:style>
  <w:style w:type="character" w:customStyle="1" w:styleId="Mention6">
    <w:name w:val="Mention6"/>
    <w:basedOn w:val="DefaultParagraphFont"/>
    <w:uiPriority w:val="99"/>
    <w:unhideWhenUsed/>
    <w:rsid w:val="00D83A74"/>
    <w:rPr>
      <w:color w:val="2B579A"/>
      <w:shd w:val="clear" w:color="auto" w:fill="E1DFDD"/>
    </w:rPr>
  </w:style>
  <w:style w:type="paragraph" w:customStyle="1" w:styleId="Default">
    <w:name w:val="Default"/>
    <w:basedOn w:val="Normal"/>
    <w:rsid w:val="00907889"/>
    <w:pPr>
      <w:widowControl/>
      <w:adjustRightInd/>
    </w:pPr>
    <w:rPr>
      <w:rFonts w:ascii="Arial" w:eastAsiaTheme="minorHAnsi" w:hAnsi="Arial" w:cs="Arial"/>
      <w:color w:val="000000"/>
    </w:rPr>
  </w:style>
  <w:style w:type="paragraph" w:customStyle="1" w:styleId="Arial10">
    <w:name w:val="Arial 10"/>
    <w:basedOn w:val="Heading4"/>
    <w:link w:val="Arial10Char"/>
    <w:uiPriority w:val="1"/>
    <w:qFormat/>
    <w:rsid w:val="000B1DD2"/>
    <w:pPr>
      <w:kinsoku w:val="0"/>
      <w:overflowPunct w:val="0"/>
      <w:spacing w:before="220"/>
      <w:ind w:left="138"/>
    </w:pPr>
  </w:style>
  <w:style w:type="paragraph" w:customStyle="1" w:styleId="BodyTextBold">
    <w:name w:val="Body Text Bold"/>
    <w:basedOn w:val="BodyText"/>
    <w:uiPriority w:val="1"/>
    <w:qFormat/>
    <w:rsid w:val="00D610D6"/>
    <w:rPr>
      <w:b/>
      <w:bCs/>
    </w:rPr>
  </w:style>
  <w:style w:type="character" w:customStyle="1" w:styleId="Arial10Char">
    <w:name w:val="Arial 10 Char"/>
    <w:basedOn w:val="Heading4Char"/>
    <w:link w:val="Arial10"/>
    <w:uiPriority w:val="1"/>
    <w:rsid w:val="000B1DD2"/>
    <w:rPr>
      <w:rFonts w:ascii="Arial" w:eastAsiaTheme="minorEastAsia" w:hAnsi="Arial" w:cs="Arial"/>
      <w:b/>
      <w:bCs/>
      <w:lang w:val="en-AU" w:eastAsia="en-AU"/>
    </w:rPr>
  </w:style>
  <w:style w:type="paragraph" w:styleId="Quote">
    <w:name w:val="Quote"/>
    <w:basedOn w:val="Normal"/>
    <w:next w:val="Normal"/>
    <w:link w:val="QuoteChar"/>
    <w:qFormat/>
    <w:rsid w:val="00E40956"/>
    <w:pPr>
      <w:spacing w:before="200" w:after="240" w:line="300" w:lineRule="auto"/>
      <w:ind w:left="862" w:right="862"/>
    </w:pPr>
    <w:rPr>
      <w:rFonts w:asciiTheme="minorHAnsi" w:hAnsiTheme="minorHAnsi"/>
      <w:i/>
      <w:iCs/>
      <w:color w:val="404040" w:themeColor="text1" w:themeTint="BF"/>
      <w:sz w:val="20"/>
    </w:rPr>
  </w:style>
  <w:style w:type="character" w:customStyle="1" w:styleId="QuoteChar">
    <w:name w:val="Quote Char"/>
    <w:basedOn w:val="DefaultParagraphFont"/>
    <w:link w:val="Quote"/>
    <w:rsid w:val="00E40956"/>
    <w:rPr>
      <w:rFonts w:asciiTheme="minorHAnsi" w:eastAsiaTheme="minorEastAsia" w:hAnsiTheme="minorHAnsi"/>
      <w:i/>
      <w:iCs/>
      <w:color w:val="404040" w:themeColor="text1" w:themeTint="BF"/>
      <w:szCs w:val="24"/>
      <w:lang w:val="en-AU" w:eastAsia="en-AU"/>
    </w:rPr>
  </w:style>
  <w:style w:type="numbering" w:customStyle="1" w:styleId="CurrentList1">
    <w:name w:val="Current List1"/>
    <w:uiPriority w:val="99"/>
    <w:rsid w:val="0064184D"/>
    <w:pPr>
      <w:numPr>
        <w:numId w:val="21"/>
      </w:numPr>
    </w:pPr>
  </w:style>
  <w:style w:type="numbering" w:customStyle="1" w:styleId="CurrentList2">
    <w:name w:val="Current List2"/>
    <w:uiPriority w:val="99"/>
    <w:rsid w:val="0064184D"/>
    <w:pPr>
      <w:numPr>
        <w:numId w:val="22"/>
      </w:numPr>
    </w:pPr>
  </w:style>
  <w:style w:type="numbering" w:customStyle="1" w:styleId="CurrentList3">
    <w:name w:val="Current List3"/>
    <w:uiPriority w:val="99"/>
    <w:rsid w:val="00E40956"/>
    <w:pPr>
      <w:numPr>
        <w:numId w:val="23"/>
      </w:numPr>
    </w:pPr>
  </w:style>
  <w:style w:type="numbering" w:customStyle="1" w:styleId="CurrentList4">
    <w:name w:val="Current List4"/>
    <w:uiPriority w:val="99"/>
    <w:rsid w:val="00761793"/>
    <w:pPr>
      <w:numPr>
        <w:numId w:val="24"/>
      </w:numPr>
    </w:pPr>
  </w:style>
  <w:style w:type="numbering" w:customStyle="1" w:styleId="CurrentList5">
    <w:name w:val="Current List5"/>
    <w:uiPriority w:val="99"/>
    <w:rsid w:val="00064835"/>
    <w:pPr>
      <w:numPr>
        <w:numId w:val="25"/>
      </w:numPr>
    </w:pPr>
  </w:style>
  <w:style w:type="numbering" w:customStyle="1" w:styleId="CurrentList6">
    <w:name w:val="Current List6"/>
    <w:uiPriority w:val="99"/>
    <w:rsid w:val="00064835"/>
    <w:pPr>
      <w:numPr>
        <w:numId w:val="26"/>
      </w:numPr>
    </w:pPr>
  </w:style>
  <w:style w:type="numbering" w:customStyle="1" w:styleId="CurrentList7">
    <w:name w:val="Current List7"/>
    <w:uiPriority w:val="99"/>
    <w:rsid w:val="00064835"/>
    <w:pPr>
      <w:numPr>
        <w:numId w:val="28"/>
      </w:numPr>
    </w:pPr>
  </w:style>
  <w:style w:type="numbering" w:customStyle="1" w:styleId="CurrentList12">
    <w:name w:val="Current List12"/>
    <w:uiPriority w:val="99"/>
    <w:rsid w:val="00F014F2"/>
    <w:pPr>
      <w:numPr>
        <w:numId w:val="35"/>
      </w:numPr>
    </w:pPr>
  </w:style>
  <w:style w:type="numbering" w:customStyle="1" w:styleId="CurrentList8">
    <w:name w:val="Current List8"/>
    <w:uiPriority w:val="99"/>
    <w:rsid w:val="00A84C3E"/>
    <w:pPr>
      <w:numPr>
        <w:numId w:val="30"/>
      </w:numPr>
    </w:pPr>
  </w:style>
  <w:style w:type="numbering" w:customStyle="1" w:styleId="CurrentList9">
    <w:name w:val="Current List9"/>
    <w:uiPriority w:val="99"/>
    <w:rsid w:val="00A84C3E"/>
    <w:pPr>
      <w:numPr>
        <w:numId w:val="32"/>
      </w:numPr>
    </w:pPr>
  </w:style>
  <w:style w:type="numbering" w:customStyle="1" w:styleId="CurrentList10">
    <w:name w:val="Current List10"/>
    <w:uiPriority w:val="99"/>
    <w:rsid w:val="009C6374"/>
    <w:pPr>
      <w:numPr>
        <w:numId w:val="33"/>
      </w:numPr>
    </w:pPr>
  </w:style>
  <w:style w:type="numbering" w:customStyle="1" w:styleId="CurrentList11">
    <w:name w:val="Current List11"/>
    <w:uiPriority w:val="99"/>
    <w:rsid w:val="009C6374"/>
    <w:pPr>
      <w:numPr>
        <w:numId w:val="34"/>
      </w:numPr>
    </w:pPr>
  </w:style>
  <w:style w:type="paragraph" w:customStyle="1" w:styleId="TableHeading">
    <w:name w:val="Table Heading"/>
    <w:basedOn w:val="Heading3"/>
    <w:uiPriority w:val="1"/>
    <w:qFormat/>
    <w:rsid w:val="00C83671"/>
    <w:pPr>
      <w:spacing w:before="0" w:after="0"/>
    </w:pPr>
  </w:style>
  <w:style w:type="numbering" w:customStyle="1" w:styleId="CurrentList13">
    <w:name w:val="Current List13"/>
    <w:uiPriority w:val="99"/>
    <w:rsid w:val="00D519D6"/>
    <w:pPr>
      <w:numPr>
        <w:numId w:val="39"/>
      </w:numPr>
    </w:pPr>
  </w:style>
  <w:style w:type="numbering" w:customStyle="1" w:styleId="CurrentList14">
    <w:name w:val="Current List14"/>
    <w:uiPriority w:val="99"/>
    <w:rsid w:val="00D519D6"/>
    <w:pPr>
      <w:numPr>
        <w:numId w:val="41"/>
      </w:numPr>
    </w:pPr>
  </w:style>
  <w:style w:type="numbering" w:customStyle="1" w:styleId="CurrentList15">
    <w:name w:val="Current List15"/>
    <w:uiPriority w:val="99"/>
    <w:rsid w:val="00D82168"/>
    <w:pPr>
      <w:numPr>
        <w:numId w:val="42"/>
      </w:numPr>
    </w:pPr>
  </w:style>
  <w:style w:type="numbering" w:customStyle="1" w:styleId="CurrentList16">
    <w:name w:val="Current List16"/>
    <w:uiPriority w:val="99"/>
    <w:rsid w:val="00D82168"/>
    <w:pPr>
      <w:numPr>
        <w:numId w:val="43"/>
      </w:numPr>
    </w:pPr>
  </w:style>
  <w:style w:type="numbering" w:customStyle="1" w:styleId="Style1">
    <w:name w:val="Style1"/>
    <w:uiPriority w:val="99"/>
    <w:rsid w:val="008F0B57"/>
    <w:pPr>
      <w:numPr>
        <w:numId w:val="46"/>
      </w:numPr>
    </w:pPr>
  </w:style>
  <w:style w:type="paragraph" w:customStyle="1" w:styleId="TableAlphaList">
    <w:name w:val="Table Alpha List"/>
    <w:basedOn w:val="TableParagraph"/>
    <w:uiPriority w:val="1"/>
    <w:qFormat/>
    <w:rsid w:val="008F0B57"/>
    <w:pPr>
      <w:numPr>
        <w:numId w:val="47"/>
      </w:numPr>
    </w:pPr>
  </w:style>
  <w:style w:type="paragraph" w:customStyle="1" w:styleId="QuoteNoafterspace">
    <w:name w:val="Quote (No after space)"/>
    <w:basedOn w:val="Quote"/>
    <w:uiPriority w:val="1"/>
    <w:qFormat/>
    <w:rsid w:val="00E06C4B"/>
    <w:pPr>
      <w:spacing w:before="120" w:after="0"/>
      <w:ind w:left="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89517">
      <w:bodyDiv w:val="1"/>
      <w:marLeft w:val="0"/>
      <w:marRight w:val="0"/>
      <w:marTop w:val="0"/>
      <w:marBottom w:val="0"/>
      <w:divBdr>
        <w:top w:val="none" w:sz="0" w:space="0" w:color="auto"/>
        <w:left w:val="none" w:sz="0" w:space="0" w:color="auto"/>
        <w:bottom w:val="none" w:sz="0" w:space="0" w:color="auto"/>
        <w:right w:val="none" w:sz="0" w:space="0" w:color="auto"/>
      </w:divBdr>
      <w:divsChild>
        <w:div w:id="496504800">
          <w:marLeft w:val="0"/>
          <w:marRight w:val="0"/>
          <w:marTop w:val="0"/>
          <w:marBottom w:val="0"/>
          <w:divBdr>
            <w:top w:val="none" w:sz="0" w:space="0" w:color="auto"/>
            <w:left w:val="none" w:sz="0" w:space="0" w:color="auto"/>
            <w:bottom w:val="none" w:sz="0" w:space="0" w:color="auto"/>
            <w:right w:val="none" w:sz="0" w:space="0" w:color="auto"/>
          </w:divBdr>
        </w:div>
        <w:div w:id="530538229">
          <w:marLeft w:val="0"/>
          <w:marRight w:val="0"/>
          <w:marTop w:val="0"/>
          <w:marBottom w:val="0"/>
          <w:divBdr>
            <w:top w:val="none" w:sz="0" w:space="0" w:color="auto"/>
            <w:left w:val="none" w:sz="0" w:space="0" w:color="auto"/>
            <w:bottom w:val="none" w:sz="0" w:space="0" w:color="auto"/>
            <w:right w:val="none" w:sz="0" w:space="0" w:color="auto"/>
          </w:divBdr>
        </w:div>
      </w:divsChild>
    </w:div>
    <w:div w:id="69737583">
      <w:bodyDiv w:val="1"/>
      <w:marLeft w:val="0"/>
      <w:marRight w:val="0"/>
      <w:marTop w:val="0"/>
      <w:marBottom w:val="0"/>
      <w:divBdr>
        <w:top w:val="none" w:sz="0" w:space="0" w:color="auto"/>
        <w:left w:val="none" w:sz="0" w:space="0" w:color="auto"/>
        <w:bottom w:val="none" w:sz="0" w:space="0" w:color="auto"/>
        <w:right w:val="none" w:sz="0" w:space="0" w:color="auto"/>
      </w:divBdr>
    </w:div>
    <w:div w:id="70197679">
      <w:bodyDiv w:val="1"/>
      <w:marLeft w:val="0"/>
      <w:marRight w:val="0"/>
      <w:marTop w:val="0"/>
      <w:marBottom w:val="0"/>
      <w:divBdr>
        <w:top w:val="none" w:sz="0" w:space="0" w:color="auto"/>
        <w:left w:val="none" w:sz="0" w:space="0" w:color="auto"/>
        <w:bottom w:val="none" w:sz="0" w:space="0" w:color="auto"/>
        <w:right w:val="none" w:sz="0" w:space="0" w:color="auto"/>
      </w:divBdr>
      <w:divsChild>
        <w:div w:id="229461627">
          <w:marLeft w:val="0"/>
          <w:marRight w:val="0"/>
          <w:marTop w:val="0"/>
          <w:marBottom w:val="0"/>
          <w:divBdr>
            <w:top w:val="none" w:sz="0" w:space="0" w:color="auto"/>
            <w:left w:val="none" w:sz="0" w:space="0" w:color="auto"/>
            <w:bottom w:val="none" w:sz="0" w:space="0" w:color="auto"/>
            <w:right w:val="none" w:sz="0" w:space="0" w:color="auto"/>
          </w:divBdr>
        </w:div>
        <w:div w:id="521935463">
          <w:marLeft w:val="0"/>
          <w:marRight w:val="0"/>
          <w:marTop w:val="0"/>
          <w:marBottom w:val="0"/>
          <w:divBdr>
            <w:top w:val="none" w:sz="0" w:space="0" w:color="auto"/>
            <w:left w:val="none" w:sz="0" w:space="0" w:color="auto"/>
            <w:bottom w:val="none" w:sz="0" w:space="0" w:color="auto"/>
            <w:right w:val="none" w:sz="0" w:space="0" w:color="auto"/>
          </w:divBdr>
        </w:div>
        <w:div w:id="1455292751">
          <w:marLeft w:val="0"/>
          <w:marRight w:val="0"/>
          <w:marTop w:val="0"/>
          <w:marBottom w:val="0"/>
          <w:divBdr>
            <w:top w:val="none" w:sz="0" w:space="0" w:color="auto"/>
            <w:left w:val="none" w:sz="0" w:space="0" w:color="auto"/>
            <w:bottom w:val="none" w:sz="0" w:space="0" w:color="auto"/>
            <w:right w:val="none" w:sz="0" w:space="0" w:color="auto"/>
          </w:divBdr>
        </w:div>
        <w:div w:id="2087606841">
          <w:marLeft w:val="0"/>
          <w:marRight w:val="0"/>
          <w:marTop w:val="0"/>
          <w:marBottom w:val="0"/>
          <w:divBdr>
            <w:top w:val="none" w:sz="0" w:space="0" w:color="auto"/>
            <w:left w:val="none" w:sz="0" w:space="0" w:color="auto"/>
            <w:bottom w:val="none" w:sz="0" w:space="0" w:color="auto"/>
            <w:right w:val="none" w:sz="0" w:space="0" w:color="auto"/>
          </w:divBdr>
        </w:div>
      </w:divsChild>
    </w:div>
    <w:div w:id="70935585">
      <w:bodyDiv w:val="1"/>
      <w:marLeft w:val="0"/>
      <w:marRight w:val="0"/>
      <w:marTop w:val="0"/>
      <w:marBottom w:val="0"/>
      <w:divBdr>
        <w:top w:val="none" w:sz="0" w:space="0" w:color="auto"/>
        <w:left w:val="none" w:sz="0" w:space="0" w:color="auto"/>
        <w:bottom w:val="none" w:sz="0" w:space="0" w:color="auto"/>
        <w:right w:val="none" w:sz="0" w:space="0" w:color="auto"/>
      </w:divBdr>
      <w:divsChild>
        <w:div w:id="166143329">
          <w:marLeft w:val="0"/>
          <w:marRight w:val="0"/>
          <w:marTop w:val="0"/>
          <w:marBottom w:val="0"/>
          <w:divBdr>
            <w:top w:val="none" w:sz="0" w:space="0" w:color="auto"/>
            <w:left w:val="none" w:sz="0" w:space="0" w:color="auto"/>
            <w:bottom w:val="none" w:sz="0" w:space="0" w:color="auto"/>
            <w:right w:val="none" w:sz="0" w:space="0" w:color="auto"/>
          </w:divBdr>
        </w:div>
      </w:divsChild>
    </w:div>
    <w:div w:id="123350932">
      <w:bodyDiv w:val="1"/>
      <w:marLeft w:val="0"/>
      <w:marRight w:val="0"/>
      <w:marTop w:val="0"/>
      <w:marBottom w:val="0"/>
      <w:divBdr>
        <w:top w:val="none" w:sz="0" w:space="0" w:color="auto"/>
        <w:left w:val="none" w:sz="0" w:space="0" w:color="auto"/>
        <w:bottom w:val="none" w:sz="0" w:space="0" w:color="auto"/>
        <w:right w:val="none" w:sz="0" w:space="0" w:color="auto"/>
      </w:divBdr>
    </w:div>
    <w:div w:id="127288787">
      <w:bodyDiv w:val="1"/>
      <w:marLeft w:val="0"/>
      <w:marRight w:val="0"/>
      <w:marTop w:val="0"/>
      <w:marBottom w:val="0"/>
      <w:divBdr>
        <w:top w:val="none" w:sz="0" w:space="0" w:color="auto"/>
        <w:left w:val="none" w:sz="0" w:space="0" w:color="auto"/>
        <w:bottom w:val="none" w:sz="0" w:space="0" w:color="auto"/>
        <w:right w:val="none" w:sz="0" w:space="0" w:color="auto"/>
      </w:divBdr>
      <w:divsChild>
        <w:div w:id="5135434">
          <w:marLeft w:val="0"/>
          <w:marRight w:val="0"/>
          <w:marTop w:val="0"/>
          <w:marBottom w:val="0"/>
          <w:divBdr>
            <w:top w:val="none" w:sz="0" w:space="0" w:color="auto"/>
            <w:left w:val="none" w:sz="0" w:space="0" w:color="auto"/>
            <w:bottom w:val="none" w:sz="0" w:space="0" w:color="auto"/>
            <w:right w:val="none" w:sz="0" w:space="0" w:color="auto"/>
          </w:divBdr>
          <w:divsChild>
            <w:div w:id="46104548">
              <w:marLeft w:val="0"/>
              <w:marRight w:val="0"/>
              <w:marTop w:val="0"/>
              <w:marBottom w:val="0"/>
              <w:divBdr>
                <w:top w:val="none" w:sz="0" w:space="0" w:color="auto"/>
                <w:left w:val="none" w:sz="0" w:space="0" w:color="auto"/>
                <w:bottom w:val="none" w:sz="0" w:space="0" w:color="auto"/>
                <w:right w:val="none" w:sz="0" w:space="0" w:color="auto"/>
              </w:divBdr>
            </w:div>
          </w:divsChild>
        </w:div>
        <w:div w:id="51076323">
          <w:marLeft w:val="0"/>
          <w:marRight w:val="0"/>
          <w:marTop w:val="0"/>
          <w:marBottom w:val="0"/>
          <w:divBdr>
            <w:top w:val="none" w:sz="0" w:space="0" w:color="auto"/>
            <w:left w:val="none" w:sz="0" w:space="0" w:color="auto"/>
            <w:bottom w:val="none" w:sz="0" w:space="0" w:color="auto"/>
            <w:right w:val="none" w:sz="0" w:space="0" w:color="auto"/>
          </w:divBdr>
          <w:divsChild>
            <w:div w:id="190730129">
              <w:marLeft w:val="0"/>
              <w:marRight w:val="0"/>
              <w:marTop w:val="0"/>
              <w:marBottom w:val="0"/>
              <w:divBdr>
                <w:top w:val="none" w:sz="0" w:space="0" w:color="auto"/>
                <w:left w:val="none" w:sz="0" w:space="0" w:color="auto"/>
                <w:bottom w:val="none" w:sz="0" w:space="0" w:color="auto"/>
                <w:right w:val="none" w:sz="0" w:space="0" w:color="auto"/>
              </w:divBdr>
            </w:div>
          </w:divsChild>
        </w:div>
        <w:div w:id="87047000">
          <w:marLeft w:val="0"/>
          <w:marRight w:val="0"/>
          <w:marTop w:val="0"/>
          <w:marBottom w:val="0"/>
          <w:divBdr>
            <w:top w:val="none" w:sz="0" w:space="0" w:color="auto"/>
            <w:left w:val="none" w:sz="0" w:space="0" w:color="auto"/>
            <w:bottom w:val="none" w:sz="0" w:space="0" w:color="auto"/>
            <w:right w:val="none" w:sz="0" w:space="0" w:color="auto"/>
          </w:divBdr>
          <w:divsChild>
            <w:div w:id="703869919">
              <w:marLeft w:val="0"/>
              <w:marRight w:val="0"/>
              <w:marTop w:val="0"/>
              <w:marBottom w:val="0"/>
              <w:divBdr>
                <w:top w:val="none" w:sz="0" w:space="0" w:color="auto"/>
                <w:left w:val="none" w:sz="0" w:space="0" w:color="auto"/>
                <w:bottom w:val="none" w:sz="0" w:space="0" w:color="auto"/>
                <w:right w:val="none" w:sz="0" w:space="0" w:color="auto"/>
              </w:divBdr>
            </w:div>
          </w:divsChild>
        </w:div>
        <w:div w:id="127285048">
          <w:marLeft w:val="0"/>
          <w:marRight w:val="0"/>
          <w:marTop w:val="0"/>
          <w:marBottom w:val="0"/>
          <w:divBdr>
            <w:top w:val="none" w:sz="0" w:space="0" w:color="auto"/>
            <w:left w:val="none" w:sz="0" w:space="0" w:color="auto"/>
            <w:bottom w:val="none" w:sz="0" w:space="0" w:color="auto"/>
            <w:right w:val="none" w:sz="0" w:space="0" w:color="auto"/>
          </w:divBdr>
          <w:divsChild>
            <w:div w:id="1218932754">
              <w:marLeft w:val="0"/>
              <w:marRight w:val="0"/>
              <w:marTop w:val="0"/>
              <w:marBottom w:val="0"/>
              <w:divBdr>
                <w:top w:val="none" w:sz="0" w:space="0" w:color="auto"/>
                <w:left w:val="none" w:sz="0" w:space="0" w:color="auto"/>
                <w:bottom w:val="none" w:sz="0" w:space="0" w:color="auto"/>
                <w:right w:val="none" w:sz="0" w:space="0" w:color="auto"/>
              </w:divBdr>
            </w:div>
          </w:divsChild>
        </w:div>
        <w:div w:id="139812864">
          <w:marLeft w:val="0"/>
          <w:marRight w:val="0"/>
          <w:marTop w:val="0"/>
          <w:marBottom w:val="0"/>
          <w:divBdr>
            <w:top w:val="none" w:sz="0" w:space="0" w:color="auto"/>
            <w:left w:val="none" w:sz="0" w:space="0" w:color="auto"/>
            <w:bottom w:val="none" w:sz="0" w:space="0" w:color="auto"/>
            <w:right w:val="none" w:sz="0" w:space="0" w:color="auto"/>
          </w:divBdr>
          <w:divsChild>
            <w:div w:id="863635500">
              <w:marLeft w:val="0"/>
              <w:marRight w:val="0"/>
              <w:marTop w:val="0"/>
              <w:marBottom w:val="0"/>
              <w:divBdr>
                <w:top w:val="none" w:sz="0" w:space="0" w:color="auto"/>
                <w:left w:val="none" w:sz="0" w:space="0" w:color="auto"/>
                <w:bottom w:val="none" w:sz="0" w:space="0" w:color="auto"/>
                <w:right w:val="none" w:sz="0" w:space="0" w:color="auto"/>
              </w:divBdr>
            </w:div>
          </w:divsChild>
        </w:div>
        <w:div w:id="164519381">
          <w:marLeft w:val="0"/>
          <w:marRight w:val="0"/>
          <w:marTop w:val="0"/>
          <w:marBottom w:val="0"/>
          <w:divBdr>
            <w:top w:val="none" w:sz="0" w:space="0" w:color="auto"/>
            <w:left w:val="none" w:sz="0" w:space="0" w:color="auto"/>
            <w:bottom w:val="none" w:sz="0" w:space="0" w:color="auto"/>
            <w:right w:val="none" w:sz="0" w:space="0" w:color="auto"/>
          </w:divBdr>
          <w:divsChild>
            <w:div w:id="705181783">
              <w:marLeft w:val="0"/>
              <w:marRight w:val="0"/>
              <w:marTop w:val="0"/>
              <w:marBottom w:val="0"/>
              <w:divBdr>
                <w:top w:val="none" w:sz="0" w:space="0" w:color="auto"/>
                <w:left w:val="none" w:sz="0" w:space="0" w:color="auto"/>
                <w:bottom w:val="none" w:sz="0" w:space="0" w:color="auto"/>
                <w:right w:val="none" w:sz="0" w:space="0" w:color="auto"/>
              </w:divBdr>
            </w:div>
          </w:divsChild>
        </w:div>
        <w:div w:id="165092253">
          <w:marLeft w:val="0"/>
          <w:marRight w:val="0"/>
          <w:marTop w:val="0"/>
          <w:marBottom w:val="0"/>
          <w:divBdr>
            <w:top w:val="none" w:sz="0" w:space="0" w:color="auto"/>
            <w:left w:val="none" w:sz="0" w:space="0" w:color="auto"/>
            <w:bottom w:val="none" w:sz="0" w:space="0" w:color="auto"/>
            <w:right w:val="none" w:sz="0" w:space="0" w:color="auto"/>
          </w:divBdr>
          <w:divsChild>
            <w:div w:id="1050496095">
              <w:marLeft w:val="0"/>
              <w:marRight w:val="0"/>
              <w:marTop w:val="0"/>
              <w:marBottom w:val="0"/>
              <w:divBdr>
                <w:top w:val="none" w:sz="0" w:space="0" w:color="auto"/>
                <w:left w:val="none" w:sz="0" w:space="0" w:color="auto"/>
                <w:bottom w:val="none" w:sz="0" w:space="0" w:color="auto"/>
                <w:right w:val="none" w:sz="0" w:space="0" w:color="auto"/>
              </w:divBdr>
            </w:div>
          </w:divsChild>
        </w:div>
        <w:div w:id="190798967">
          <w:marLeft w:val="0"/>
          <w:marRight w:val="0"/>
          <w:marTop w:val="0"/>
          <w:marBottom w:val="0"/>
          <w:divBdr>
            <w:top w:val="none" w:sz="0" w:space="0" w:color="auto"/>
            <w:left w:val="none" w:sz="0" w:space="0" w:color="auto"/>
            <w:bottom w:val="none" w:sz="0" w:space="0" w:color="auto"/>
            <w:right w:val="none" w:sz="0" w:space="0" w:color="auto"/>
          </w:divBdr>
          <w:divsChild>
            <w:div w:id="1757359915">
              <w:marLeft w:val="0"/>
              <w:marRight w:val="0"/>
              <w:marTop w:val="0"/>
              <w:marBottom w:val="0"/>
              <w:divBdr>
                <w:top w:val="none" w:sz="0" w:space="0" w:color="auto"/>
                <w:left w:val="none" w:sz="0" w:space="0" w:color="auto"/>
                <w:bottom w:val="none" w:sz="0" w:space="0" w:color="auto"/>
                <w:right w:val="none" w:sz="0" w:space="0" w:color="auto"/>
              </w:divBdr>
            </w:div>
          </w:divsChild>
        </w:div>
        <w:div w:id="192690959">
          <w:marLeft w:val="0"/>
          <w:marRight w:val="0"/>
          <w:marTop w:val="0"/>
          <w:marBottom w:val="0"/>
          <w:divBdr>
            <w:top w:val="none" w:sz="0" w:space="0" w:color="auto"/>
            <w:left w:val="none" w:sz="0" w:space="0" w:color="auto"/>
            <w:bottom w:val="none" w:sz="0" w:space="0" w:color="auto"/>
            <w:right w:val="none" w:sz="0" w:space="0" w:color="auto"/>
          </w:divBdr>
          <w:divsChild>
            <w:div w:id="911278194">
              <w:marLeft w:val="0"/>
              <w:marRight w:val="0"/>
              <w:marTop w:val="0"/>
              <w:marBottom w:val="0"/>
              <w:divBdr>
                <w:top w:val="none" w:sz="0" w:space="0" w:color="auto"/>
                <w:left w:val="none" w:sz="0" w:space="0" w:color="auto"/>
                <w:bottom w:val="none" w:sz="0" w:space="0" w:color="auto"/>
                <w:right w:val="none" w:sz="0" w:space="0" w:color="auto"/>
              </w:divBdr>
            </w:div>
          </w:divsChild>
        </w:div>
        <w:div w:id="193885232">
          <w:marLeft w:val="0"/>
          <w:marRight w:val="0"/>
          <w:marTop w:val="0"/>
          <w:marBottom w:val="0"/>
          <w:divBdr>
            <w:top w:val="none" w:sz="0" w:space="0" w:color="auto"/>
            <w:left w:val="none" w:sz="0" w:space="0" w:color="auto"/>
            <w:bottom w:val="none" w:sz="0" w:space="0" w:color="auto"/>
            <w:right w:val="none" w:sz="0" w:space="0" w:color="auto"/>
          </w:divBdr>
          <w:divsChild>
            <w:div w:id="1523663750">
              <w:marLeft w:val="0"/>
              <w:marRight w:val="0"/>
              <w:marTop w:val="0"/>
              <w:marBottom w:val="0"/>
              <w:divBdr>
                <w:top w:val="none" w:sz="0" w:space="0" w:color="auto"/>
                <w:left w:val="none" w:sz="0" w:space="0" w:color="auto"/>
                <w:bottom w:val="none" w:sz="0" w:space="0" w:color="auto"/>
                <w:right w:val="none" w:sz="0" w:space="0" w:color="auto"/>
              </w:divBdr>
            </w:div>
          </w:divsChild>
        </w:div>
        <w:div w:id="199170402">
          <w:marLeft w:val="0"/>
          <w:marRight w:val="0"/>
          <w:marTop w:val="0"/>
          <w:marBottom w:val="0"/>
          <w:divBdr>
            <w:top w:val="none" w:sz="0" w:space="0" w:color="auto"/>
            <w:left w:val="none" w:sz="0" w:space="0" w:color="auto"/>
            <w:bottom w:val="none" w:sz="0" w:space="0" w:color="auto"/>
            <w:right w:val="none" w:sz="0" w:space="0" w:color="auto"/>
          </w:divBdr>
          <w:divsChild>
            <w:div w:id="698049320">
              <w:marLeft w:val="0"/>
              <w:marRight w:val="0"/>
              <w:marTop w:val="0"/>
              <w:marBottom w:val="0"/>
              <w:divBdr>
                <w:top w:val="none" w:sz="0" w:space="0" w:color="auto"/>
                <w:left w:val="none" w:sz="0" w:space="0" w:color="auto"/>
                <w:bottom w:val="none" w:sz="0" w:space="0" w:color="auto"/>
                <w:right w:val="none" w:sz="0" w:space="0" w:color="auto"/>
              </w:divBdr>
            </w:div>
          </w:divsChild>
        </w:div>
        <w:div w:id="202716840">
          <w:marLeft w:val="0"/>
          <w:marRight w:val="0"/>
          <w:marTop w:val="0"/>
          <w:marBottom w:val="0"/>
          <w:divBdr>
            <w:top w:val="none" w:sz="0" w:space="0" w:color="auto"/>
            <w:left w:val="none" w:sz="0" w:space="0" w:color="auto"/>
            <w:bottom w:val="none" w:sz="0" w:space="0" w:color="auto"/>
            <w:right w:val="none" w:sz="0" w:space="0" w:color="auto"/>
          </w:divBdr>
          <w:divsChild>
            <w:div w:id="1047023612">
              <w:marLeft w:val="0"/>
              <w:marRight w:val="0"/>
              <w:marTop w:val="0"/>
              <w:marBottom w:val="0"/>
              <w:divBdr>
                <w:top w:val="none" w:sz="0" w:space="0" w:color="auto"/>
                <w:left w:val="none" w:sz="0" w:space="0" w:color="auto"/>
                <w:bottom w:val="none" w:sz="0" w:space="0" w:color="auto"/>
                <w:right w:val="none" w:sz="0" w:space="0" w:color="auto"/>
              </w:divBdr>
            </w:div>
          </w:divsChild>
        </w:div>
        <w:div w:id="214048262">
          <w:marLeft w:val="0"/>
          <w:marRight w:val="0"/>
          <w:marTop w:val="0"/>
          <w:marBottom w:val="0"/>
          <w:divBdr>
            <w:top w:val="none" w:sz="0" w:space="0" w:color="auto"/>
            <w:left w:val="none" w:sz="0" w:space="0" w:color="auto"/>
            <w:bottom w:val="none" w:sz="0" w:space="0" w:color="auto"/>
            <w:right w:val="none" w:sz="0" w:space="0" w:color="auto"/>
          </w:divBdr>
          <w:divsChild>
            <w:div w:id="628513175">
              <w:marLeft w:val="0"/>
              <w:marRight w:val="0"/>
              <w:marTop w:val="0"/>
              <w:marBottom w:val="0"/>
              <w:divBdr>
                <w:top w:val="none" w:sz="0" w:space="0" w:color="auto"/>
                <w:left w:val="none" w:sz="0" w:space="0" w:color="auto"/>
                <w:bottom w:val="none" w:sz="0" w:space="0" w:color="auto"/>
                <w:right w:val="none" w:sz="0" w:space="0" w:color="auto"/>
              </w:divBdr>
            </w:div>
          </w:divsChild>
        </w:div>
        <w:div w:id="219177091">
          <w:marLeft w:val="0"/>
          <w:marRight w:val="0"/>
          <w:marTop w:val="0"/>
          <w:marBottom w:val="0"/>
          <w:divBdr>
            <w:top w:val="none" w:sz="0" w:space="0" w:color="auto"/>
            <w:left w:val="none" w:sz="0" w:space="0" w:color="auto"/>
            <w:bottom w:val="none" w:sz="0" w:space="0" w:color="auto"/>
            <w:right w:val="none" w:sz="0" w:space="0" w:color="auto"/>
          </w:divBdr>
          <w:divsChild>
            <w:div w:id="970987565">
              <w:marLeft w:val="0"/>
              <w:marRight w:val="0"/>
              <w:marTop w:val="0"/>
              <w:marBottom w:val="0"/>
              <w:divBdr>
                <w:top w:val="none" w:sz="0" w:space="0" w:color="auto"/>
                <w:left w:val="none" w:sz="0" w:space="0" w:color="auto"/>
                <w:bottom w:val="none" w:sz="0" w:space="0" w:color="auto"/>
                <w:right w:val="none" w:sz="0" w:space="0" w:color="auto"/>
              </w:divBdr>
            </w:div>
          </w:divsChild>
        </w:div>
        <w:div w:id="227572776">
          <w:marLeft w:val="0"/>
          <w:marRight w:val="0"/>
          <w:marTop w:val="0"/>
          <w:marBottom w:val="0"/>
          <w:divBdr>
            <w:top w:val="none" w:sz="0" w:space="0" w:color="auto"/>
            <w:left w:val="none" w:sz="0" w:space="0" w:color="auto"/>
            <w:bottom w:val="none" w:sz="0" w:space="0" w:color="auto"/>
            <w:right w:val="none" w:sz="0" w:space="0" w:color="auto"/>
          </w:divBdr>
          <w:divsChild>
            <w:div w:id="1324430720">
              <w:marLeft w:val="0"/>
              <w:marRight w:val="0"/>
              <w:marTop w:val="0"/>
              <w:marBottom w:val="0"/>
              <w:divBdr>
                <w:top w:val="none" w:sz="0" w:space="0" w:color="auto"/>
                <w:left w:val="none" w:sz="0" w:space="0" w:color="auto"/>
                <w:bottom w:val="none" w:sz="0" w:space="0" w:color="auto"/>
                <w:right w:val="none" w:sz="0" w:space="0" w:color="auto"/>
              </w:divBdr>
            </w:div>
          </w:divsChild>
        </w:div>
        <w:div w:id="261229088">
          <w:marLeft w:val="0"/>
          <w:marRight w:val="0"/>
          <w:marTop w:val="0"/>
          <w:marBottom w:val="0"/>
          <w:divBdr>
            <w:top w:val="none" w:sz="0" w:space="0" w:color="auto"/>
            <w:left w:val="none" w:sz="0" w:space="0" w:color="auto"/>
            <w:bottom w:val="none" w:sz="0" w:space="0" w:color="auto"/>
            <w:right w:val="none" w:sz="0" w:space="0" w:color="auto"/>
          </w:divBdr>
          <w:divsChild>
            <w:div w:id="117997464">
              <w:marLeft w:val="0"/>
              <w:marRight w:val="0"/>
              <w:marTop w:val="0"/>
              <w:marBottom w:val="0"/>
              <w:divBdr>
                <w:top w:val="none" w:sz="0" w:space="0" w:color="auto"/>
                <w:left w:val="none" w:sz="0" w:space="0" w:color="auto"/>
                <w:bottom w:val="none" w:sz="0" w:space="0" w:color="auto"/>
                <w:right w:val="none" w:sz="0" w:space="0" w:color="auto"/>
              </w:divBdr>
            </w:div>
          </w:divsChild>
        </w:div>
        <w:div w:id="276177297">
          <w:marLeft w:val="0"/>
          <w:marRight w:val="0"/>
          <w:marTop w:val="0"/>
          <w:marBottom w:val="0"/>
          <w:divBdr>
            <w:top w:val="none" w:sz="0" w:space="0" w:color="auto"/>
            <w:left w:val="none" w:sz="0" w:space="0" w:color="auto"/>
            <w:bottom w:val="none" w:sz="0" w:space="0" w:color="auto"/>
            <w:right w:val="none" w:sz="0" w:space="0" w:color="auto"/>
          </w:divBdr>
          <w:divsChild>
            <w:div w:id="1586959939">
              <w:marLeft w:val="0"/>
              <w:marRight w:val="0"/>
              <w:marTop w:val="0"/>
              <w:marBottom w:val="0"/>
              <w:divBdr>
                <w:top w:val="none" w:sz="0" w:space="0" w:color="auto"/>
                <w:left w:val="none" w:sz="0" w:space="0" w:color="auto"/>
                <w:bottom w:val="none" w:sz="0" w:space="0" w:color="auto"/>
                <w:right w:val="none" w:sz="0" w:space="0" w:color="auto"/>
              </w:divBdr>
            </w:div>
          </w:divsChild>
        </w:div>
        <w:div w:id="313340849">
          <w:marLeft w:val="0"/>
          <w:marRight w:val="0"/>
          <w:marTop w:val="0"/>
          <w:marBottom w:val="0"/>
          <w:divBdr>
            <w:top w:val="none" w:sz="0" w:space="0" w:color="auto"/>
            <w:left w:val="none" w:sz="0" w:space="0" w:color="auto"/>
            <w:bottom w:val="none" w:sz="0" w:space="0" w:color="auto"/>
            <w:right w:val="none" w:sz="0" w:space="0" w:color="auto"/>
          </w:divBdr>
          <w:divsChild>
            <w:div w:id="1528835266">
              <w:marLeft w:val="0"/>
              <w:marRight w:val="0"/>
              <w:marTop w:val="0"/>
              <w:marBottom w:val="0"/>
              <w:divBdr>
                <w:top w:val="none" w:sz="0" w:space="0" w:color="auto"/>
                <w:left w:val="none" w:sz="0" w:space="0" w:color="auto"/>
                <w:bottom w:val="none" w:sz="0" w:space="0" w:color="auto"/>
                <w:right w:val="none" w:sz="0" w:space="0" w:color="auto"/>
              </w:divBdr>
            </w:div>
          </w:divsChild>
        </w:div>
        <w:div w:id="324210729">
          <w:marLeft w:val="0"/>
          <w:marRight w:val="0"/>
          <w:marTop w:val="0"/>
          <w:marBottom w:val="0"/>
          <w:divBdr>
            <w:top w:val="none" w:sz="0" w:space="0" w:color="auto"/>
            <w:left w:val="none" w:sz="0" w:space="0" w:color="auto"/>
            <w:bottom w:val="none" w:sz="0" w:space="0" w:color="auto"/>
            <w:right w:val="none" w:sz="0" w:space="0" w:color="auto"/>
          </w:divBdr>
          <w:divsChild>
            <w:div w:id="1542286464">
              <w:marLeft w:val="0"/>
              <w:marRight w:val="0"/>
              <w:marTop w:val="0"/>
              <w:marBottom w:val="0"/>
              <w:divBdr>
                <w:top w:val="none" w:sz="0" w:space="0" w:color="auto"/>
                <w:left w:val="none" w:sz="0" w:space="0" w:color="auto"/>
                <w:bottom w:val="none" w:sz="0" w:space="0" w:color="auto"/>
                <w:right w:val="none" w:sz="0" w:space="0" w:color="auto"/>
              </w:divBdr>
            </w:div>
          </w:divsChild>
        </w:div>
        <w:div w:id="332877717">
          <w:marLeft w:val="0"/>
          <w:marRight w:val="0"/>
          <w:marTop w:val="0"/>
          <w:marBottom w:val="0"/>
          <w:divBdr>
            <w:top w:val="none" w:sz="0" w:space="0" w:color="auto"/>
            <w:left w:val="none" w:sz="0" w:space="0" w:color="auto"/>
            <w:bottom w:val="none" w:sz="0" w:space="0" w:color="auto"/>
            <w:right w:val="none" w:sz="0" w:space="0" w:color="auto"/>
          </w:divBdr>
          <w:divsChild>
            <w:div w:id="1937244728">
              <w:marLeft w:val="0"/>
              <w:marRight w:val="0"/>
              <w:marTop w:val="0"/>
              <w:marBottom w:val="0"/>
              <w:divBdr>
                <w:top w:val="none" w:sz="0" w:space="0" w:color="auto"/>
                <w:left w:val="none" w:sz="0" w:space="0" w:color="auto"/>
                <w:bottom w:val="none" w:sz="0" w:space="0" w:color="auto"/>
                <w:right w:val="none" w:sz="0" w:space="0" w:color="auto"/>
              </w:divBdr>
            </w:div>
          </w:divsChild>
        </w:div>
        <w:div w:id="341470637">
          <w:marLeft w:val="0"/>
          <w:marRight w:val="0"/>
          <w:marTop w:val="0"/>
          <w:marBottom w:val="0"/>
          <w:divBdr>
            <w:top w:val="none" w:sz="0" w:space="0" w:color="auto"/>
            <w:left w:val="none" w:sz="0" w:space="0" w:color="auto"/>
            <w:bottom w:val="none" w:sz="0" w:space="0" w:color="auto"/>
            <w:right w:val="none" w:sz="0" w:space="0" w:color="auto"/>
          </w:divBdr>
          <w:divsChild>
            <w:div w:id="1893998394">
              <w:marLeft w:val="0"/>
              <w:marRight w:val="0"/>
              <w:marTop w:val="0"/>
              <w:marBottom w:val="0"/>
              <w:divBdr>
                <w:top w:val="none" w:sz="0" w:space="0" w:color="auto"/>
                <w:left w:val="none" w:sz="0" w:space="0" w:color="auto"/>
                <w:bottom w:val="none" w:sz="0" w:space="0" w:color="auto"/>
                <w:right w:val="none" w:sz="0" w:space="0" w:color="auto"/>
              </w:divBdr>
            </w:div>
          </w:divsChild>
        </w:div>
        <w:div w:id="418258167">
          <w:marLeft w:val="0"/>
          <w:marRight w:val="0"/>
          <w:marTop w:val="0"/>
          <w:marBottom w:val="0"/>
          <w:divBdr>
            <w:top w:val="none" w:sz="0" w:space="0" w:color="auto"/>
            <w:left w:val="none" w:sz="0" w:space="0" w:color="auto"/>
            <w:bottom w:val="none" w:sz="0" w:space="0" w:color="auto"/>
            <w:right w:val="none" w:sz="0" w:space="0" w:color="auto"/>
          </w:divBdr>
          <w:divsChild>
            <w:div w:id="1456945547">
              <w:marLeft w:val="0"/>
              <w:marRight w:val="0"/>
              <w:marTop w:val="0"/>
              <w:marBottom w:val="0"/>
              <w:divBdr>
                <w:top w:val="none" w:sz="0" w:space="0" w:color="auto"/>
                <w:left w:val="none" w:sz="0" w:space="0" w:color="auto"/>
                <w:bottom w:val="none" w:sz="0" w:space="0" w:color="auto"/>
                <w:right w:val="none" w:sz="0" w:space="0" w:color="auto"/>
              </w:divBdr>
            </w:div>
          </w:divsChild>
        </w:div>
        <w:div w:id="419906766">
          <w:marLeft w:val="0"/>
          <w:marRight w:val="0"/>
          <w:marTop w:val="0"/>
          <w:marBottom w:val="0"/>
          <w:divBdr>
            <w:top w:val="none" w:sz="0" w:space="0" w:color="auto"/>
            <w:left w:val="none" w:sz="0" w:space="0" w:color="auto"/>
            <w:bottom w:val="none" w:sz="0" w:space="0" w:color="auto"/>
            <w:right w:val="none" w:sz="0" w:space="0" w:color="auto"/>
          </w:divBdr>
          <w:divsChild>
            <w:div w:id="75589096">
              <w:marLeft w:val="0"/>
              <w:marRight w:val="0"/>
              <w:marTop w:val="0"/>
              <w:marBottom w:val="0"/>
              <w:divBdr>
                <w:top w:val="none" w:sz="0" w:space="0" w:color="auto"/>
                <w:left w:val="none" w:sz="0" w:space="0" w:color="auto"/>
                <w:bottom w:val="none" w:sz="0" w:space="0" w:color="auto"/>
                <w:right w:val="none" w:sz="0" w:space="0" w:color="auto"/>
              </w:divBdr>
            </w:div>
          </w:divsChild>
        </w:div>
        <w:div w:id="441846732">
          <w:marLeft w:val="0"/>
          <w:marRight w:val="0"/>
          <w:marTop w:val="0"/>
          <w:marBottom w:val="0"/>
          <w:divBdr>
            <w:top w:val="none" w:sz="0" w:space="0" w:color="auto"/>
            <w:left w:val="none" w:sz="0" w:space="0" w:color="auto"/>
            <w:bottom w:val="none" w:sz="0" w:space="0" w:color="auto"/>
            <w:right w:val="none" w:sz="0" w:space="0" w:color="auto"/>
          </w:divBdr>
          <w:divsChild>
            <w:div w:id="1213880126">
              <w:marLeft w:val="0"/>
              <w:marRight w:val="0"/>
              <w:marTop w:val="0"/>
              <w:marBottom w:val="0"/>
              <w:divBdr>
                <w:top w:val="none" w:sz="0" w:space="0" w:color="auto"/>
                <w:left w:val="none" w:sz="0" w:space="0" w:color="auto"/>
                <w:bottom w:val="none" w:sz="0" w:space="0" w:color="auto"/>
                <w:right w:val="none" w:sz="0" w:space="0" w:color="auto"/>
              </w:divBdr>
            </w:div>
          </w:divsChild>
        </w:div>
        <w:div w:id="453137563">
          <w:marLeft w:val="0"/>
          <w:marRight w:val="0"/>
          <w:marTop w:val="0"/>
          <w:marBottom w:val="0"/>
          <w:divBdr>
            <w:top w:val="none" w:sz="0" w:space="0" w:color="auto"/>
            <w:left w:val="none" w:sz="0" w:space="0" w:color="auto"/>
            <w:bottom w:val="none" w:sz="0" w:space="0" w:color="auto"/>
            <w:right w:val="none" w:sz="0" w:space="0" w:color="auto"/>
          </w:divBdr>
          <w:divsChild>
            <w:div w:id="56562907">
              <w:marLeft w:val="0"/>
              <w:marRight w:val="0"/>
              <w:marTop w:val="0"/>
              <w:marBottom w:val="0"/>
              <w:divBdr>
                <w:top w:val="none" w:sz="0" w:space="0" w:color="auto"/>
                <w:left w:val="none" w:sz="0" w:space="0" w:color="auto"/>
                <w:bottom w:val="none" w:sz="0" w:space="0" w:color="auto"/>
                <w:right w:val="none" w:sz="0" w:space="0" w:color="auto"/>
              </w:divBdr>
            </w:div>
          </w:divsChild>
        </w:div>
        <w:div w:id="464659779">
          <w:marLeft w:val="0"/>
          <w:marRight w:val="0"/>
          <w:marTop w:val="0"/>
          <w:marBottom w:val="0"/>
          <w:divBdr>
            <w:top w:val="none" w:sz="0" w:space="0" w:color="auto"/>
            <w:left w:val="none" w:sz="0" w:space="0" w:color="auto"/>
            <w:bottom w:val="none" w:sz="0" w:space="0" w:color="auto"/>
            <w:right w:val="none" w:sz="0" w:space="0" w:color="auto"/>
          </w:divBdr>
          <w:divsChild>
            <w:div w:id="1788233834">
              <w:marLeft w:val="0"/>
              <w:marRight w:val="0"/>
              <w:marTop w:val="0"/>
              <w:marBottom w:val="0"/>
              <w:divBdr>
                <w:top w:val="none" w:sz="0" w:space="0" w:color="auto"/>
                <w:left w:val="none" w:sz="0" w:space="0" w:color="auto"/>
                <w:bottom w:val="none" w:sz="0" w:space="0" w:color="auto"/>
                <w:right w:val="none" w:sz="0" w:space="0" w:color="auto"/>
              </w:divBdr>
            </w:div>
          </w:divsChild>
        </w:div>
        <w:div w:id="480728838">
          <w:marLeft w:val="0"/>
          <w:marRight w:val="0"/>
          <w:marTop w:val="0"/>
          <w:marBottom w:val="0"/>
          <w:divBdr>
            <w:top w:val="none" w:sz="0" w:space="0" w:color="auto"/>
            <w:left w:val="none" w:sz="0" w:space="0" w:color="auto"/>
            <w:bottom w:val="none" w:sz="0" w:space="0" w:color="auto"/>
            <w:right w:val="none" w:sz="0" w:space="0" w:color="auto"/>
          </w:divBdr>
          <w:divsChild>
            <w:div w:id="1885018581">
              <w:marLeft w:val="0"/>
              <w:marRight w:val="0"/>
              <w:marTop w:val="0"/>
              <w:marBottom w:val="0"/>
              <w:divBdr>
                <w:top w:val="none" w:sz="0" w:space="0" w:color="auto"/>
                <w:left w:val="none" w:sz="0" w:space="0" w:color="auto"/>
                <w:bottom w:val="none" w:sz="0" w:space="0" w:color="auto"/>
                <w:right w:val="none" w:sz="0" w:space="0" w:color="auto"/>
              </w:divBdr>
            </w:div>
          </w:divsChild>
        </w:div>
        <w:div w:id="531308170">
          <w:marLeft w:val="0"/>
          <w:marRight w:val="0"/>
          <w:marTop w:val="0"/>
          <w:marBottom w:val="0"/>
          <w:divBdr>
            <w:top w:val="none" w:sz="0" w:space="0" w:color="auto"/>
            <w:left w:val="none" w:sz="0" w:space="0" w:color="auto"/>
            <w:bottom w:val="none" w:sz="0" w:space="0" w:color="auto"/>
            <w:right w:val="none" w:sz="0" w:space="0" w:color="auto"/>
          </w:divBdr>
          <w:divsChild>
            <w:div w:id="409236138">
              <w:marLeft w:val="0"/>
              <w:marRight w:val="0"/>
              <w:marTop w:val="0"/>
              <w:marBottom w:val="0"/>
              <w:divBdr>
                <w:top w:val="none" w:sz="0" w:space="0" w:color="auto"/>
                <w:left w:val="none" w:sz="0" w:space="0" w:color="auto"/>
                <w:bottom w:val="none" w:sz="0" w:space="0" w:color="auto"/>
                <w:right w:val="none" w:sz="0" w:space="0" w:color="auto"/>
              </w:divBdr>
            </w:div>
          </w:divsChild>
        </w:div>
        <w:div w:id="531655950">
          <w:marLeft w:val="0"/>
          <w:marRight w:val="0"/>
          <w:marTop w:val="0"/>
          <w:marBottom w:val="0"/>
          <w:divBdr>
            <w:top w:val="none" w:sz="0" w:space="0" w:color="auto"/>
            <w:left w:val="none" w:sz="0" w:space="0" w:color="auto"/>
            <w:bottom w:val="none" w:sz="0" w:space="0" w:color="auto"/>
            <w:right w:val="none" w:sz="0" w:space="0" w:color="auto"/>
          </w:divBdr>
          <w:divsChild>
            <w:div w:id="195239412">
              <w:marLeft w:val="0"/>
              <w:marRight w:val="0"/>
              <w:marTop w:val="0"/>
              <w:marBottom w:val="0"/>
              <w:divBdr>
                <w:top w:val="none" w:sz="0" w:space="0" w:color="auto"/>
                <w:left w:val="none" w:sz="0" w:space="0" w:color="auto"/>
                <w:bottom w:val="none" w:sz="0" w:space="0" w:color="auto"/>
                <w:right w:val="none" w:sz="0" w:space="0" w:color="auto"/>
              </w:divBdr>
            </w:div>
          </w:divsChild>
        </w:div>
        <w:div w:id="599683017">
          <w:marLeft w:val="0"/>
          <w:marRight w:val="0"/>
          <w:marTop w:val="0"/>
          <w:marBottom w:val="0"/>
          <w:divBdr>
            <w:top w:val="none" w:sz="0" w:space="0" w:color="auto"/>
            <w:left w:val="none" w:sz="0" w:space="0" w:color="auto"/>
            <w:bottom w:val="none" w:sz="0" w:space="0" w:color="auto"/>
            <w:right w:val="none" w:sz="0" w:space="0" w:color="auto"/>
          </w:divBdr>
          <w:divsChild>
            <w:div w:id="1494879454">
              <w:marLeft w:val="0"/>
              <w:marRight w:val="0"/>
              <w:marTop w:val="0"/>
              <w:marBottom w:val="0"/>
              <w:divBdr>
                <w:top w:val="none" w:sz="0" w:space="0" w:color="auto"/>
                <w:left w:val="none" w:sz="0" w:space="0" w:color="auto"/>
                <w:bottom w:val="none" w:sz="0" w:space="0" w:color="auto"/>
                <w:right w:val="none" w:sz="0" w:space="0" w:color="auto"/>
              </w:divBdr>
            </w:div>
          </w:divsChild>
        </w:div>
        <w:div w:id="605039006">
          <w:marLeft w:val="0"/>
          <w:marRight w:val="0"/>
          <w:marTop w:val="0"/>
          <w:marBottom w:val="0"/>
          <w:divBdr>
            <w:top w:val="none" w:sz="0" w:space="0" w:color="auto"/>
            <w:left w:val="none" w:sz="0" w:space="0" w:color="auto"/>
            <w:bottom w:val="none" w:sz="0" w:space="0" w:color="auto"/>
            <w:right w:val="none" w:sz="0" w:space="0" w:color="auto"/>
          </w:divBdr>
          <w:divsChild>
            <w:div w:id="1054550960">
              <w:marLeft w:val="0"/>
              <w:marRight w:val="0"/>
              <w:marTop w:val="0"/>
              <w:marBottom w:val="0"/>
              <w:divBdr>
                <w:top w:val="none" w:sz="0" w:space="0" w:color="auto"/>
                <w:left w:val="none" w:sz="0" w:space="0" w:color="auto"/>
                <w:bottom w:val="none" w:sz="0" w:space="0" w:color="auto"/>
                <w:right w:val="none" w:sz="0" w:space="0" w:color="auto"/>
              </w:divBdr>
            </w:div>
          </w:divsChild>
        </w:div>
        <w:div w:id="621765076">
          <w:marLeft w:val="0"/>
          <w:marRight w:val="0"/>
          <w:marTop w:val="0"/>
          <w:marBottom w:val="0"/>
          <w:divBdr>
            <w:top w:val="none" w:sz="0" w:space="0" w:color="auto"/>
            <w:left w:val="none" w:sz="0" w:space="0" w:color="auto"/>
            <w:bottom w:val="none" w:sz="0" w:space="0" w:color="auto"/>
            <w:right w:val="none" w:sz="0" w:space="0" w:color="auto"/>
          </w:divBdr>
          <w:divsChild>
            <w:div w:id="317879725">
              <w:marLeft w:val="0"/>
              <w:marRight w:val="0"/>
              <w:marTop w:val="0"/>
              <w:marBottom w:val="0"/>
              <w:divBdr>
                <w:top w:val="none" w:sz="0" w:space="0" w:color="auto"/>
                <w:left w:val="none" w:sz="0" w:space="0" w:color="auto"/>
                <w:bottom w:val="none" w:sz="0" w:space="0" w:color="auto"/>
                <w:right w:val="none" w:sz="0" w:space="0" w:color="auto"/>
              </w:divBdr>
            </w:div>
          </w:divsChild>
        </w:div>
        <w:div w:id="631668513">
          <w:marLeft w:val="0"/>
          <w:marRight w:val="0"/>
          <w:marTop w:val="0"/>
          <w:marBottom w:val="0"/>
          <w:divBdr>
            <w:top w:val="none" w:sz="0" w:space="0" w:color="auto"/>
            <w:left w:val="none" w:sz="0" w:space="0" w:color="auto"/>
            <w:bottom w:val="none" w:sz="0" w:space="0" w:color="auto"/>
            <w:right w:val="none" w:sz="0" w:space="0" w:color="auto"/>
          </w:divBdr>
          <w:divsChild>
            <w:div w:id="528571810">
              <w:marLeft w:val="0"/>
              <w:marRight w:val="0"/>
              <w:marTop w:val="0"/>
              <w:marBottom w:val="0"/>
              <w:divBdr>
                <w:top w:val="none" w:sz="0" w:space="0" w:color="auto"/>
                <w:left w:val="none" w:sz="0" w:space="0" w:color="auto"/>
                <w:bottom w:val="none" w:sz="0" w:space="0" w:color="auto"/>
                <w:right w:val="none" w:sz="0" w:space="0" w:color="auto"/>
              </w:divBdr>
            </w:div>
          </w:divsChild>
        </w:div>
        <w:div w:id="632322685">
          <w:marLeft w:val="0"/>
          <w:marRight w:val="0"/>
          <w:marTop w:val="0"/>
          <w:marBottom w:val="0"/>
          <w:divBdr>
            <w:top w:val="none" w:sz="0" w:space="0" w:color="auto"/>
            <w:left w:val="none" w:sz="0" w:space="0" w:color="auto"/>
            <w:bottom w:val="none" w:sz="0" w:space="0" w:color="auto"/>
            <w:right w:val="none" w:sz="0" w:space="0" w:color="auto"/>
          </w:divBdr>
          <w:divsChild>
            <w:div w:id="2103597864">
              <w:marLeft w:val="0"/>
              <w:marRight w:val="0"/>
              <w:marTop w:val="0"/>
              <w:marBottom w:val="0"/>
              <w:divBdr>
                <w:top w:val="none" w:sz="0" w:space="0" w:color="auto"/>
                <w:left w:val="none" w:sz="0" w:space="0" w:color="auto"/>
                <w:bottom w:val="none" w:sz="0" w:space="0" w:color="auto"/>
                <w:right w:val="none" w:sz="0" w:space="0" w:color="auto"/>
              </w:divBdr>
            </w:div>
          </w:divsChild>
        </w:div>
        <w:div w:id="634530519">
          <w:marLeft w:val="0"/>
          <w:marRight w:val="0"/>
          <w:marTop w:val="0"/>
          <w:marBottom w:val="0"/>
          <w:divBdr>
            <w:top w:val="none" w:sz="0" w:space="0" w:color="auto"/>
            <w:left w:val="none" w:sz="0" w:space="0" w:color="auto"/>
            <w:bottom w:val="none" w:sz="0" w:space="0" w:color="auto"/>
            <w:right w:val="none" w:sz="0" w:space="0" w:color="auto"/>
          </w:divBdr>
          <w:divsChild>
            <w:div w:id="1362508571">
              <w:marLeft w:val="0"/>
              <w:marRight w:val="0"/>
              <w:marTop w:val="0"/>
              <w:marBottom w:val="0"/>
              <w:divBdr>
                <w:top w:val="none" w:sz="0" w:space="0" w:color="auto"/>
                <w:left w:val="none" w:sz="0" w:space="0" w:color="auto"/>
                <w:bottom w:val="none" w:sz="0" w:space="0" w:color="auto"/>
                <w:right w:val="none" w:sz="0" w:space="0" w:color="auto"/>
              </w:divBdr>
            </w:div>
          </w:divsChild>
        </w:div>
        <w:div w:id="654770802">
          <w:marLeft w:val="0"/>
          <w:marRight w:val="0"/>
          <w:marTop w:val="0"/>
          <w:marBottom w:val="0"/>
          <w:divBdr>
            <w:top w:val="none" w:sz="0" w:space="0" w:color="auto"/>
            <w:left w:val="none" w:sz="0" w:space="0" w:color="auto"/>
            <w:bottom w:val="none" w:sz="0" w:space="0" w:color="auto"/>
            <w:right w:val="none" w:sz="0" w:space="0" w:color="auto"/>
          </w:divBdr>
          <w:divsChild>
            <w:div w:id="683871507">
              <w:marLeft w:val="0"/>
              <w:marRight w:val="0"/>
              <w:marTop w:val="0"/>
              <w:marBottom w:val="0"/>
              <w:divBdr>
                <w:top w:val="none" w:sz="0" w:space="0" w:color="auto"/>
                <w:left w:val="none" w:sz="0" w:space="0" w:color="auto"/>
                <w:bottom w:val="none" w:sz="0" w:space="0" w:color="auto"/>
                <w:right w:val="none" w:sz="0" w:space="0" w:color="auto"/>
              </w:divBdr>
            </w:div>
          </w:divsChild>
        </w:div>
        <w:div w:id="717625052">
          <w:marLeft w:val="0"/>
          <w:marRight w:val="0"/>
          <w:marTop w:val="0"/>
          <w:marBottom w:val="0"/>
          <w:divBdr>
            <w:top w:val="none" w:sz="0" w:space="0" w:color="auto"/>
            <w:left w:val="none" w:sz="0" w:space="0" w:color="auto"/>
            <w:bottom w:val="none" w:sz="0" w:space="0" w:color="auto"/>
            <w:right w:val="none" w:sz="0" w:space="0" w:color="auto"/>
          </w:divBdr>
          <w:divsChild>
            <w:div w:id="685014329">
              <w:marLeft w:val="0"/>
              <w:marRight w:val="0"/>
              <w:marTop w:val="0"/>
              <w:marBottom w:val="0"/>
              <w:divBdr>
                <w:top w:val="none" w:sz="0" w:space="0" w:color="auto"/>
                <w:left w:val="none" w:sz="0" w:space="0" w:color="auto"/>
                <w:bottom w:val="none" w:sz="0" w:space="0" w:color="auto"/>
                <w:right w:val="none" w:sz="0" w:space="0" w:color="auto"/>
              </w:divBdr>
            </w:div>
          </w:divsChild>
        </w:div>
        <w:div w:id="738013572">
          <w:marLeft w:val="0"/>
          <w:marRight w:val="0"/>
          <w:marTop w:val="0"/>
          <w:marBottom w:val="0"/>
          <w:divBdr>
            <w:top w:val="none" w:sz="0" w:space="0" w:color="auto"/>
            <w:left w:val="none" w:sz="0" w:space="0" w:color="auto"/>
            <w:bottom w:val="none" w:sz="0" w:space="0" w:color="auto"/>
            <w:right w:val="none" w:sz="0" w:space="0" w:color="auto"/>
          </w:divBdr>
          <w:divsChild>
            <w:div w:id="1324435038">
              <w:marLeft w:val="0"/>
              <w:marRight w:val="0"/>
              <w:marTop w:val="0"/>
              <w:marBottom w:val="0"/>
              <w:divBdr>
                <w:top w:val="none" w:sz="0" w:space="0" w:color="auto"/>
                <w:left w:val="none" w:sz="0" w:space="0" w:color="auto"/>
                <w:bottom w:val="none" w:sz="0" w:space="0" w:color="auto"/>
                <w:right w:val="none" w:sz="0" w:space="0" w:color="auto"/>
              </w:divBdr>
            </w:div>
          </w:divsChild>
        </w:div>
        <w:div w:id="790630867">
          <w:marLeft w:val="0"/>
          <w:marRight w:val="0"/>
          <w:marTop w:val="0"/>
          <w:marBottom w:val="0"/>
          <w:divBdr>
            <w:top w:val="none" w:sz="0" w:space="0" w:color="auto"/>
            <w:left w:val="none" w:sz="0" w:space="0" w:color="auto"/>
            <w:bottom w:val="none" w:sz="0" w:space="0" w:color="auto"/>
            <w:right w:val="none" w:sz="0" w:space="0" w:color="auto"/>
          </w:divBdr>
          <w:divsChild>
            <w:div w:id="158472645">
              <w:marLeft w:val="0"/>
              <w:marRight w:val="0"/>
              <w:marTop w:val="0"/>
              <w:marBottom w:val="0"/>
              <w:divBdr>
                <w:top w:val="none" w:sz="0" w:space="0" w:color="auto"/>
                <w:left w:val="none" w:sz="0" w:space="0" w:color="auto"/>
                <w:bottom w:val="none" w:sz="0" w:space="0" w:color="auto"/>
                <w:right w:val="none" w:sz="0" w:space="0" w:color="auto"/>
              </w:divBdr>
            </w:div>
          </w:divsChild>
        </w:div>
        <w:div w:id="814643071">
          <w:marLeft w:val="0"/>
          <w:marRight w:val="0"/>
          <w:marTop w:val="0"/>
          <w:marBottom w:val="0"/>
          <w:divBdr>
            <w:top w:val="none" w:sz="0" w:space="0" w:color="auto"/>
            <w:left w:val="none" w:sz="0" w:space="0" w:color="auto"/>
            <w:bottom w:val="none" w:sz="0" w:space="0" w:color="auto"/>
            <w:right w:val="none" w:sz="0" w:space="0" w:color="auto"/>
          </w:divBdr>
          <w:divsChild>
            <w:div w:id="113212629">
              <w:marLeft w:val="0"/>
              <w:marRight w:val="0"/>
              <w:marTop w:val="0"/>
              <w:marBottom w:val="0"/>
              <w:divBdr>
                <w:top w:val="none" w:sz="0" w:space="0" w:color="auto"/>
                <w:left w:val="none" w:sz="0" w:space="0" w:color="auto"/>
                <w:bottom w:val="none" w:sz="0" w:space="0" w:color="auto"/>
                <w:right w:val="none" w:sz="0" w:space="0" w:color="auto"/>
              </w:divBdr>
            </w:div>
          </w:divsChild>
        </w:div>
        <w:div w:id="830490334">
          <w:marLeft w:val="0"/>
          <w:marRight w:val="0"/>
          <w:marTop w:val="0"/>
          <w:marBottom w:val="0"/>
          <w:divBdr>
            <w:top w:val="none" w:sz="0" w:space="0" w:color="auto"/>
            <w:left w:val="none" w:sz="0" w:space="0" w:color="auto"/>
            <w:bottom w:val="none" w:sz="0" w:space="0" w:color="auto"/>
            <w:right w:val="none" w:sz="0" w:space="0" w:color="auto"/>
          </w:divBdr>
          <w:divsChild>
            <w:div w:id="607276092">
              <w:marLeft w:val="0"/>
              <w:marRight w:val="0"/>
              <w:marTop w:val="0"/>
              <w:marBottom w:val="0"/>
              <w:divBdr>
                <w:top w:val="none" w:sz="0" w:space="0" w:color="auto"/>
                <w:left w:val="none" w:sz="0" w:space="0" w:color="auto"/>
                <w:bottom w:val="none" w:sz="0" w:space="0" w:color="auto"/>
                <w:right w:val="none" w:sz="0" w:space="0" w:color="auto"/>
              </w:divBdr>
            </w:div>
          </w:divsChild>
        </w:div>
        <w:div w:id="856846746">
          <w:marLeft w:val="0"/>
          <w:marRight w:val="0"/>
          <w:marTop w:val="0"/>
          <w:marBottom w:val="0"/>
          <w:divBdr>
            <w:top w:val="none" w:sz="0" w:space="0" w:color="auto"/>
            <w:left w:val="none" w:sz="0" w:space="0" w:color="auto"/>
            <w:bottom w:val="none" w:sz="0" w:space="0" w:color="auto"/>
            <w:right w:val="none" w:sz="0" w:space="0" w:color="auto"/>
          </w:divBdr>
          <w:divsChild>
            <w:div w:id="1543445170">
              <w:marLeft w:val="0"/>
              <w:marRight w:val="0"/>
              <w:marTop w:val="0"/>
              <w:marBottom w:val="0"/>
              <w:divBdr>
                <w:top w:val="none" w:sz="0" w:space="0" w:color="auto"/>
                <w:left w:val="none" w:sz="0" w:space="0" w:color="auto"/>
                <w:bottom w:val="none" w:sz="0" w:space="0" w:color="auto"/>
                <w:right w:val="none" w:sz="0" w:space="0" w:color="auto"/>
              </w:divBdr>
            </w:div>
          </w:divsChild>
        </w:div>
        <w:div w:id="913198044">
          <w:marLeft w:val="0"/>
          <w:marRight w:val="0"/>
          <w:marTop w:val="0"/>
          <w:marBottom w:val="0"/>
          <w:divBdr>
            <w:top w:val="none" w:sz="0" w:space="0" w:color="auto"/>
            <w:left w:val="none" w:sz="0" w:space="0" w:color="auto"/>
            <w:bottom w:val="none" w:sz="0" w:space="0" w:color="auto"/>
            <w:right w:val="none" w:sz="0" w:space="0" w:color="auto"/>
          </w:divBdr>
          <w:divsChild>
            <w:div w:id="678310537">
              <w:marLeft w:val="0"/>
              <w:marRight w:val="0"/>
              <w:marTop w:val="0"/>
              <w:marBottom w:val="0"/>
              <w:divBdr>
                <w:top w:val="none" w:sz="0" w:space="0" w:color="auto"/>
                <w:left w:val="none" w:sz="0" w:space="0" w:color="auto"/>
                <w:bottom w:val="none" w:sz="0" w:space="0" w:color="auto"/>
                <w:right w:val="none" w:sz="0" w:space="0" w:color="auto"/>
              </w:divBdr>
            </w:div>
          </w:divsChild>
        </w:div>
        <w:div w:id="942303950">
          <w:marLeft w:val="0"/>
          <w:marRight w:val="0"/>
          <w:marTop w:val="0"/>
          <w:marBottom w:val="0"/>
          <w:divBdr>
            <w:top w:val="none" w:sz="0" w:space="0" w:color="auto"/>
            <w:left w:val="none" w:sz="0" w:space="0" w:color="auto"/>
            <w:bottom w:val="none" w:sz="0" w:space="0" w:color="auto"/>
            <w:right w:val="none" w:sz="0" w:space="0" w:color="auto"/>
          </w:divBdr>
          <w:divsChild>
            <w:div w:id="1539706939">
              <w:marLeft w:val="0"/>
              <w:marRight w:val="0"/>
              <w:marTop w:val="0"/>
              <w:marBottom w:val="0"/>
              <w:divBdr>
                <w:top w:val="none" w:sz="0" w:space="0" w:color="auto"/>
                <w:left w:val="none" w:sz="0" w:space="0" w:color="auto"/>
                <w:bottom w:val="none" w:sz="0" w:space="0" w:color="auto"/>
                <w:right w:val="none" w:sz="0" w:space="0" w:color="auto"/>
              </w:divBdr>
            </w:div>
          </w:divsChild>
        </w:div>
        <w:div w:id="948968502">
          <w:marLeft w:val="0"/>
          <w:marRight w:val="0"/>
          <w:marTop w:val="0"/>
          <w:marBottom w:val="0"/>
          <w:divBdr>
            <w:top w:val="none" w:sz="0" w:space="0" w:color="auto"/>
            <w:left w:val="none" w:sz="0" w:space="0" w:color="auto"/>
            <w:bottom w:val="none" w:sz="0" w:space="0" w:color="auto"/>
            <w:right w:val="none" w:sz="0" w:space="0" w:color="auto"/>
          </w:divBdr>
          <w:divsChild>
            <w:div w:id="1825320714">
              <w:marLeft w:val="0"/>
              <w:marRight w:val="0"/>
              <w:marTop w:val="0"/>
              <w:marBottom w:val="0"/>
              <w:divBdr>
                <w:top w:val="none" w:sz="0" w:space="0" w:color="auto"/>
                <w:left w:val="none" w:sz="0" w:space="0" w:color="auto"/>
                <w:bottom w:val="none" w:sz="0" w:space="0" w:color="auto"/>
                <w:right w:val="none" w:sz="0" w:space="0" w:color="auto"/>
              </w:divBdr>
            </w:div>
          </w:divsChild>
        </w:div>
        <w:div w:id="951863556">
          <w:marLeft w:val="0"/>
          <w:marRight w:val="0"/>
          <w:marTop w:val="0"/>
          <w:marBottom w:val="0"/>
          <w:divBdr>
            <w:top w:val="none" w:sz="0" w:space="0" w:color="auto"/>
            <w:left w:val="none" w:sz="0" w:space="0" w:color="auto"/>
            <w:bottom w:val="none" w:sz="0" w:space="0" w:color="auto"/>
            <w:right w:val="none" w:sz="0" w:space="0" w:color="auto"/>
          </w:divBdr>
          <w:divsChild>
            <w:div w:id="132067646">
              <w:marLeft w:val="0"/>
              <w:marRight w:val="0"/>
              <w:marTop w:val="0"/>
              <w:marBottom w:val="0"/>
              <w:divBdr>
                <w:top w:val="none" w:sz="0" w:space="0" w:color="auto"/>
                <w:left w:val="none" w:sz="0" w:space="0" w:color="auto"/>
                <w:bottom w:val="none" w:sz="0" w:space="0" w:color="auto"/>
                <w:right w:val="none" w:sz="0" w:space="0" w:color="auto"/>
              </w:divBdr>
            </w:div>
          </w:divsChild>
        </w:div>
        <w:div w:id="964963014">
          <w:marLeft w:val="0"/>
          <w:marRight w:val="0"/>
          <w:marTop w:val="0"/>
          <w:marBottom w:val="0"/>
          <w:divBdr>
            <w:top w:val="none" w:sz="0" w:space="0" w:color="auto"/>
            <w:left w:val="none" w:sz="0" w:space="0" w:color="auto"/>
            <w:bottom w:val="none" w:sz="0" w:space="0" w:color="auto"/>
            <w:right w:val="none" w:sz="0" w:space="0" w:color="auto"/>
          </w:divBdr>
          <w:divsChild>
            <w:div w:id="2131438920">
              <w:marLeft w:val="0"/>
              <w:marRight w:val="0"/>
              <w:marTop w:val="0"/>
              <w:marBottom w:val="0"/>
              <w:divBdr>
                <w:top w:val="none" w:sz="0" w:space="0" w:color="auto"/>
                <w:left w:val="none" w:sz="0" w:space="0" w:color="auto"/>
                <w:bottom w:val="none" w:sz="0" w:space="0" w:color="auto"/>
                <w:right w:val="none" w:sz="0" w:space="0" w:color="auto"/>
              </w:divBdr>
            </w:div>
          </w:divsChild>
        </w:div>
        <w:div w:id="967130724">
          <w:marLeft w:val="0"/>
          <w:marRight w:val="0"/>
          <w:marTop w:val="0"/>
          <w:marBottom w:val="0"/>
          <w:divBdr>
            <w:top w:val="none" w:sz="0" w:space="0" w:color="auto"/>
            <w:left w:val="none" w:sz="0" w:space="0" w:color="auto"/>
            <w:bottom w:val="none" w:sz="0" w:space="0" w:color="auto"/>
            <w:right w:val="none" w:sz="0" w:space="0" w:color="auto"/>
          </w:divBdr>
          <w:divsChild>
            <w:div w:id="442459224">
              <w:marLeft w:val="0"/>
              <w:marRight w:val="0"/>
              <w:marTop w:val="0"/>
              <w:marBottom w:val="0"/>
              <w:divBdr>
                <w:top w:val="none" w:sz="0" w:space="0" w:color="auto"/>
                <w:left w:val="none" w:sz="0" w:space="0" w:color="auto"/>
                <w:bottom w:val="none" w:sz="0" w:space="0" w:color="auto"/>
                <w:right w:val="none" w:sz="0" w:space="0" w:color="auto"/>
              </w:divBdr>
            </w:div>
          </w:divsChild>
        </w:div>
        <w:div w:id="991105615">
          <w:marLeft w:val="0"/>
          <w:marRight w:val="0"/>
          <w:marTop w:val="0"/>
          <w:marBottom w:val="0"/>
          <w:divBdr>
            <w:top w:val="none" w:sz="0" w:space="0" w:color="auto"/>
            <w:left w:val="none" w:sz="0" w:space="0" w:color="auto"/>
            <w:bottom w:val="none" w:sz="0" w:space="0" w:color="auto"/>
            <w:right w:val="none" w:sz="0" w:space="0" w:color="auto"/>
          </w:divBdr>
          <w:divsChild>
            <w:div w:id="965700490">
              <w:marLeft w:val="0"/>
              <w:marRight w:val="0"/>
              <w:marTop w:val="0"/>
              <w:marBottom w:val="0"/>
              <w:divBdr>
                <w:top w:val="none" w:sz="0" w:space="0" w:color="auto"/>
                <w:left w:val="none" w:sz="0" w:space="0" w:color="auto"/>
                <w:bottom w:val="none" w:sz="0" w:space="0" w:color="auto"/>
                <w:right w:val="none" w:sz="0" w:space="0" w:color="auto"/>
              </w:divBdr>
            </w:div>
          </w:divsChild>
        </w:div>
        <w:div w:id="992179267">
          <w:marLeft w:val="0"/>
          <w:marRight w:val="0"/>
          <w:marTop w:val="0"/>
          <w:marBottom w:val="0"/>
          <w:divBdr>
            <w:top w:val="none" w:sz="0" w:space="0" w:color="auto"/>
            <w:left w:val="none" w:sz="0" w:space="0" w:color="auto"/>
            <w:bottom w:val="none" w:sz="0" w:space="0" w:color="auto"/>
            <w:right w:val="none" w:sz="0" w:space="0" w:color="auto"/>
          </w:divBdr>
          <w:divsChild>
            <w:div w:id="948395950">
              <w:marLeft w:val="0"/>
              <w:marRight w:val="0"/>
              <w:marTop w:val="0"/>
              <w:marBottom w:val="0"/>
              <w:divBdr>
                <w:top w:val="none" w:sz="0" w:space="0" w:color="auto"/>
                <w:left w:val="none" w:sz="0" w:space="0" w:color="auto"/>
                <w:bottom w:val="none" w:sz="0" w:space="0" w:color="auto"/>
                <w:right w:val="none" w:sz="0" w:space="0" w:color="auto"/>
              </w:divBdr>
            </w:div>
          </w:divsChild>
        </w:div>
        <w:div w:id="1020661163">
          <w:marLeft w:val="0"/>
          <w:marRight w:val="0"/>
          <w:marTop w:val="0"/>
          <w:marBottom w:val="0"/>
          <w:divBdr>
            <w:top w:val="none" w:sz="0" w:space="0" w:color="auto"/>
            <w:left w:val="none" w:sz="0" w:space="0" w:color="auto"/>
            <w:bottom w:val="none" w:sz="0" w:space="0" w:color="auto"/>
            <w:right w:val="none" w:sz="0" w:space="0" w:color="auto"/>
          </w:divBdr>
          <w:divsChild>
            <w:div w:id="944534137">
              <w:marLeft w:val="0"/>
              <w:marRight w:val="0"/>
              <w:marTop w:val="0"/>
              <w:marBottom w:val="0"/>
              <w:divBdr>
                <w:top w:val="none" w:sz="0" w:space="0" w:color="auto"/>
                <w:left w:val="none" w:sz="0" w:space="0" w:color="auto"/>
                <w:bottom w:val="none" w:sz="0" w:space="0" w:color="auto"/>
                <w:right w:val="none" w:sz="0" w:space="0" w:color="auto"/>
              </w:divBdr>
            </w:div>
          </w:divsChild>
        </w:div>
        <w:div w:id="1024138888">
          <w:marLeft w:val="0"/>
          <w:marRight w:val="0"/>
          <w:marTop w:val="0"/>
          <w:marBottom w:val="0"/>
          <w:divBdr>
            <w:top w:val="none" w:sz="0" w:space="0" w:color="auto"/>
            <w:left w:val="none" w:sz="0" w:space="0" w:color="auto"/>
            <w:bottom w:val="none" w:sz="0" w:space="0" w:color="auto"/>
            <w:right w:val="none" w:sz="0" w:space="0" w:color="auto"/>
          </w:divBdr>
          <w:divsChild>
            <w:div w:id="1342049105">
              <w:marLeft w:val="0"/>
              <w:marRight w:val="0"/>
              <w:marTop w:val="0"/>
              <w:marBottom w:val="0"/>
              <w:divBdr>
                <w:top w:val="none" w:sz="0" w:space="0" w:color="auto"/>
                <w:left w:val="none" w:sz="0" w:space="0" w:color="auto"/>
                <w:bottom w:val="none" w:sz="0" w:space="0" w:color="auto"/>
                <w:right w:val="none" w:sz="0" w:space="0" w:color="auto"/>
              </w:divBdr>
            </w:div>
          </w:divsChild>
        </w:div>
        <w:div w:id="1044212396">
          <w:marLeft w:val="0"/>
          <w:marRight w:val="0"/>
          <w:marTop w:val="0"/>
          <w:marBottom w:val="0"/>
          <w:divBdr>
            <w:top w:val="none" w:sz="0" w:space="0" w:color="auto"/>
            <w:left w:val="none" w:sz="0" w:space="0" w:color="auto"/>
            <w:bottom w:val="none" w:sz="0" w:space="0" w:color="auto"/>
            <w:right w:val="none" w:sz="0" w:space="0" w:color="auto"/>
          </w:divBdr>
          <w:divsChild>
            <w:div w:id="527719205">
              <w:marLeft w:val="0"/>
              <w:marRight w:val="0"/>
              <w:marTop w:val="0"/>
              <w:marBottom w:val="0"/>
              <w:divBdr>
                <w:top w:val="none" w:sz="0" w:space="0" w:color="auto"/>
                <w:left w:val="none" w:sz="0" w:space="0" w:color="auto"/>
                <w:bottom w:val="none" w:sz="0" w:space="0" w:color="auto"/>
                <w:right w:val="none" w:sz="0" w:space="0" w:color="auto"/>
              </w:divBdr>
            </w:div>
          </w:divsChild>
        </w:div>
        <w:div w:id="1071393572">
          <w:marLeft w:val="0"/>
          <w:marRight w:val="0"/>
          <w:marTop w:val="0"/>
          <w:marBottom w:val="0"/>
          <w:divBdr>
            <w:top w:val="none" w:sz="0" w:space="0" w:color="auto"/>
            <w:left w:val="none" w:sz="0" w:space="0" w:color="auto"/>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
          </w:divsChild>
        </w:div>
        <w:div w:id="1072198960">
          <w:marLeft w:val="0"/>
          <w:marRight w:val="0"/>
          <w:marTop w:val="0"/>
          <w:marBottom w:val="0"/>
          <w:divBdr>
            <w:top w:val="none" w:sz="0" w:space="0" w:color="auto"/>
            <w:left w:val="none" w:sz="0" w:space="0" w:color="auto"/>
            <w:bottom w:val="none" w:sz="0" w:space="0" w:color="auto"/>
            <w:right w:val="none" w:sz="0" w:space="0" w:color="auto"/>
          </w:divBdr>
          <w:divsChild>
            <w:div w:id="1332292963">
              <w:marLeft w:val="0"/>
              <w:marRight w:val="0"/>
              <w:marTop w:val="0"/>
              <w:marBottom w:val="0"/>
              <w:divBdr>
                <w:top w:val="none" w:sz="0" w:space="0" w:color="auto"/>
                <w:left w:val="none" w:sz="0" w:space="0" w:color="auto"/>
                <w:bottom w:val="none" w:sz="0" w:space="0" w:color="auto"/>
                <w:right w:val="none" w:sz="0" w:space="0" w:color="auto"/>
              </w:divBdr>
            </w:div>
          </w:divsChild>
        </w:div>
        <w:div w:id="1075711359">
          <w:marLeft w:val="0"/>
          <w:marRight w:val="0"/>
          <w:marTop w:val="0"/>
          <w:marBottom w:val="0"/>
          <w:divBdr>
            <w:top w:val="none" w:sz="0" w:space="0" w:color="auto"/>
            <w:left w:val="none" w:sz="0" w:space="0" w:color="auto"/>
            <w:bottom w:val="none" w:sz="0" w:space="0" w:color="auto"/>
            <w:right w:val="none" w:sz="0" w:space="0" w:color="auto"/>
          </w:divBdr>
          <w:divsChild>
            <w:div w:id="380249853">
              <w:marLeft w:val="0"/>
              <w:marRight w:val="0"/>
              <w:marTop w:val="0"/>
              <w:marBottom w:val="0"/>
              <w:divBdr>
                <w:top w:val="none" w:sz="0" w:space="0" w:color="auto"/>
                <w:left w:val="none" w:sz="0" w:space="0" w:color="auto"/>
                <w:bottom w:val="none" w:sz="0" w:space="0" w:color="auto"/>
                <w:right w:val="none" w:sz="0" w:space="0" w:color="auto"/>
              </w:divBdr>
            </w:div>
          </w:divsChild>
        </w:div>
        <w:div w:id="1077092041">
          <w:marLeft w:val="0"/>
          <w:marRight w:val="0"/>
          <w:marTop w:val="0"/>
          <w:marBottom w:val="0"/>
          <w:divBdr>
            <w:top w:val="none" w:sz="0" w:space="0" w:color="auto"/>
            <w:left w:val="none" w:sz="0" w:space="0" w:color="auto"/>
            <w:bottom w:val="none" w:sz="0" w:space="0" w:color="auto"/>
            <w:right w:val="none" w:sz="0" w:space="0" w:color="auto"/>
          </w:divBdr>
          <w:divsChild>
            <w:div w:id="1808231830">
              <w:marLeft w:val="0"/>
              <w:marRight w:val="0"/>
              <w:marTop w:val="0"/>
              <w:marBottom w:val="0"/>
              <w:divBdr>
                <w:top w:val="none" w:sz="0" w:space="0" w:color="auto"/>
                <w:left w:val="none" w:sz="0" w:space="0" w:color="auto"/>
                <w:bottom w:val="none" w:sz="0" w:space="0" w:color="auto"/>
                <w:right w:val="none" w:sz="0" w:space="0" w:color="auto"/>
              </w:divBdr>
            </w:div>
          </w:divsChild>
        </w:div>
        <w:div w:id="1081373213">
          <w:marLeft w:val="0"/>
          <w:marRight w:val="0"/>
          <w:marTop w:val="0"/>
          <w:marBottom w:val="0"/>
          <w:divBdr>
            <w:top w:val="none" w:sz="0" w:space="0" w:color="auto"/>
            <w:left w:val="none" w:sz="0" w:space="0" w:color="auto"/>
            <w:bottom w:val="none" w:sz="0" w:space="0" w:color="auto"/>
            <w:right w:val="none" w:sz="0" w:space="0" w:color="auto"/>
          </w:divBdr>
          <w:divsChild>
            <w:div w:id="818613951">
              <w:marLeft w:val="0"/>
              <w:marRight w:val="0"/>
              <w:marTop w:val="0"/>
              <w:marBottom w:val="0"/>
              <w:divBdr>
                <w:top w:val="none" w:sz="0" w:space="0" w:color="auto"/>
                <w:left w:val="none" w:sz="0" w:space="0" w:color="auto"/>
                <w:bottom w:val="none" w:sz="0" w:space="0" w:color="auto"/>
                <w:right w:val="none" w:sz="0" w:space="0" w:color="auto"/>
              </w:divBdr>
            </w:div>
          </w:divsChild>
        </w:div>
        <w:div w:id="1092699958">
          <w:marLeft w:val="0"/>
          <w:marRight w:val="0"/>
          <w:marTop w:val="0"/>
          <w:marBottom w:val="0"/>
          <w:divBdr>
            <w:top w:val="none" w:sz="0" w:space="0" w:color="auto"/>
            <w:left w:val="none" w:sz="0" w:space="0" w:color="auto"/>
            <w:bottom w:val="none" w:sz="0" w:space="0" w:color="auto"/>
            <w:right w:val="none" w:sz="0" w:space="0" w:color="auto"/>
          </w:divBdr>
          <w:divsChild>
            <w:div w:id="690109132">
              <w:marLeft w:val="0"/>
              <w:marRight w:val="0"/>
              <w:marTop w:val="0"/>
              <w:marBottom w:val="0"/>
              <w:divBdr>
                <w:top w:val="none" w:sz="0" w:space="0" w:color="auto"/>
                <w:left w:val="none" w:sz="0" w:space="0" w:color="auto"/>
                <w:bottom w:val="none" w:sz="0" w:space="0" w:color="auto"/>
                <w:right w:val="none" w:sz="0" w:space="0" w:color="auto"/>
              </w:divBdr>
            </w:div>
          </w:divsChild>
        </w:div>
        <w:div w:id="1116096174">
          <w:marLeft w:val="0"/>
          <w:marRight w:val="0"/>
          <w:marTop w:val="0"/>
          <w:marBottom w:val="0"/>
          <w:divBdr>
            <w:top w:val="none" w:sz="0" w:space="0" w:color="auto"/>
            <w:left w:val="none" w:sz="0" w:space="0" w:color="auto"/>
            <w:bottom w:val="none" w:sz="0" w:space="0" w:color="auto"/>
            <w:right w:val="none" w:sz="0" w:space="0" w:color="auto"/>
          </w:divBdr>
          <w:divsChild>
            <w:div w:id="539048038">
              <w:marLeft w:val="0"/>
              <w:marRight w:val="0"/>
              <w:marTop w:val="0"/>
              <w:marBottom w:val="0"/>
              <w:divBdr>
                <w:top w:val="none" w:sz="0" w:space="0" w:color="auto"/>
                <w:left w:val="none" w:sz="0" w:space="0" w:color="auto"/>
                <w:bottom w:val="none" w:sz="0" w:space="0" w:color="auto"/>
                <w:right w:val="none" w:sz="0" w:space="0" w:color="auto"/>
              </w:divBdr>
            </w:div>
          </w:divsChild>
        </w:div>
        <w:div w:id="1145008183">
          <w:marLeft w:val="0"/>
          <w:marRight w:val="0"/>
          <w:marTop w:val="0"/>
          <w:marBottom w:val="0"/>
          <w:divBdr>
            <w:top w:val="none" w:sz="0" w:space="0" w:color="auto"/>
            <w:left w:val="none" w:sz="0" w:space="0" w:color="auto"/>
            <w:bottom w:val="none" w:sz="0" w:space="0" w:color="auto"/>
            <w:right w:val="none" w:sz="0" w:space="0" w:color="auto"/>
          </w:divBdr>
          <w:divsChild>
            <w:div w:id="1449278260">
              <w:marLeft w:val="0"/>
              <w:marRight w:val="0"/>
              <w:marTop w:val="0"/>
              <w:marBottom w:val="0"/>
              <w:divBdr>
                <w:top w:val="none" w:sz="0" w:space="0" w:color="auto"/>
                <w:left w:val="none" w:sz="0" w:space="0" w:color="auto"/>
                <w:bottom w:val="none" w:sz="0" w:space="0" w:color="auto"/>
                <w:right w:val="none" w:sz="0" w:space="0" w:color="auto"/>
              </w:divBdr>
            </w:div>
          </w:divsChild>
        </w:div>
        <w:div w:id="1206797337">
          <w:marLeft w:val="0"/>
          <w:marRight w:val="0"/>
          <w:marTop w:val="0"/>
          <w:marBottom w:val="0"/>
          <w:divBdr>
            <w:top w:val="none" w:sz="0" w:space="0" w:color="auto"/>
            <w:left w:val="none" w:sz="0" w:space="0" w:color="auto"/>
            <w:bottom w:val="none" w:sz="0" w:space="0" w:color="auto"/>
            <w:right w:val="none" w:sz="0" w:space="0" w:color="auto"/>
          </w:divBdr>
          <w:divsChild>
            <w:div w:id="1599024069">
              <w:marLeft w:val="0"/>
              <w:marRight w:val="0"/>
              <w:marTop w:val="0"/>
              <w:marBottom w:val="0"/>
              <w:divBdr>
                <w:top w:val="none" w:sz="0" w:space="0" w:color="auto"/>
                <w:left w:val="none" w:sz="0" w:space="0" w:color="auto"/>
                <w:bottom w:val="none" w:sz="0" w:space="0" w:color="auto"/>
                <w:right w:val="none" w:sz="0" w:space="0" w:color="auto"/>
              </w:divBdr>
            </w:div>
          </w:divsChild>
        </w:div>
        <w:div w:id="1209800814">
          <w:marLeft w:val="0"/>
          <w:marRight w:val="0"/>
          <w:marTop w:val="0"/>
          <w:marBottom w:val="0"/>
          <w:divBdr>
            <w:top w:val="none" w:sz="0" w:space="0" w:color="auto"/>
            <w:left w:val="none" w:sz="0" w:space="0" w:color="auto"/>
            <w:bottom w:val="none" w:sz="0" w:space="0" w:color="auto"/>
            <w:right w:val="none" w:sz="0" w:space="0" w:color="auto"/>
          </w:divBdr>
          <w:divsChild>
            <w:div w:id="140319407">
              <w:marLeft w:val="0"/>
              <w:marRight w:val="0"/>
              <w:marTop w:val="0"/>
              <w:marBottom w:val="0"/>
              <w:divBdr>
                <w:top w:val="none" w:sz="0" w:space="0" w:color="auto"/>
                <w:left w:val="none" w:sz="0" w:space="0" w:color="auto"/>
                <w:bottom w:val="none" w:sz="0" w:space="0" w:color="auto"/>
                <w:right w:val="none" w:sz="0" w:space="0" w:color="auto"/>
              </w:divBdr>
            </w:div>
          </w:divsChild>
        </w:div>
        <w:div w:id="1212033849">
          <w:marLeft w:val="0"/>
          <w:marRight w:val="0"/>
          <w:marTop w:val="0"/>
          <w:marBottom w:val="0"/>
          <w:divBdr>
            <w:top w:val="none" w:sz="0" w:space="0" w:color="auto"/>
            <w:left w:val="none" w:sz="0" w:space="0" w:color="auto"/>
            <w:bottom w:val="none" w:sz="0" w:space="0" w:color="auto"/>
            <w:right w:val="none" w:sz="0" w:space="0" w:color="auto"/>
          </w:divBdr>
          <w:divsChild>
            <w:div w:id="1717200258">
              <w:marLeft w:val="0"/>
              <w:marRight w:val="0"/>
              <w:marTop w:val="0"/>
              <w:marBottom w:val="0"/>
              <w:divBdr>
                <w:top w:val="none" w:sz="0" w:space="0" w:color="auto"/>
                <w:left w:val="none" w:sz="0" w:space="0" w:color="auto"/>
                <w:bottom w:val="none" w:sz="0" w:space="0" w:color="auto"/>
                <w:right w:val="none" w:sz="0" w:space="0" w:color="auto"/>
              </w:divBdr>
            </w:div>
          </w:divsChild>
        </w:div>
        <w:div w:id="1212040171">
          <w:marLeft w:val="0"/>
          <w:marRight w:val="0"/>
          <w:marTop w:val="0"/>
          <w:marBottom w:val="0"/>
          <w:divBdr>
            <w:top w:val="none" w:sz="0" w:space="0" w:color="auto"/>
            <w:left w:val="none" w:sz="0" w:space="0" w:color="auto"/>
            <w:bottom w:val="none" w:sz="0" w:space="0" w:color="auto"/>
            <w:right w:val="none" w:sz="0" w:space="0" w:color="auto"/>
          </w:divBdr>
          <w:divsChild>
            <w:div w:id="1606225793">
              <w:marLeft w:val="0"/>
              <w:marRight w:val="0"/>
              <w:marTop w:val="0"/>
              <w:marBottom w:val="0"/>
              <w:divBdr>
                <w:top w:val="none" w:sz="0" w:space="0" w:color="auto"/>
                <w:left w:val="none" w:sz="0" w:space="0" w:color="auto"/>
                <w:bottom w:val="none" w:sz="0" w:space="0" w:color="auto"/>
                <w:right w:val="none" w:sz="0" w:space="0" w:color="auto"/>
              </w:divBdr>
            </w:div>
          </w:divsChild>
        </w:div>
        <w:div w:id="1212305320">
          <w:marLeft w:val="0"/>
          <w:marRight w:val="0"/>
          <w:marTop w:val="0"/>
          <w:marBottom w:val="0"/>
          <w:divBdr>
            <w:top w:val="none" w:sz="0" w:space="0" w:color="auto"/>
            <w:left w:val="none" w:sz="0" w:space="0" w:color="auto"/>
            <w:bottom w:val="none" w:sz="0" w:space="0" w:color="auto"/>
            <w:right w:val="none" w:sz="0" w:space="0" w:color="auto"/>
          </w:divBdr>
          <w:divsChild>
            <w:div w:id="1116093896">
              <w:marLeft w:val="0"/>
              <w:marRight w:val="0"/>
              <w:marTop w:val="0"/>
              <w:marBottom w:val="0"/>
              <w:divBdr>
                <w:top w:val="none" w:sz="0" w:space="0" w:color="auto"/>
                <w:left w:val="none" w:sz="0" w:space="0" w:color="auto"/>
                <w:bottom w:val="none" w:sz="0" w:space="0" w:color="auto"/>
                <w:right w:val="none" w:sz="0" w:space="0" w:color="auto"/>
              </w:divBdr>
            </w:div>
          </w:divsChild>
        </w:div>
        <w:div w:id="1244797252">
          <w:marLeft w:val="0"/>
          <w:marRight w:val="0"/>
          <w:marTop w:val="0"/>
          <w:marBottom w:val="0"/>
          <w:divBdr>
            <w:top w:val="none" w:sz="0" w:space="0" w:color="auto"/>
            <w:left w:val="none" w:sz="0" w:space="0" w:color="auto"/>
            <w:bottom w:val="none" w:sz="0" w:space="0" w:color="auto"/>
            <w:right w:val="none" w:sz="0" w:space="0" w:color="auto"/>
          </w:divBdr>
          <w:divsChild>
            <w:div w:id="1151750442">
              <w:marLeft w:val="0"/>
              <w:marRight w:val="0"/>
              <w:marTop w:val="0"/>
              <w:marBottom w:val="0"/>
              <w:divBdr>
                <w:top w:val="none" w:sz="0" w:space="0" w:color="auto"/>
                <w:left w:val="none" w:sz="0" w:space="0" w:color="auto"/>
                <w:bottom w:val="none" w:sz="0" w:space="0" w:color="auto"/>
                <w:right w:val="none" w:sz="0" w:space="0" w:color="auto"/>
              </w:divBdr>
            </w:div>
          </w:divsChild>
        </w:div>
        <w:div w:id="1282030566">
          <w:marLeft w:val="0"/>
          <w:marRight w:val="0"/>
          <w:marTop w:val="0"/>
          <w:marBottom w:val="0"/>
          <w:divBdr>
            <w:top w:val="none" w:sz="0" w:space="0" w:color="auto"/>
            <w:left w:val="none" w:sz="0" w:space="0" w:color="auto"/>
            <w:bottom w:val="none" w:sz="0" w:space="0" w:color="auto"/>
            <w:right w:val="none" w:sz="0" w:space="0" w:color="auto"/>
          </w:divBdr>
          <w:divsChild>
            <w:div w:id="1885100641">
              <w:marLeft w:val="0"/>
              <w:marRight w:val="0"/>
              <w:marTop w:val="0"/>
              <w:marBottom w:val="0"/>
              <w:divBdr>
                <w:top w:val="none" w:sz="0" w:space="0" w:color="auto"/>
                <w:left w:val="none" w:sz="0" w:space="0" w:color="auto"/>
                <w:bottom w:val="none" w:sz="0" w:space="0" w:color="auto"/>
                <w:right w:val="none" w:sz="0" w:space="0" w:color="auto"/>
              </w:divBdr>
            </w:div>
          </w:divsChild>
        </w:div>
        <w:div w:id="1299454745">
          <w:marLeft w:val="0"/>
          <w:marRight w:val="0"/>
          <w:marTop w:val="0"/>
          <w:marBottom w:val="0"/>
          <w:divBdr>
            <w:top w:val="none" w:sz="0" w:space="0" w:color="auto"/>
            <w:left w:val="none" w:sz="0" w:space="0" w:color="auto"/>
            <w:bottom w:val="none" w:sz="0" w:space="0" w:color="auto"/>
            <w:right w:val="none" w:sz="0" w:space="0" w:color="auto"/>
          </w:divBdr>
          <w:divsChild>
            <w:div w:id="2069300907">
              <w:marLeft w:val="0"/>
              <w:marRight w:val="0"/>
              <w:marTop w:val="0"/>
              <w:marBottom w:val="0"/>
              <w:divBdr>
                <w:top w:val="none" w:sz="0" w:space="0" w:color="auto"/>
                <w:left w:val="none" w:sz="0" w:space="0" w:color="auto"/>
                <w:bottom w:val="none" w:sz="0" w:space="0" w:color="auto"/>
                <w:right w:val="none" w:sz="0" w:space="0" w:color="auto"/>
              </w:divBdr>
            </w:div>
          </w:divsChild>
        </w:div>
        <w:div w:id="1306668065">
          <w:marLeft w:val="0"/>
          <w:marRight w:val="0"/>
          <w:marTop w:val="0"/>
          <w:marBottom w:val="0"/>
          <w:divBdr>
            <w:top w:val="none" w:sz="0" w:space="0" w:color="auto"/>
            <w:left w:val="none" w:sz="0" w:space="0" w:color="auto"/>
            <w:bottom w:val="none" w:sz="0" w:space="0" w:color="auto"/>
            <w:right w:val="none" w:sz="0" w:space="0" w:color="auto"/>
          </w:divBdr>
          <w:divsChild>
            <w:div w:id="1791821703">
              <w:marLeft w:val="0"/>
              <w:marRight w:val="0"/>
              <w:marTop w:val="0"/>
              <w:marBottom w:val="0"/>
              <w:divBdr>
                <w:top w:val="none" w:sz="0" w:space="0" w:color="auto"/>
                <w:left w:val="none" w:sz="0" w:space="0" w:color="auto"/>
                <w:bottom w:val="none" w:sz="0" w:space="0" w:color="auto"/>
                <w:right w:val="none" w:sz="0" w:space="0" w:color="auto"/>
              </w:divBdr>
            </w:div>
          </w:divsChild>
        </w:div>
        <w:div w:id="1310861396">
          <w:marLeft w:val="0"/>
          <w:marRight w:val="0"/>
          <w:marTop w:val="0"/>
          <w:marBottom w:val="0"/>
          <w:divBdr>
            <w:top w:val="none" w:sz="0" w:space="0" w:color="auto"/>
            <w:left w:val="none" w:sz="0" w:space="0" w:color="auto"/>
            <w:bottom w:val="none" w:sz="0" w:space="0" w:color="auto"/>
            <w:right w:val="none" w:sz="0" w:space="0" w:color="auto"/>
          </w:divBdr>
          <w:divsChild>
            <w:div w:id="1074595225">
              <w:marLeft w:val="0"/>
              <w:marRight w:val="0"/>
              <w:marTop w:val="0"/>
              <w:marBottom w:val="0"/>
              <w:divBdr>
                <w:top w:val="none" w:sz="0" w:space="0" w:color="auto"/>
                <w:left w:val="none" w:sz="0" w:space="0" w:color="auto"/>
                <w:bottom w:val="none" w:sz="0" w:space="0" w:color="auto"/>
                <w:right w:val="none" w:sz="0" w:space="0" w:color="auto"/>
              </w:divBdr>
            </w:div>
          </w:divsChild>
        </w:div>
        <w:div w:id="1317994775">
          <w:marLeft w:val="0"/>
          <w:marRight w:val="0"/>
          <w:marTop w:val="0"/>
          <w:marBottom w:val="0"/>
          <w:divBdr>
            <w:top w:val="none" w:sz="0" w:space="0" w:color="auto"/>
            <w:left w:val="none" w:sz="0" w:space="0" w:color="auto"/>
            <w:bottom w:val="none" w:sz="0" w:space="0" w:color="auto"/>
            <w:right w:val="none" w:sz="0" w:space="0" w:color="auto"/>
          </w:divBdr>
          <w:divsChild>
            <w:div w:id="292179198">
              <w:marLeft w:val="0"/>
              <w:marRight w:val="0"/>
              <w:marTop w:val="0"/>
              <w:marBottom w:val="0"/>
              <w:divBdr>
                <w:top w:val="none" w:sz="0" w:space="0" w:color="auto"/>
                <w:left w:val="none" w:sz="0" w:space="0" w:color="auto"/>
                <w:bottom w:val="none" w:sz="0" w:space="0" w:color="auto"/>
                <w:right w:val="none" w:sz="0" w:space="0" w:color="auto"/>
              </w:divBdr>
            </w:div>
          </w:divsChild>
        </w:div>
        <w:div w:id="1324161365">
          <w:marLeft w:val="0"/>
          <w:marRight w:val="0"/>
          <w:marTop w:val="0"/>
          <w:marBottom w:val="0"/>
          <w:divBdr>
            <w:top w:val="none" w:sz="0" w:space="0" w:color="auto"/>
            <w:left w:val="none" w:sz="0" w:space="0" w:color="auto"/>
            <w:bottom w:val="none" w:sz="0" w:space="0" w:color="auto"/>
            <w:right w:val="none" w:sz="0" w:space="0" w:color="auto"/>
          </w:divBdr>
          <w:divsChild>
            <w:div w:id="1332374160">
              <w:marLeft w:val="0"/>
              <w:marRight w:val="0"/>
              <w:marTop w:val="0"/>
              <w:marBottom w:val="0"/>
              <w:divBdr>
                <w:top w:val="none" w:sz="0" w:space="0" w:color="auto"/>
                <w:left w:val="none" w:sz="0" w:space="0" w:color="auto"/>
                <w:bottom w:val="none" w:sz="0" w:space="0" w:color="auto"/>
                <w:right w:val="none" w:sz="0" w:space="0" w:color="auto"/>
              </w:divBdr>
            </w:div>
          </w:divsChild>
        </w:div>
        <w:div w:id="1351180119">
          <w:marLeft w:val="0"/>
          <w:marRight w:val="0"/>
          <w:marTop w:val="0"/>
          <w:marBottom w:val="0"/>
          <w:divBdr>
            <w:top w:val="none" w:sz="0" w:space="0" w:color="auto"/>
            <w:left w:val="none" w:sz="0" w:space="0" w:color="auto"/>
            <w:bottom w:val="none" w:sz="0" w:space="0" w:color="auto"/>
            <w:right w:val="none" w:sz="0" w:space="0" w:color="auto"/>
          </w:divBdr>
          <w:divsChild>
            <w:div w:id="1691251005">
              <w:marLeft w:val="0"/>
              <w:marRight w:val="0"/>
              <w:marTop w:val="0"/>
              <w:marBottom w:val="0"/>
              <w:divBdr>
                <w:top w:val="none" w:sz="0" w:space="0" w:color="auto"/>
                <w:left w:val="none" w:sz="0" w:space="0" w:color="auto"/>
                <w:bottom w:val="none" w:sz="0" w:space="0" w:color="auto"/>
                <w:right w:val="none" w:sz="0" w:space="0" w:color="auto"/>
              </w:divBdr>
            </w:div>
          </w:divsChild>
        </w:div>
        <w:div w:id="1372265026">
          <w:marLeft w:val="0"/>
          <w:marRight w:val="0"/>
          <w:marTop w:val="0"/>
          <w:marBottom w:val="0"/>
          <w:divBdr>
            <w:top w:val="none" w:sz="0" w:space="0" w:color="auto"/>
            <w:left w:val="none" w:sz="0" w:space="0" w:color="auto"/>
            <w:bottom w:val="none" w:sz="0" w:space="0" w:color="auto"/>
            <w:right w:val="none" w:sz="0" w:space="0" w:color="auto"/>
          </w:divBdr>
          <w:divsChild>
            <w:div w:id="2079594466">
              <w:marLeft w:val="0"/>
              <w:marRight w:val="0"/>
              <w:marTop w:val="0"/>
              <w:marBottom w:val="0"/>
              <w:divBdr>
                <w:top w:val="none" w:sz="0" w:space="0" w:color="auto"/>
                <w:left w:val="none" w:sz="0" w:space="0" w:color="auto"/>
                <w:bottom w:val="none" w:sz="0" w:space="0" w:color="auto"/>
                <w:right w:val="none" w:sz="0" w:space="0" w:color="auto"/>
              </w:divBdr>
            </w:div>
          </w:divsChild>
        </w:div>
        <w:div w:id="1439326593">
          <w:marLeft w:val="0"/>
          <w:marRight w:val="0"/>
          <w:marTop w:val="0"/>
          <w:marBottom w:val="0"/>
          <w:divBdr>
            <w:top w:val="none" w:sz="0" w:space="0" w:color="auto"/>
            <w:left w:val="none" w:sz="0" w:space="0" w:color="auto"/>
            <w:bottom w:val="none" w:sz="0" w:space="0" w:color="auto"/>
            <w:right w:val="none" w:sz="0" w:space="0" w:color="auto"/>
          </w:divBdr>
          <w:divsChild>
            <w:div w:id="1944796790">
              <w:marLeft w:val="0"/>
              <w:marRight w:val="0"/>
              <w:marTop w:val="0"/>
              <w:marBottom w:val="0"/>
              <w:divBdr>
                <w:top w:val="none" w:sz="0" w:space="0" w:color="auto"/>
                <w:left w:val="none" w:sz="0" w:space="0" w:color="auto"/>
                <w:bottom w:val="none" w:sz="0" w:space="0" w:color="auto"/>
                <w:right w:val="none" w:sz="0" w:space="0" w:color="auto"/>
              </w:divBdr>
            </w:div>
          </w:divsChild>
        </w:div>
        <w:div w:id="1455252780">
          <w:marLeft w:val="0"/>
          <w:marRight w:val="0"/>
          <w:marTop w:val="0"/>
          <w:marBottom w:val="0"/>
          <w:divBdr>
            <w:top w:val="none" w:sz="0" w:space="0" w:color="auto"/>
            <w:left w:val="none" w:sz="0" w:space="0" w:color="auto"/>
            <w:bottom w:val="none" w:sz="0" w:space="0" w:color="auto"/>
            <w:right w:val="none" w:sz="0" w:space="0" w:color="auto"/>
          </w:divBdr>
          <w:divsChild>
            <w:div w:id="1024790344">
              <w:marLeft w:val="0"/>
              <w:marRight w:val="0"/>
              <w:marTop w:val="0"/>
              <w:marBottom w:val="0"/>
              <w:divBdr>
                <w:top w:val="none" w:sz="0" w:space="0" w:color="auto"/>
                <w:left w:val="none" w:sz="0" w:space="0" w:color="auto"/>
                <w:bottom w:val="none" w:sz="0" w:space="0" w:color="auto"/>
                <w:right w:val="none" w:sz="0" w:space="0" w:color="auto"/>
              </w:divBdr>
            </w:div>
          </w:divsChild>
        </w:div>
        <w:div w:id="1475372128">
          <w:marLeft w:val="0"/>
          <w:marRight w:val="0"/>
          <w:marTop w:val="0"/>
          <w:marBottom w:val="0"/>
          <w:divBdr>
            <w:top w:val="none" w:sz="0" w:space="0" w:color="auto"/>
            <w:left w:val="none" w:sz="0" w:space="0" w:color="auto"/>
            <w:bottom w:val="none" w:sz="0" w:space="0" w:color="auto"/>
            <w:right w:val="none" w:sz="0" w:space="0" w:color="auto"/>
          </w:divBdr>
          <w:divsChild>
            <w:div w:id="304236728">
              <w:marLeft w:val="0"/>
              <w:marRight w:val="0"/>
              <w:marTop w:val="0"/>
              <w:marBottom w:val="0"/>
              <w:divBdr>
                <w:top w:val="none" w:sz="0" w:space="0" w:color="auto"/>
                <w:left w:val="none" w:sz="0" w:space="0" w:color="auto"/>
                <w:bottom w:val="none" w:sz="0" w:space="0" w:color="auto"/>
                <w:right w:val="none" w:sz="0" w:space="0" w:color="auto"/>
              </w:divBdr>
            </w:div>
          </w:divsChild>
        </w:div>
        <w:div w:id="1477187239">
          <w:marLeft w:val="0"/>
          <w:marRight w:val="0"/>
          <w:marTop w:val="0"/>
          <w:marBottom w:val="0"/>
          <w:divBdr>
            <w:top w:val="none" w:sz="0" w:space="0" w:color="auto"/>
            <w:left w:val="none" w:sz="0" w:space="0" w:color="auto"/>
            <w:bottom w:val="none" w:sz="0" w:space="0" w:color="auto"/>
            <w:right w:val="none" w:sz="0" w:space="0" w:color="auto"/>
          </w:divBdr>
          <w:divsChild>
            <w:div w:id="764502078">
              <w:marLeft w:val="0"/>
              <w:marRight w:val="0"/>
              <w:marTop w:val="0"/>
              <w:marBottom w:val="0"/>
              <w:divBdr>
                <w:top w:val="none" w:sz="0" w:space="0" w:color="auto"/>
                <w:left w:val="none" w:sz="0" w:space="0" w:color="auto"/>
                <w:bottom w:val="none" w:sz="0" w:space="0" w:color="auto"/>
                <w:right w:val="none" w:sz="0" w:space="0" w:color="auto"/>
              </w:divBdr>
            </w:div>
          </w:divsChild>
        </w:div>
        <w:div w:id="1502742156">
          <w:marLeft w:val="0"/>
          <w:marRight w:val="0"/>
          <w:marTop w:val="0"/>
          <w:marBottom w:val="0"/>
          <w:divBdr>
            <w:top w:val="none" w:sz="0" w:space="0" w:color="auto"/>
            <w:left w:val="none" w:sz="0" w:space="0" w:color="auto"/>
            <w:bottom w:val="none" w:sz="0" w:space="0" w:color="auto"/>
            <w:right w:val="none" w:sz="0" w:space="0" w:color="auto"/>
          </w:divBdr>
          <w:divsChild>
            <w:div w:id="1074625827">
              <w:marLeft w:val="0"/>
              <w:marRight w:val="0"/>
              <w:marTop w:val="0"/>
              <w:marBottom w:val="0"/>
              <w:divBdr>
                <w:top w:val="none" w:sz="0" w:space="0" w:color="auto"/>
                <w:left w:val="none" w:sz="0" w:space="0" w:color="auto"/>
                <w:bottom w:val="none" w:sz="0" w:space="0" w:color="auto"/>
                <w:right w:val="none" w:sz="0" w:space="0" w:color="auto"/>
              </w:divBdr>
            </w:div>
          </w:divsChild>
        </w:div>
        <w:div w:id="1507328204">
          <w:marLeft w:val="0"/>
          <w:marRight w:val="0"/>
          <w:marTop w:val="0"/>
          <w:marBottom w:val="0"/>
          <w:divBdr>
            <w:top w:val="none" w:sz="0" w:space="0" w:color="auto"/>
            <w:left w:val="none" w:sz="0" w:space="0" w:color="auto"/>
            <w:bottom w:val="none" w:sz="0" w:space="0" w:color="auto"/>
            <w:right w:val="none" w:sz="0" w:space="0" w:color="auto"/>
          </w:divBdr>
          <w:divsChild>
            <w:div w:id="1121731384">
              <w:marLeft w:val="0"/>
              <w:marRight w:val="0"/>
              <w:marTop w:val="0"/>
              <w:marBottom w:val="0"/>
              <w:divBdr>
                <w:top w:val="none" w:sz="0" w:space="0" w:color="auto"/>
                <w:left w:val="none" w:sz="0" w:space="0" w:color="auto"/>
                <w:bottom w:val="none" w:sz="0" w:space="0" w:color="auto"/>
                <w:right w:val="none" w:sz="0" w:space="0" w:color="auto"/>
              </w:divBdr>
            </w:div>
          </w:divsChild>
        </w:div>
        <w:div w:id="1515993780">
          <w:marLeft w:val="0"/>
          <w:marRight w:val="0"/>
          <w:marTop w:val="0"/>
          <w:marBottom w:val="0"/>
          <w:divBdr>
            <w:top w:val="none" w:sz="0" w:space="0" w:color="auto"/>
            <w:left w:val="none" w:sz="0" w:space="0" w:color="auto"/>
            <w:bottom w:val="none" w:sz="0" w:space="0" w:color="auto"/>
            <w:right w:val="none" w:sz="0" w:space="0" w:color="auto"/>
          </w:divBdr>
          <w:divsChild>
            <w:div w:id="107702502">
              <w:marLeft w:val="0"/>
              <w:marRight w:val="0"/>
              <w:marTop w:val="0"/>
              <w:marBottom w:val="0"/>
              <w:divBdr>
                <w:top w:val="none" w:sz="0" w:space="0" w:color="auto"/>
                <w:left w:val="none" w:sz="0" w:space="0" w:color="auto"/>
                <w:bottom w:val="none" w:sz="0" w:space="0" w:color="auto"/>
                <w:right w:val="none" w:sz="0" w:space="0" w:color="auto"/>
              </w:divBdr>
            </w:div>
          </w:divsChild>
        </w:div>
        <w:div w:id="1536192659">
          <w:marLeft w:val="0"/>
          <w:marRight w:val="0"/>
          <w:marTop w:val="0"/>
          <w:marBottom w:val="0"/>
          <w:divBdr>
            <w:top w:val="none" w:sz="0" w:space="0" w:color="auto"/>
            <w:left w:val="none" w:sz="0" w:space="0" w:color="auto"/>
            <w:bottom w:val="none" w:sz="0" w:space="0" w:color="auto"/>
            <w:right w:val="none" w:sz="0" w:space="0" w:color="auto"/>
          </w:divBdr>
          <w:divsChild>
            <w:div w:id="803885427">
              <w:marLeft w:val="0"/>
              <w:marRight w:val="0"/>
              <w:marTop w:val="0"/>
              <w:marBottom w:val="0"/>
              <w:divBdr>
                <w:top w:val="none" w:sz="0" w:space="0" w:color="auto"/>
                <w:left w:val="none" w:sz="0" w:space="0" w:color="auto"/>
                <w:bottom w:val="none" w:sz="0" w:space="0" w:color="auto"/>
                <w:right w:val="none" w:sz="0" w:space="0" w:color="auto"/>
              </w:divBdr>
            </w:div>
          </w:divsChild>
        </w:div>
        <w:div w:id="1547445496">
          <w:marLeft w:val="0"/>
          <w:marRight w:val="0"/>
          <w:marTop w:val="0"/>
          <w:marBottom w:val="0"/>
          <w:divBdr>
            <w:top w:val="none" w:sz="0" w:space="0" w:color="auto"/>
            <w:left w:val="none" w:sz="0" w:space="0" w:color="auto"/>
            <w:bottom w:val="none" w:sz="0" w:space="0" w:color="auto"/>
            <w:right w:val="none" w:sz="0" w:space="0" w:color="auto"/>
          </w:divBdr>
          <w:divsChild>
            <w:div w:id="90392640">
              <w:marLeft w:val="0"/>
              <w:marRight w:val="0"/>
              <w:marTop w:val="0"/>
              <w:marBottom w:val="0"/>
              <w:divBdr>
                <w:top w:val="none" w:sz="0" w:space="0" w:color="auto"/>
                <w:left w:val="none" w:sz="0" w:space="0" w:color="auto"/>
                <w:bottom w:val="none" w:sz="0" w:space="0" w:color="auto"/>
                <w:right w:val="none" w:sz="0" w:space="0" w:color="auto"/>
              </w:divBdr>
            </w:div>
          </w:divsChild>
        </w:div>
        <w:div w:id="1550068605">
          <w:marLeft w:val="0"/>
          <w:marRight w:val="0"/>
          <w:marTop w:val="0"/>
          <w:marBottom w:val="0"/>
          <w:divBdr>
            <w:top w:val="none" w:sz="0" w:space="0" w:color="auto"/>
            <w:left w:val="none" w:sz="0" w:space="0" w:color="auto"/>
            <w:bottom w:val="none" w:sz="0" w:space="0" w:color="auto"/>
            <w:right w:val="none" w:sz="0" w:space="0" w:color="auto"/>
          </w:divBdr>
          <w:divsChild>
            <w:div w:id="1021320653">
              <w:marLeft w:val="0"/>
              <w:marRight w:val="0"/>
              <w:marTop w:val="0"/>
              <w:marBottom w:val="0"/>
              <w:divBdr>
                <w:top w:val="none" w:sz="0" w:space="0" w:color="auto"/>
                <w:left w:val="none" w:sz="0" w:space="0" w:color="auto"/>
                <w:bottom w:val="none" w:sz="0" w:space="0" w:color="auto"/>
                <w:right w:val="none" w:sz="0" w:space="0" w:color="auto"/>
              </w:divBdr>
            </w:div>
          </w:divsChild>
        </w:div>
        <w:div w:id="1566186981">
          <w:marLeft w:val="0"/>
          <w:marRight w:val="0"/>
          <w:marTop w:val="0"/>
          <w:marBottom w:val="0"/>
          <w:divBdr>
            <w:top w:val="none" w:sz="0" w:space="0" w:color="auto"/>
            <w:left w:val="none" w:sz="0" w:space="0" w:color="auto"/>
            <w:bottom w:val="none" w:sz="0" w:space="0" w:color="auto"/>
            <w:right w:val="none" w:sz="0" w:space="0" w:color="auto"/>
          </w:divBdr>
          <w:divsChild>
            <w:div w:id="677276498">
              <w:marLeft w:val="0"/>
              <w:marRight w:val="0"/>
              <w:marTop w:val="0"/>
              <w:marBottom w:val="0"/>
              <w:divBdr>
                <w:top w:val="none" w:sz="0" w:space="0" w:color="auto"/>
                <w:left w:val="none" w:sz="0" w:space="0" w:color="auto"/>
                <w:bottom w:val="none" w:sz="0" w:space="0" w:color="auto"/>
                <w:right w:val="none" w:sz="0" w:space="0" w:color="auto"/>
              </w:divBdr>
            </w:div>
          </w:divsChild>
        </w:div>
        <w:div w:id="1576040852">
          <w:marLeft w:val="0"/>
          <w:marRight w:val="0"/>
          <w:marTop w:val="0"/>
          <w:marBottom w:val="0"/>
          <w:divBdr>
            <w:top w:val="none" w:sz="0" w:space="0" w:color="auto"/>
            <w:left w:val="none" w:sz="0" w:space="0" w:color="auto"/>
            <w:bottom w:val="none" w:sz="0" w:space="0" w:color="auto"/>
            <w:right w:val="none" w:sz="0" w:space="0" w:color="auto"/>
          </w:divBdr>
          <w:divsChild>
            <w:div w:id="414127792">
              <w:marLeft w:val="0"/>
              <w:marRight w:val="0"/>
              <w:marTop w:val="0"/>
              <w:marBottom w:val="0"/>
              <w:divBdr>
                <w:top w:val="none" w:sz="0" w:space="0" w:color="auto"/>
                <w:left w:val="none" w:sz="0" w:space="0" w:color="auto"/>
                <w:bottom w:val="none" w:sz="0" w:space="0" w:color="auto"/>
                <w:right w:val="none" w:sz="0" w:space="0" w:color="auto"/>
              </w:divBdr>
            </w:div>
          </w:divsChild>
        </w:div>
        <w:div w:id="1585332636">
          <w:marLeft w:val="0"/>
          <w:marRight w:val="0"/>
          <w:marTop w:val="0"/>
          <w:marBottom w:val="0"/>
          <w:divBdr>
            <w:top w:val="none" w:sz="0" w:space="0" w:color="auto"/>
            <w:left w:val="none" w:sz="0" w:space="0" w:color="auto"/>
            <w:bottom w:val="none" w:sz="0" w:space="0" w:color="auto"/>
            <w:right w:val="none" w:sz="0" w:space="0" w:color="auto"/>
          </w:divBdr>
          <w:divsChild>
            <w:div w:id="1661806210">
              <w:marLeft w:val="0"/>
              <w:marRight w:val="0"/>
              <w:marTop w:val="0"/>
              <w:marBottom w:val="0"/>
              <w:divBdr>
                <w:top w:val="none" w:sz="0" w:space="0" w:color="auto"/>
                <w:left w:val="none" w:sz="0" w:space="0" w:color="auto"/>
                <w:bottom w:val="none" w:sz="0" w:space="0" w:color="auto"/>
                <w:right w:val="none" w:sz="0" w:space="0" w:color="auto"/>
              </w:divBdr>
            </w:div>
          </w:divsChild>
        </w:div>
        <w:div w:id="1617442550">
          <w:marLeft w:val="0"/>
          <w:marRight w:val="0"/>
          <w:marTop w:val="0"/>
          <w:marBottom w:val="0"/>
          <w:divBdr>
            <w:top w:val="none" w:sz="0" w:space="0" w:color="auto"/>
            <w:left w:val="none" w:sz="0" w:space="0" w:color="auto"/>
            <w:bottom w:val="none" w:sz="0" w:space="0" w:color="auto"/>
            <w:right w:val="none" w:sz="0" w:space="0" w:color="auto"/>
          </w:divBdr>
          <w:divsChild>
            <w:div w:id="546600934">
              <w:marLeft w:val="0"/>
              <w:marRight w:val="0"/>
              <w:marTop w:val="0"/>
              <w:marBottom w:val="0"/>
              <w:divBdr>
                <w:top w:val="none" w:sz="0" w:space="0" w:color="auto"/>
                <w:left w:val="none" w:sz="0" w:space="0" w:color="auto"/>
                <w:bottom w:val="none" w:sz="0" w:space="0" w:color="auto"/>
                <w:right w:val="none" w:sz="0" w:space="0" w:color="auto"/>
              </w:divBdr>
            </w:div>
          </w:divsChild>
        </w:div>
        <w:div w:id="1620836892">
          <w:marLeft w:val="0"/>
          <w:marRight w:val="0"/>
          <w:marTop w:val="0"/>
          <w:marBottom w:val="0"/>
          <w:divBdr>
            <w:top w:val="none" w:sz="0" w:space="0" w:color="auto"/>
            <w:left w:val="none" w:sz="0" w:space="0" w:color="auto"/>
            <w:bottom w:val="none" w:sz="0" w:space="0" w:color="auto"/>
            <w:right w:val="none" w:sz="0" w:space="0" w:color="auto"/>
          </w:divBdr>
          <w:divsChild>
            <w:div w:id="1676108376">
              <w:marLeft w:val="0"/>
              <w:marRight w:val="0"/>
              <w:marTop w:val="0"/>
              <w:marBottom w:val="0"/>
              <w:divBdr>
                <w:top w:val="none" w:sz="0" w:space="0" w:color="auto"/>
                <w:left w:val="none" w:sz="0" w:space="0" w:color="auto"/>
                <w:bottom w:val="none" w:sz="0" w:space="0" w:color="auto"/>
                <w:right w:val="none" w:sz="0" w:space="0" w:color="auto"/>
              </w:divBdr>
            </w:div>
          </w:divsChild>
        </w:div>
        <w:div w:id="1639337643">
          <w:marLeft w:val="0"/>
          <w:marRight w:val="0"/>
          <w:marTop w:val="0"/>
          <w:marBottom w:val="0"/>
          <w:divBdr>
            <w:top w:val="none" w:sz="0" w:space="0" w:color="auto"/>
            <w:left w:val="none" w:sz="0" w:space="0" w:color="auto"/>
            <w:bottom w:val="none" w:sz="0" w:space="0" w:color="auto"/>
            <w:right w:val="none" w:sz="0" w:space="0" w:color="auto"/>
          </w:divBdr>
          <w:divsChild>
            <w:div w:id="12919519">
              <w:marLeft w:val="0"/>
              <w:marRight w:val="0"/>
              <w:marTop w:val="0"/>
              <w:marBottom w:val="0"/>
              <w:divBdr>
                <w:top w:val="none" w:sz="0" w:space="0" w:color="auto"/>
                <w:left w:val="none" w:sz="0" w:space="0" w:color="auto"/>
                <w:bottom w:val="none" w:sz="0" w:space="0" w:color="auto"/>
                <w:right w:val="none" w:sz="0" w:space="0" w:color="auto"/>
              </w:divBdr>
            </w:div>
          </w:divsChild>
        </w:div>
        <w:div w:id="1658149541">
          <w:marLeft w:val="0"/>
          <w:marRight w:val="0"/>
          <w:marTop w:val="0"/>
          <w:marBottom w:val="0"/>
          <w:divBdr>
            <w:top w:val="none" w:sz="0" w:space="0" w:color="auto"/>
            <w:left w:val="none" w:sz="0" w:space="0" w:color="auto"/>
            <w:bottom w:val="none" w:sz="0" w:space="0" w:color="auto"/>
            <w:right w:val="none" w:sz="0" w:space="0" w:color="auto"/>
          </w:divBdr>
          <w:divsChild>
            <w:div w:id="1125545835">
              <w:marLeft w:val="0"/>
              <w:marRight w:val="0"/>
              <w:marTop w:val="0"/>
              <w:marBottom w:val="0"/>
              <w:divBdr>
                <w:top w:val="none" w:sz="0" w:space="0" w:color="auto"/>
                <w:left w:val="none" w:sz="0" w:space="0" w:color="auto"/>
                <w:bottom w:val="none" w:sz="0" w:space="0" w:color="auto"/>
                <w:right w:val="none" w:sz="0" w:space="0" w:color="auto"/>
              </w:divBdr>
            </w:div>
          </w:divsChild>
        </w:div>
        <w:div w:id="1661956162">
          <w:marLeft w:val="0"/>
          <w:marRight w:val="0"/>
          <w:marTop w:val="0"/>
          <w:marBottom w:val="0"/>
          <w:divBdr>
            <w:top w:val="none" w:sz="0" w:space="0" w:color="auto"/>
            <w:left w:val="none" w:sz="0" w:space="0" w:color="auto"/>
            <w:bottom w:val="none" w:sz="0" w:space="0" w:color="auto"/>
            <w:right w:val="none" w:sz="0" w:space="0" w:color="auto"/>
          </w:divBdr>
          <w:divsChild>
            <w:div w:id="635069816">
              <w:marLeft w:val="0"/>
              <w:marRight w:val="0"/>
              <w:marTop w:val="0"/>
              <w:marBottom w:val="0"/>
              <w:divBdr>
                <w:top w:val="none" w:sz="0" w:space="0" w:color="auto"/>
                <w:left w:val="none" w:sz="0" w:space="0" w:color="auto"/>
                <w:bottom w:val="none" w:sz="0" w:space="0" w:color="auto"/>
                <w:right w:val="none" w:sz="0" w:space="0" w:color="auto"/>
              </w:divBdr>
            </w:div>
          </w:divsChild>
        </w:div>
        <w:div w:id="1668748153">
          <w:marLeft w:val="0"/>
          <w:marRight w:val="0"/>
          <w:marTop w:val="0"/>
          <w:marBottom w:val="0"/>
          <w:divBdr>
            <w:top w:val="none" w:sz="0" w:space="0" w:color="auto"/>
            <w:left w:val="none" w:sz="0" w:space="0" w:color="auto"/>
            <w:bottom w:val="none" w:sz="0" w:space="0" w:color="auto"/>
            <w:right w:val="none" w:sz="0" w:space="0" w:color="auto"/>
          </w:divBdr>
          <w:divsChild>
            <w:div w:id="1670447594">
              <w:marLeft w:val="0"/>
              <w:marRight w:val="0"/>
              <w:marTop w:val="0"/>
              <w:marBottom w:val="0"/>
              <w:divBdr>
                <w:top w:val="none" w:sz="0" w:space="0" w:color="auto"/>
                <w:left w:val="none" w:sz="0" w:space="0" w:color="auto"/>
                <w:bottom w:val="none" w:sz="0" w:space="0" w:color="auto"/>
                <w:right w:val="none" w:sz="0" w:space="0" w:color="auto"/>
              </w:divBdr>
            </w:div>
          </w:divsChild>
        </w:div>
        <w:div w:id="1680037086">
          <w:marLeft w:val="0"/>
          <w:marRight w:val="0"/>
          <w:marTop w:val="0"/>
          <w:marBottom w:val="0"/>
          <w:divBdr>
            <w:top w:val="none" w:sz="0" w:space="0" w:color="auto"/>
            <w:left w:val="none" w:sz="0" w:space="0" w:color="auto"/>
            <w:bottom w:val="none" w:sz="0" w:space="0" w:color="auto"/>
            <w:right w:val="none" w:sz="0" w:space="0" w:color="auto"/>
          </w:divBdr>
          <w:divsChild>
            <w:div w:id="1733964603">
              <w:marLeft w:val="0"/>
              <w:marRight w:val="0"/>
              <w:marTop w:val="0"/>
              <w:marBottom w:val="0"/>
              <w:divBdr>
                <w:top w:val="none" w:sz="0" w:space="0" w:color="auto"/>
                <w:left w:val="none" w:sz="0" w:space="0" w:color="auto"/>
                <w:bottom w:val="none" w:sz="0" w:space="0" w:color="auto"/>
                <w:right w:val="none" w:sz="0" w:space="0" w:color="auto"/>
              </w:divBdr>
            </w:div>
          </w:divsChild>
        </w:div>
        <w:div w:id="1689016718">
          <w:marLeft w:val="0"/>
          <w:marRight w:val="0"/>
          <w:marTop w:val="0"/>
          <w:marBottom w:val="0"/>
          <w:divBdr>
            <w:top w:val="none" w:sz="0" w:space="0" w:color="auto"/>
            <w:left w:val="none" w:sz="0" w:space="0" w:color="auto"/>
            <w:bottom w:val="none" w:sz="0" w:space="0" w:color="auto"/>
            <w:right w:val="none" w:sz="0" w:space="0" w:color="auto"/>
          </w:divBdr>
          <w:divsChild>
            <w:div w:id="547304120">
              <w:marLeft w:val="0"/>
              <w:marRight w:val="0"/>
              <w:marTop w:val="0"/>
              <w:marBottom w:val="0"/>
              <w:divBdr>
                <w:top w:val="none" w:sz="0" w:space="0" w:color="auto"/>
                <w:left w:val="none" w:sz="0" w:space="0" w:color="auto"/>
                <w:bottom w:val="none" w:sz="0" w:space="0" w:color="auto"/>
                <w:right w:val="none" w:sz="0" w:space="0" w:color="auto"/>
              </w:divBdr>
            </w:div>
          </w:divsChild>
        </w:div>
        <w:div w:id="1697002899">
          <w:marLeft w:val="0"/>
          <w:marRight w:val="0"/>
          <w:marTop w:val="0"/>
          <w:marBottom w:val="0"/>
          <w:divBdr>
            <w:top w:val="none" w:sz="0" w:space="0" w:color="auto"/>
            <w:left w:val="none" w:sz="0" w:space="0" w:color="auto"/>
            <w:bottom w:val="none" w:sz="0" w:space="0" w:color="auto"/>
            <w:right w:val="none" w:sz="0" w:space="0" w:color="auto"/>
          </w:divBdr>
          <w:divsChild>
            <w:div w:id="159735430">
              <w:marLeft w:val="0"/>
              <w:marRight w:val="0"/>
              <w:marTop w:val="0"/>
              <w:marBottom w:val="0"/>
              <w:divBdr>
                <w:top w:val="none" w:sz="0" w:space="0" w:color="auto"/>
                <w:left w:val="none" w:sz="0" w:space="0" w:color="auto"/>
                <w:bottom w:val="none" w:sz="0" w:space="0" w:color="auto"/>
                <w:right w:val="none" w:sz="0" w:space="0" w:color="auto"/>
              </w:divBdr>
            </w:div>
          </w:divsChild>
        </w:div>
        <w:div w:id="1702170299">
          <w:marLeft w:val="0"/>
          <w:marRight w:val="0"/>
          <w:marTop w:val="0"/>
          <w:marBottom w:val="0"/>
          <w:divBdr>
            <w:top w:val="none" w:sz="0" w:space="0" w:color="auto"/>
            <w:left w:val="none" w:sz="0" w:space="0" w:color="auto"/>
            <w:bottom w:val="none" w:sz="0" w:space="0" w:color="auto"/>
            <w:right w:val="none" w:sz="0" w:space="0" w:color="auto"/>
          </w:divBdr>
          <w:divsChild>
            <w:div w:id="1974672492">
              <w:marLeft w:val="0"/>
              <w:marRight w:val="0"/>
              <w:marTop w:val="0"/>
              <w:marBottom w:val="0"/>
              <w:divBdr>
                <w:top w:val="none" w:sz="0" w:space="0" w:color="auto"/>
                <w:left w:val="none" w:sz="0" w:space="0" w:color="auto"/>
                <w:bottom w:val="none" w:sz="0" w:space="0" w:color="auto"/>
                <w:right w:val="none" w:sz="0" w:space="0" w:color="auto"/>
              </w:divBdr>
            </w:div>
          </w:divsChild>
        </w:div>
        <w:div w:id="1705136837">
          <w:marLeft w:val="0"/>
          <w:marRight w:val="0"/>
          <w:marTop w:val="0"/>
          <w:marBottom w:val="0"/>
          <w:divBdr>
            <w:top w:val="none" w:sz="0" w:space="0" w:color="auto"/>
            <w:left w:val="none" w:sz="0" w:space="0" w:color="auto"/>
            <w:bottom w:val="none" w:sz="0" w:space="0" w:color="auto"/>
            <w:right w:val="none" w:sz="0" w:space="0" w:color="auto"/>
          </w:divBdr>
          <w:divsChild>
            <w:div w:id="2022050159">
              <w:marLeft w:val="0"/>
              <w:marRight w:val="0"/>
              <w:marTop w:val="0"/>
              <w:marBottom w:val="0"/>
              <w:divBdr>
                <w:top w:val="none" w:sz="0" w:space="0" w:color="auto"/>
                <w:left w:val="none" w:sz="0" w:space="0" w:color="auto"/>
                <w:bottom w:val="none" w:sz="0" w:space="0" w:color="auto"/>
                <w:right w:val="none" w:sz="0" w:space="0" w:color="auto"/>
              </w:divBdr>
            </w:div>
          </w:divsChild>
        </w:div>
        <w:div w:id="1736272419">
          <w:marLeft w:val="0"/>
          <w:marRight w:val="0"/>
          <w:marTop w:val="0"/>
          <w:marBottom w:val="0"/>
          <w:divBdr>
            <w:top w:val="none" w:sz="0" w:space="0" w:color="auto"/>
            <w:left w:val="none" w:sz="0" w:space="0" w:color="auto"/>
            <w:bottom w:val="none" w:sz="0" w:space="0" w:color="auto"/>
            <w:right w:val="none" w:sz="0" w:space="0" w:color="auto"/>
          </w:divBdr>
          <w:divsChild>
            <w:div w:id="272135662">
              <w:marLeft w:val="0"/>
              <w:marRight w:val="0"/>
              <w:marTop w:val="0"/>
              <w:marBottom w:val="0"/>
              <w:divBdr>
                <w:top w:val="none" w:sz="0" w:space="0" w:color="auto"/>
                <w:left w:val="none" w:sz="0" w:space="0" w:color="auto"/>
                <w:bottom w:val="none" w:sz="0" w:space="0" w:color="auto"/>
                <w:right w:val="none" w:sz="0" w:space="0" w:color="auto"/>
              </w:divBdr>
            </w:div>
          </w:divsChild>
        </w:div>
        <w:div w:id="1745372006">
          <w:marLeft w:val="0"/>
          <w:marRight w:val="0"/>
          <w:marTop w:val="0"/>
          <w:marBottom w:val="0"/>
          <w:divBdr>
            <w:top w:val="none" w:sz="0" w:space="0" w:color="auto"/>
            <w:left w:val="none" w:sz="0" w:space="0" w:color="auto"/>
            <w:bottom w:val="none" w:sz="0" w:space="0" w:color="auto"/>
            <w:right w:val="none" w:sz="0" w:space="0" w:color="auto"/>
          </w:divBdr>
          <w:divsChild>
            <w:div w:id="1503163122">
              <w:marLeft w:val="0"/>
              <w:marRight w:val="0"/>
              <w:marTop w:val="0"/>
              <w:marBottom w:val="0"/>
              <w:divBdr>
                <w:top w:val="none" w:sz="0" w:space="0" w:color="auto"/>
                <w:left w:val="none" w:sz="0" w:space="0" w:color="auto"/>
                <w:bottom w:val="none" w:sz="0" w:space="0" w:color="auto"/>
                <w:right w:val="none" w:sz="0" w:space="0" w:color="auto"/>
              </w:divBdr>
            </w:div>
          </w:divsChild>
        </w:div>
        <w:div w:id="1764179092">
          <w:marLeft w:val="0"/>
          <w:marRight w:val="0"/>
          <w:marTop w:val="0"/>
          <w:marBottom w:val="0"/>
          <w:divBdr>
            <w:top w:val="none" w:sz="0" w:space="0" w:color="auto"/>
            <w:left w:val="none" w:sz="0" w:space="0" w:color="auto"/>
            <w:bottom w:val="none" w:sz="0" w:space="0" w:color="auto"/>
            <w:right w:val="none" w:sz="0" w:space="0" w:color="auto"/>
          </w:divBdr>
          <w:divsChild>
            <w:div w:id="357320742">
              <w:marLeft w:val="0"/>
              <w:marRight w:val="0"/>
              <w:marTop w:val="0"/>
              <w:marBottom w:val="0"/>
              <w:divBdr>
                <w:top w:val="none" w:sz="0" w:space="0" w:color="auto"/>
                <w:left w:val="none" w:sz="0" w:space="0" w:color="auto"/>
                <w:bottom w:val="none" w:sz="0" w:space="0" w:color="auto"/>
                <w:right w:val="none" w:sz="0" w:space="0" w:color="auto"/>
              </w:divBdr>
            </w:div>
          </w:divsChild>
        </w:div>
        <w:div w:id="1781601922">
          <w:marLeft w:val="0"/>
          <w:marRight w:val="0"/>
          <w:marTop w:val="0"/>
          <w:marBottom w:val="0"/>
          <w:divBdr>
            <w:top w:val="none" w:sz="0" w:space="0" w:color="auto"/>
            <w:left w:val="none" w:sz="0" w:space="0" w:color="auto"/>
            <w:bottom w:val="none" w:sz="0" w:space="0" w:color="auto"/>
            <w:right w:val="none" w:sz="0" w:space="0" w:color="auto"/>
          </w:divBdr>
          <w:divsChild>
            <w:div w:id="1547906434">
              <w:marLeft w:val="0"/>
              <w:marRight w:val="0"/>
              <w:marTop w:val="0"/>
              <w:marBottom w:val="0"/>
              <w:divBdr>
                <w:top w:val="none" w:sz="0" w:space="0" w:color="auto"/>
                <w:left w:val="none" w:sz="0" w:space="0" w:color="auto"/>
                <w:bottom w:val="none" w:sz="0" w:space="0" w:color="auto"/>
                <w:right w:val="none" w:sz="0" w:space="0" w:color="auto"/>
              </w:divBdr>
            </w:div>
          </w:divsChild>
        </w:div>
        <w:div w:id="1793134420">
          <w:marLeft w:val="0"/>
          <w:marRight w:val="0"/>
          <w:marTop w:val="0"/>
          <w:marBottom w:val="0"/>
          <w:divBdr>
            <w:top w:val="none" w:sz="0" w:space="0" w:color="auto"/>
            <w:left w:val="none" w:sz="0" w:space="0" w:color="auto"/>
            <w:bottom w:val="none" w:sz="0" w:space="0" w:color="auto"/>
            <w:right w:val="none" w:sz="0" w:space="0" w:color="auto"/>
          </w:divBdr>
          <w:divsChild>
            <w:div w:id="2040162354">
              <w:marLeft w:val="0"/>
              <w:marRight w:val="0"/>
              <w:marTop w:val="0"/>
              <w:marBottom w:val="0"/>
              <w:divBdr>
                <w:top w:val="none" w:sz="0" w:space="0" w:color="auto"/>
                <w:left w:val="none" w:sz="0" w:space="0" w:color="auto"/>
                <w:bottom w:val="none" w:sz="0" w:space="0" w:color="auto"/>
                <w:right w:val="none" w:sz="0" w:space="0" w:color="auto"/>
              </w:divBdr>
            </w:div>
          </w:divsChild>
        </w:div>
        <w:div w:id="1808358358">
          <w:marLeft w:val="0"/>
          <w:marRight w:val="0"/>
          <w:marTop w:val="0"/>
          <w:marBottom w:val="0"/>
          <w:divBdr>
            <w:top w:val="none" w:sz="0" w:space="0" w:color="auto"/>
            <w:left w:val="none" w:sz="0" w:space="0" w:color="auto"/>
            <w:bottom w:val="none" w:sz="0" w:space="0" w:color="auto"/>
            <w:right w:val="none" w:sz="0" w:space="0" w:color="auto"/>
          </w:divBdr>
          <w:divsChild>
            <w:div w:id="1861357378">
              <w:marLeft w:val="0"/>
              <w:marRight w:val="0"/>
              <w:marTop w:val="0"/>
              <w:marBottom w:val="0"/>
              <w:divBdr>
                <w:top w:val="none" w:sz="0" w:space="0" w:color="auto"/>
                <w:left w:val="none" w:sz="0" w:space="0" w:color="auto"/>
                <w:bottom w:val="none" w:sz="0" w:space="0" w:color="auto"/>
                <w:right w:val="none" w:sz="0" w:space="0" w:color="auto"/>
              </w:divBdr>
            </w:div>
          </w:divsChild>
        </w:div>
        <w:div w:id="1818372616">
          <w:marLeft w:val="0"/>
          <w:marRight w:val="0"/>
          <w:marTop w:val="0"/>
          <w:marBottom w:val="0"/>
          <w:divBdr>
            <w:top w:val="none" w:sz="0" w:space="0" w:color="auto"/>
            <w:left w:val="none" w:sz="0" w:space="0" w:color="auto"/>
            <w:bottom w:val="none" w:sz="0" w:space="0" w:color="auto"/>
            <w:right w:val="none" w:sz="0" w:space="0" w:color="auto"/>
          </w:divBdr>
          <w:divsChild>
            <w:div w:id="1038357158">
              <w:marLeft w:val="0"/>
              <w:marRight w:val="0"/>
              <w:marTop w:val="0"/>
              <w:marBottom w:val="0"/>
              <w:divBdr>
                <w:top w:val="none" w:sz="0" w:space="0" w:color="auto"/>
                <w:left w:val="none" w:sz="0" w:space="0" w:color="auto"/>
                <w:bottom w:val="none" w:sz="0" w:space="0" w:color="auto"/>
                <w:right w:val="none" w:sz="0" w:space="0" w:color="auto"/>
              </w:divBdr>
            </w:div>
          </w:divsChild>
        </w:div>
        <w:div w:id="1821388810">
          <w:marLeft w:val="0"/>
          <w:marRight w:val="0"/>
          <w:marTop w:val="0"/>
          <w:marBottom w:val="0"/>
          <w:divBdr>
            <w:top w:val="none" w:sz="0" w:space="0" w:color="auto"/>
            <w:left w:val="none" w:sz="0" w:space="0" w:color="auto"/>
            <w:bottom w:val="none" w:sz="0" w:space="0" w:color="auto"/>
            <w:right w:val="none" w:sz="0" w:space="0" w:color="auto"/>
          </w:divBdr>
          <w:divsChild>
            <w:div w:id="841970919">
              <w:marLeft w:val="0"/>
              <w:marRight w:val="0"/>
              <w:marTop w:val="0"/>
              <w:marBottom w:val="0"/>
              <w:divBdr>
                <w:top w:val="none" w:sz="0" w:space="0" w:color="auto"/>
                <w:left w:val="none" w:sz="0" w:space="0" w:color="auto"/>
                <w:bottom w:val="none" w:sz="0" w:space="0" w:color="auto"/>
                <w:right w:val="none" w:sz="0" w:space="0" w:color="auto"/>
              </w:divBdr>
            </w:div>
          </w:divsChild>
        </w:div>
        <w:div w:id="1821922483">
          <w:marLeft w:val="0"/>
          <w:marRight w:val="0"/>
          <w:marTop w:val="0"/>
          <w:marBottom w:val="0"/>
          <w:divBdr>
            <w:top w:val="none" w:sz="0" w:space="0" w:color="auto"/>
            <w:left w:val="none" w:sz="0" w:space="0" w:color="auto"/>
            <w:bottom w:val="none" w:sz="0" w:space="0" w:color="auto"/>
            <w:right w:val="none" w:sz="0" w:space="0" w:color="auto"/>
          </w:divBdr>
          <w:divsChild>
            <w:div w:id="245191348">
              <w:marLeft w:val="0"/>
              <w:marRight w:val="0"/>
              <w:marTop w:val="0"/>
              <w:marBottom w:val="0"/>
              <w:divBdr>
                <w:top w:val="none" w:sz="0" w:space="0" w:color="auto"/>
                <w:left w:val="none" w:sz="0" w:space="0" w:color="auto"/>
                <w:bottom w:val="none" w:sz="0" w:space="0" w:color="auto"/>
                <w:right w:val="none" w:sz="0" w:space="0" w:color="auto"/>
              </w:divBdr>
            </w:div>
          </w:divsChild>
        </w:div>
        <w:div w:id="1833376932">
          <w:marLeft w:val="0"/>
          <w:marRight w:val="0"/>
          <w:marTop w:val="0"/>
          <w:marBottom w:val="0"/>
          <w:divBdr>
            <w:top w:val="none" w:sz="0" w:space="0" w:color="auto"/>
            <w:left w:val="none" w:sz="0" w:space="0" w:color="auto"/>
            <w:bottom w:val="none" w:sz="0" w:space="0" w:color="auto"/>
            <w:right w:val="none" w:sz="0" w:space="0" w:color="auto"/>
          </w:divBdr>
          <w:divsChild>
            <w:div w:id="1406026292">
              <w:marLeft w:val="0"/>
              <w:marRight w:val="0"/>
              <w:marTop w:val="0"/>
              <w:marBottom w:val="0"/>
              <w:divBdr>
                <w:top w:val="none" w:sz="0" w:space="0" w:color="auto"/>
                <w:left w:val="none" w:sz="0" w:space="0" w:color="auto"/>
                <w:bottom w:val="none" w:sz="0" w:space="0" w:color="auto"/>
                <w:right w:val="none" w:sz="0" w:space="0" w:color="auto"/>
              </w:divBdr>
            </w:div>
          </w:divsChild>
        </w:div>
        <w:div w:id="1852987062">
          <w:marLeft w:val="0"/>
          <w:marRight w:val="0"/>
          <w:marTop w:val="0"/>
          <w:marBottom w:val="0"/>
          <w:divBdr>
            <w:top w:val="none" w:sz="0" w:space="0" w:color="auto"/>
            <w:left w:val="none" w:sz="0" w:space="0" w:color="auto"/>
            <w:bottom w:val="none" w:sz="0" w:space="0" w:color="auto"/>
            <w:right w:val="none" w:sz="0" w:space="0" w:color="auto"/>
          </w:divBdr>
          <w:divsChild>
            <w:div w:id="951015253">
              <w:marLeft w:val="0"/>
              <w:marRight w:val="0"/>
              <w:marTop w:val="0"/>
              <w:marBottom w:val="0"/>
              <w:divBdr>
                <w:top w:val="none" w:sz="0" w:space="0" w:color="auto"/>
                <w:left w:val="none" w:sz="0" w:space="0" w:color="auto"/>
                <w:bottom w:val="none" w:sz="0" w:space="0" w:color="auto"/>
                <w:right w:val="none" w:sz="0" w:space="0" w:color="auto"/>
              </w:divBdr>
            </w:div>
          </w:divsChild>
        </w:div>
        <w:div w:id="1878853244">
          <w:marLeft w:val="0"/>
          <w:marRight w:val="0"/>
          <w:marTop w:val="0"/>
          <w:marBottom w:val="0"/>
          <w:divBdr>
            <w:top w:val="none" w:sz="0" w:space="0" w:color="auto"/>
            <w:left w:val="none" w:sz="0" w:space="0" w:color="auto"/>
            <w:bottom w:val="none" w:sz="0" w:space="0" w:color="auto"/>
            <w:right w:val="none" w:sz="0" w:space="0" w:color="auto"/>
          </w:divBdr>
          <w:divsChild>
            <w:div w:id="731849900">
              <w:marLeft w:val="0"/>
              <w:marRight w:val="0"/>
              <w:marTop w:val="0"/>
              <w:marBottom w:val="0"/>
              <w:divBdr>
                <w:top w:val="none" w:sz="0" w:space="0" w:color="auto"/>
                <w:left w:val="none" w:sz="0" w:space="0" w:color="auto"/>
                <w:bottom w:val="none" w:sz="0" w:space="0" w:color="auto"/>
                <w:right w:val="none" w:sz="0" w:space="0" w:color="auto"/>
              </w:divBdr>
            </w:div>
          </w:divsChild>
        </w:div>
        <w:div w:id="1915627719">
          <w:marLeft w:val="0"/>
          <w:marRight w:val="0"/>
          <w:marTop w:val="0"/>
          <w:marBottom w:val="0"/>
          <w:divBdr>
            <w:top w:val="none" w:sz="0" w:space="0" w:color="auto"/>
            <w:left w:val="none" w:sz="0" w:space="0" w:color="auto"/>
            <w:bottom w:val="none" w:sz="0" w:space="0" w:color="auto"/>
            <w:right w:val="none" w:sz="0" w:space="0" w:color="auto"/>
          </w:divBdr>
          <w:divsChild>
            <w:div w:id="143206346">
              <w:marLeft w:val="0"/>
              <w:marRight w:val="0"/>
              <w:marTop w:val="0"/>
              <w:marBottom w:val="0"/>
              <w:divBdr>
                <w:top w:val="none" w:sz="0" w:space="0" w:color="auto"/>
                <w:left w:val="none" w:sz="0" w:space="0" w:color="auto"/>
                <w:bottom w:val="none" w:sz="0" w:space="0" w:color="auto"/>
                <w:right w:val="none" w:sz="0" w:space="0" w:color="auto"/>
              </w:divBdr>
            </w:div>
          </w:divsChild>
        </w:div>
        <w:div w:id="1922830778">
          <w:marLeft w:val="0"/>
          <w:marRight w:val="0"/>
          <w:marTop w:val="0"/>
          <w:marBottom w:val="0"/>
          <w:divBdr>
            <w:top w:val="none" w:sz="0" w:space="0" w:color="auto"/>
            <w:left w:val="none" w:sz="0" w:space="0" w:color="auto"/>
            <w:bottom w:val="none" w:sz="0" w:space="0" w:color="auto"/>
            <w:right w:val="none" w:sz="0" w:space="0" w:color="auto"/>
          </w:divBdr>
          <w:divsChild>
            <w:div w:id="1981617753">
              <w:marLeft w:val="0"/>
              <w:marRight w:val="0"/>
              <w:marTop w:val="0"/>
              <w:marBottom w:val="0"/>
              <w:divBdr>
                <w:top w:val="none" w:sz="0" w:space="0" w:color="auto"/>
                <w:left w:val="none" w:sz="0" w:space="0" w:color="auto"/>
                <w:bottom w:val="none" w:sz="0" w:space="0" w:color="auto"/>
                <w:right w:val="none" w:sz="0" w:space="0" w:color="auto"/>
              </w:divBdr>
            </w:div>
          </w:divsChild>
        </w:div>
        <w:div w:id="1948922323">
          <w:marLeft w:val="0"/>
          <w:marRight w:val="0"/>
          <w:marTop w:val="0"/>
          <w:marBottom w:val="0"/>
          <w:divBdr>
            <w:top w:val="none" w:sz="0" w:space="0" w:color="auto"/>
            <w:left w:val="none" w:sz="0" w:space="0" w:color="auto"/>
            <w:bottom w:val="none" w:sz="0" w:space="0" w:color="auto"/>
            <w:right w:val="none" w:sz="0" w:space="0" w:color="auto"/>
          </w:divBdr>
          <w:divsChild>
            <w:div w:id="1959797148">
              <w:marLeft w:val="0"/>
              <w:marRight w:val="0"/>
              <w:marTop w:val="0"/>
              <w:marBottom w:val="0"/>
              <w:divBdr>
                <w:top w:val="none" w:sz="0" w:space="0" w:color="auto"/>
                <w:left w:val="none" w:sz="0" w:space="0" w:color="auto"/>
                <w:bottom w:val="none" w:sz="0" w:space="0" w:color="auto"/>
                <w:right w:val="none" w:sz="0" w:space="0" w:color="auto"/>
              </w:divBdr>
            </w:div>
          </w:divsChild>
        </w:div>
        <w:div w:id="1961572215">
          <w:marLeft w:val="0"/>
          <w:marRight w:val="0"/>
          <w:marTop w:val="0"/>
          <w:marBottom w:val="0"/>
          <w:divBdr>
            <w:top w:val="none" w:sz="0" w:space="0" w:color="auto"/>
            <w:left w:val="none" w:sz="0" w:space="0" w:color="auto"/>
            <w:bottom w:val="none" w:sz="0" w:space="0" w:color="auto"/>
            <w:right w:val="none" w:sz="0" w:space="0" w:color="auto"/>
          </w:divBdr>
          <w:divsChild>
            <w:div w:id="1816331037">
              <w:marLeft w:val="0"/>
              <w:marRight w:val="0"/>
              <w:marTop w:val="0"/>
              <w:marBottom w:val="0"/>
              <w:divBdr>
                <w:top w:val="none" w:sz="0" w:space="0" w:color="auto"/>
                <w:left w:val="none" w:sz="0" w:space="0" w:color="auto"/>
                <w:bottom w:val="none" w:sz="0" w:space="0" w:color="auto"/>
                <w:right w:val="none" w:sz="0" w:space="0" w:color="auto"/>
              </w:divBdr>
            </w:div>
          </w:divsChild>
        </w:div>
        <w:div w:id="2027556025">
          <w:marLeft w:val="0"/>
          <w:marRight w:val="0"/>
          <w:marTop w:val="0"/>
          <w:marBottom w:val="0"/>
          <w:divBdr>
            <w:top w:val="none" w:sz="0" w:space="0" w:color="auto"/>
            <w:left w:val="none" w:sz="0" w:space="0" w:color="auto"/>
            <w:bottom w:val="none" w:sz="0" w:space="0" w:color="auto"/>
            <w:right w:val="none" w:sz="0" w:space="0" w:color="auto"/>
          </w:divBdr>
          <w:divsChild>
            <w:div w:id="654336317">
              <w:marLeft w:val="0"/>
              <w:marRight w:val="0"/>
              <w:marTop w:val="0"/>
              <w:marBottom w:val="0"/>
              <w:divBdr>
                <w:top w:val="none" w:sz="0" w:space="0" w:color="auto"/>
                <w:left w:val="none" w:sz="0" w:space="0" w:color="auto"/>
                <w:bottom w:val="none" w:sz="0" w:space="0" w:color="auto"/>
                <w:right w:val="none" w:sz="0" w:space="0" w:color="auto"/>
              </w:divBdr>
            </w:div>
          </w:divsChild>
        </w:div>
        <w:div w:id="2041465637">
          <w:marLeft w:val="0"/>
          <w:marRight w:val="0"/>
          <w:marTop w:val="0"/>
          <w:marBottom w:val="0"/>
          <w:divBdr>
            <w:top w:val="none" w:sz="0" w:space="0" w:color="auto"/>
            <w:left w:val="none" w:sz="0" w:space="0" w:color="auto"/>
            <w:bottom w:val="none" w:sz="0" w:space="0" w:color="auto"/>
            <w:right w:val="none" w:sz="0" w:space="0" w:color="auto"/>
          </w:divBdr>
          <w:divsChild>
            <w:div w:id="373427471">
              <w:marLeft w:val="0"/>
              <w:marRight w:val="0"/>
              <w:marTop w:val="0"/>
              <w:marBottom w:val="0"/>
              <w:divBdr>
                <w:top w:val="none" w:sz="0" w:space="0" w:color="auto"/>
                <w:left w:val="none" w:sz="0" w:space="0" w:color="auto"/>
                <w:bottom w:val="none" w:sz="0" w:space="0" w:color="auto"/>
                <w:right w:val="none" w:sz="0" w:space="0" w:color="auto"/>
              </w:divBdr>
            </w:div>
          </w:divsChild>
        </w:div>
        <w:div w:id="2102792471">
          <w:marLeft w:val="0"/>
          <w:marRight w:val="0"/>
          <w:marTop w:val="0"/>
          <w:marBottom w:val="0"/>
          <w:divBdr>
            <w:top w:val="none" w:sz="0" w:space="0" w:color="auto"/>
            <w:left w:val="none" w:sz="0" w:space="0" w:color="auto"/>
            <w:bottom w:val="none" w:sz="0" w:space="0" w:color="auto"/>
            <w:right w:val="none" w:sz="0" w:space="0" w:color="auto"/>
          </w:divBdr>
          <w:divsChild>
            <w:div w:id="518809777">
              <w:marLeft w:val="0"/>
              <w:marRight w:val="0"/>
              <w:marTop w:val="0"/>
              <w:marBottom w:val="0"/>
              <w:divBdr>
                <w:top w:val="none" w:sz="0" w:space="0" w:color="auto"/>
                <w:left w:val="none" w:sz="0" w:space="0" w:color="auto"/>
                <w:bottom w:val="none" w:sz="0" w:space="0" w:color="auto"/>
                <w:right w:val="none" w:sz="0" w:space="0" w:color="auto"/>
              </w:divBdr>
            </w:div>
          </w:divsChild>
        </w:div>
        <w:div w:id="2111853177">
          <w:marLeft w:val="0"/>
          <w:marRight w:val="0"/>
          <w:marTop w:val="0"/>
          <w:marBottom w:val="0"/>
          <w:divBdr>
            <w:top w:val="none" w:sz="0" w:space="0" w:color="auto"/>
            <w:left w:val="none" w:sz="0" w:space="0" w:color="auto"/>
            <w:bottom w:val="none" w:sz="0" w:space="0" w:color="auto"/>
            <w:right w:val="none" w:sz="0" w:space="0" w:color="auto"/>
          </w:divBdr>
          <w:divsChild>
            <w:div w:id="1184788961">
              <w:marLeft w:val="0"/>
              <w:marRight w:val="0"/>
              <w:marTop w:val="0"/>
              <w:marBottom w:val="0"/>
              <w:divBdr>
                <w:top w:val="none" w:sz="0" w:space="0" w:color="auto"/>
                <w:left w:val="none" w:sz="0" w:space="0" w:color="auto"/>
                <w:bottom w:val="none" w:sz="0" w:space="0" w:color="auto"/>
                <w:right w:val="none" w:sz="0" w:space="0" w:color="auto"/>
              </w:divBdr>
            </w:div>
          </w:divsChild>
        </w:div>
        <w:div w:id="2126533645">
          <w:marLeft w:val="0"/>
          <w:marRight w:val="0"/>
          <w:marTop w:val="0"/>
          <w:marBottom w:val="0"/>
          <w:divBdr>
            <w:top w:val="none" w:sz="0" w:space="0" w:color="auto"/>
            <w:left w:val="none" w:sz="0" w:space="0" w:color="auto"/>
            <w:bottom w:val="none" w:sz="0" w:space="0" w:color="auto"/>
            <w:right w:val="none" w:sz="0" w:space="0" w:color="auto"/>
          </w:divBdr>
          <w:divsChild>
            <w:div w:id="872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4919">
      <w:bodyDiv w:val="1"/>
      <w:marLeft w:val="0"/>
      <w:marRight w:val="0"/>
      <w:marTop w:val="0"/>
      <w:marBottom w:val="0"/>
      <w:divBdr>
        <w:top w:val="none" w:sz="0" w:space="0" w:color="auto"/>
        <w:left w:val="none" w:sz="0" w:space="0" w:color="auto"/>
        <w:bottom w:val="none" w:sz="0" w:space="0" w:color="auto"/>
        <w:right w:val="none" w:sz="0" w:space="0" w:color="auto"/>
      </w:divBdr>
      <w:divsChild>
        <w:div w:id="48649420">
          <w:marLeft w:val="0"/>
          <w:marRight w:val="0"/>
          <w:marTop w:val="0"/>
          <w:marBottom w:val="0"/>
          <w:divBdr>
            <w:top w:val="none" w:sz="0" w:space="0" w:color="auto"/>
            <w:left w:val="none" w:sz="0" w:space="0" w:color="auto"/>
            <w:bottom w:val="none" w:sz="0" w:space="0" w:color="auto"/>
            <w:right w:val="none" w:sz="0" w:space="0" w:color="auto"/>
          </w:divBdr>
        </w:div>
        <w:div w:id="58984132">
          <w:marLeft w:val="0"/>
          <w:marRight w:val="0"/>
          <w:marTop w:val="0"/>
          <w:marBottom w:val="0"/>
          <w:divBdr>
            <w:top w:val="none" w:sz="0" w:space="0" w:color="auto"/>
            <w:left w:val="none" w:sz="0" w:space="0" w:color="auto"/>
            <w:bottom w:val="none" w:sz="0" w:space="0" w:color="auto"/>
            <w:right w:val="none" w:sz="0" w:space="0" w:color="auto"/>
          </w:divBdr>
        </w:div>
        <w:div w:id="383606145">
          <w:marLeft w:val="0"/>
          <w:marRight w:val="0"/>
          <w:marTop w:val="0"/>
          <w:marBottom w:val="0"/>
          <w:divBdr>
            <w:top w:val="none" w:sz="0" w:space="0" w:color="auto"/>
            <w:left w:val="none" w:sz="0" w:space="0" w:color="auto"/>
            <w:bottom w:val="none" w:sz="0" w:space="0" w:color="auto"/>
            <w:right w:val="none" w:sz="0" w:space="0" w:color="auto"/>
          </w:divBdr>
        </w:div>
        <w:div w:id="407652609">
          <w:marLeft w:val="0"/>
          <w:marRight w:val="0"/>
          <w:marTop w:val="0"/>
          <w:marBottom w:val="0"/>
          <w:divBdr>
            <w:top w:val="none" w:sz="0" w:space="0" w:color="auto"/>
            <w:left w:val="none" w:sz="0" w:space="0" w:color="auto"/>
            <w:bottom w:val="none" w:sz="0" w:space="0" w:color="auto"/>
            <w:right w:val="none" w:sz="0" w:space="0" w:color="auto"/>
          </w:divBdr>
        </w:div>
        <w:div w:id="509947860">
          <w:marLeft w:val="0"/>
          <w:marRight w:val="0"/>
          <w:marTop w:val="0"/>
          <w:marBottom w:val="0"/>
          <w:divBdr>
            <w:top w:val="none" w:sz="0" w:space="0" w:color="auto"/>
            <w:left w:val="none" w:sz="0" w:space="0" w:color="auto"/>
            <w:bottom w:val="none" w:sz="0" w:space="0" w:color="auto"/>
            <w:right w:val="none" w:sz="0" w:space="0" w:color="auto"/>
          </w:divBdr>
        </w:div>
        <w:div w:id="609901754">
          <w:marLeft w:val="0"/>
          <w:marRight w:val="0"/>
          <w:marTop w:val="0"/>
          <w:marBottom w:val="0"/>
          <w:divBdr>
            <w:top w:val="none" w:sz="0" w:space="0" w:color="auto"/>
            <w:left w:val="none" w:sz="0" w:space="0" w:color="auto"/>
            <w:bottom w:val="none" w:sz="0" w:space="0" w:color="auto"/>
            <w:right w:val="none" w:sz="0" w:space="0" w:color="auto"/>
          </w:divBdr>
        </w:div>
        <w:div w:id="661354060">
          <w:marLeft w:val="0"/>
          <w:marRight w:val="0"/>
          <w:marTop w:val="0"/>
          <w:marBottom w:val="0"/>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782383481">
          <w:marLeft w:val="0"/>
          <w:marRight w:val="0"/>
          <w:marTop w:val="0"/>
          <w:marBottom w:val="0"/>
          <w:divBdr>
            <w:top w:val="none" w:sz="0" w:space="0" w:color="auto"/>
            <w:left w:val="none" w:sz="0" w:space="0" w:color="auto"/>
            <w:bottom w:val="none" w:sz="0" w:space="0" w:color="auto"/>
            <w:right w:val="none" w:sz="0" w:space="0" w:color="auto"/>
          </w:divBdr>
        </w:div>
        <w:div w:id="854685131">
          <w:marLeft w:val="0"/>
          <w:marRight w:val="0"/>
          <w:marTop w:val="0"/>
          <w:marBottom w:val="0"/>
          <w:divBdr>
            <w:top w:val="none" w:sz="0" w:space="0" w:color="auto"/>
            <w:left w:val="none" w:sz="0" w:space="0" w:color="auto"/>
            <w:bottom w:val="none" w:sz="0" w:space="0" w:color="auto"/>
            <w:right w:val="none" w:sz="0" w:space="0" w:color="auto"/>
          </w:divBdr>
        </w:div>
        <w:div w:id="983267572">
          <w:marLeft w:val="0"/>
          <w:marRight w:val="0"/>
          <w:marTop w:val="0"/>
          <w:marBottom w:val="0"/>
          <w:divBdr>
            <w:top w:val="none" w:sz="0" w:space="0" w:color="auto"/>
            <w:left w:val="none" w:sz="0" w:space="0" w:color="auto"/>
            <w:bottom w:val="none" w:sz="0" w:space="0" w:color="auto"/>
            <w:right w:val="none" w:sz="0" w:space="0" w:color="auto"/>
          </w:divBdr>
        </w:div>
        <w:div w:id="1114403072">
          <w:marLeft w:val="0"/>
          <w:marRight w:val="0"/>
          <w:marTop w:val="0"/>
          <w:marBottom w:val="0"/>
          <w:divBdr>
            <w:top w:val="none" w:sz="0" w:space="0" w:color="auto"/>
            <w:left w:val="none" w:sz="0" w:space="0" w:color="auto"/>
            <w:bottom w:val="none" w:sz="0" w:space="0" w:color="auto"/>
            <w:right w:val="none" w:sz="0" w:space="0" w:color="auto"/>
          </w:divBdr>
        </w:div>
        <w:div w:id="1231118364">
          <w:marLeft w:val="0"/>
          <w:marRight w:val="0"/>
          <w:marTop w:val="0"/>
          <w:marBottom w:val="0"/>
          <w:divBdr>
            <w:top w:val="none" w:sz="0" w:space="0" w:color="auto"/>
            <w:left w:val="none" w:sz="0" w:space="0" w:color="auto"/>
            <w:bottom w:val="none" w:sz="0" w:space="0" w:color="auto"/>
            <w:right w:val="none" w:sz="0" w:space="0" w:color="auto"/>
          </w:divBdr>
        </w:div>
        <w:div w:id="1234664152">
          <w:marLeft w:val="0"/>
          <w:marRight w:val="0"/>
          <w:marTop w:val="0"/>
          <w:marBottom w:val="0"/>
          <w:divBdr>
            <w:top w:val="none" w:sz="0" w:space="0" w:color="auto"/>
            <w:left w:val="none" w:sz="0" w:space="0" w:color="auto"/>
            <w:bottom w:val="none" w:sz="0" w:space="0" w:color="auto"/>
            <w:right w:val="none" w:sz="0" w:space="0" w:color="auto"/>
          </w:divBdr>
        </w:div>
        <w:div w:id="1308706854">
          <w:marLeft w:val="0"/>
          <w:marRight w:val="0"/>
          <w:marTop w:val="0"/>
          <w:marBottom w:val="0"/>
          <w:divBdr>
            <w:top w:val="none" w:sz="0" w:space="0" w:color="auto"/>
            <w:left w:val="none" w:sz="0" w:space="0" w:color="auto"/>
            <w:bottom w:val="none" w:sz="0" w:space="0" w:color="auto"/>
            <w:right w:val="none" w:sz="0" w:space="0" w:color="auto"/>
          </w:divBdr>
        </w:div>
        <w:div w:id="1411003241">
          <w:marLeft w:val="0"/>
          <w:marRight w:val="0"/>
          <w:marTop w:val="0"/>
          <w:marBottom w:val="0"/>
          <w:divBdr>
            <w:top w:val="none" w:sz="0" w:space="0" w:color="auto"/>
            <w:left w:val="none" w:sz="0" w:space="0" w:color="auto"/>
            <w:bottom w:val="none" w:sz="0" w:space="0" w:color="auto"/>
            <w:right w:val="none" w:sz="0" w:space="0" w:color="auto"/>
          </w:divBdr>
        </w:div>
        <w:div w:id="1412699256">
          <w:marLeft w:val="0"/>
          <w:marRight w:val="0"/>
          <w:marTop w:val="0"/>
          <w:marBottom w:val="0"/>
          <w:divBdr>
            <w:top w:val="none" w:sz="0" w:space="0" w:color="auto"/>
            <w:left w:val="none" w:sz="0" w:space="0" w:color="auto"/>
            <w:bottom w:val="none" w:sz="0" w:space="0" w:color="auto"/>
            <w:right w:val="none" w:sz="0" w:space="0" w:color="auto"/>
          </w:divBdr>
        </w:div>
        <w:div w:id="1491366142">
          <w:marLeft w:val="0"/>
          <w:marRight w:val="0"/>
          <w:marTop w:val="0"/>
          <w:marBottom w:val="0"/>
          <w:divBdr>
            <w:top w:val="none" w:sz="0" w:space="0" w:color="auto"/>
            <w:left w:val="none" w:sz="0" w:space="0" w:color="auto"/>
            <w:bottom w:val="none" w:sz="0" w:space="0" w:color="auto"/>
            <w:right w:val="none" w:sz="0" w:space="0" w:color="auto"/>
          </w:divBdr>
        </w:div>
        <w:div w:id="1498963948">
          <w:marLeft w:val="0"/>
          <w:marRight w:val="0"/>
          <w:marTop w:val="0"/>
          <w:marBottom w:val="0"/>
          <w:divBdr>
            <w:top w:val="none" w:sz="0" w:space="0" w:color="auto"/>
            <w:left w:val="none" w:sz="0" w:space="0" w:color="auto"/>
            <w:bottom w:val="none" w:sz="0" w:space="0" w:color="auto"/>
            <w:right w:val="none" w:sz="0" w:space="0" w:color="auto"/>
          </w:divBdr>
        </w:div>
        <w:div w:id="1612785649">
          <w:marLeft w:val="0"/>
          <w:marRight w:val="0"/>
          <w:marTop w:val="0"/>
          <w:marBottom w:val="0"/>
          <w:divBdr>
            <w:top w:val="none" w:sz="0" w:space="0" w:color="auto"/>
            <w:left w:val="none" w:sz="0" w:space="0" w:color="auto"/>
            <w:bottom w:val="none" w:sz="0" w:space="0" w:color="auto"/>
            <w:right w:val="none" w:sz="0" w:space="0" w:color="auto"/>
          </w:divBdr>
        </w:div>
        <w:div w:id="1651135704">
          <w:marLeft w:val="0"/>
          <w:marRight w:val="0"/>
          <w:marTop w:val="0"/>
          <w:marBottom w:val="0"/>
          <w:divBdr>
            <w:top w:val="none" w:sz="0" w:space="0" w:color="auto"/>
            <w:left w:val="none" w:sz="0" w:space="0" w:color="auto"/>
            <w:bottom w:val="none" w:sz="0" w:space="0" w:color="auto"/>
            <w:right w:val="none" w:sz="0" w:space="0" w:color="auto"/>
          </w:divBdr>
        </w:div>
        <w:div w:id="1653219859">
          <w:marLeft w:val="0"/>
          <w:marRight w:val="0"/>
          <w:marTop w:val="0"/>
          <w:marBottom w:val="0"/>
          <w:divBdr>
            <w:top w:val="none" w:sz="0" w:space="0" w:color="auto"/>
            <w:left w:val="none" w:sz="0" w:space="0" w:color="auto"/>
            <w:bottom w:val="none" w:sz="0" w:space="0" w:color="auto"/>
            <w:right w:val="none" w:sz="0" w:space="0" w:color="auto"/>
          </w:divBdr>
        </w:div>
        <w:div w:id="1659993257">
          <w:marLeft w:val="0"/>
          <w:marRight w:val="0"/>
          <w:marTop w:val="0"/>
          <w:marBottom w:val="0"/>
          <w:divBdr>
            <w:top w:val="none" w:sz="0" w:space="0" w:color="auto"/>
            <w:left w:val="none" w:sz="0" w:space="0" w:color="auto"/>
            <w:bottom w:val="none" w:sz="0" w:space="0" w:color="auto"/>
            <w:right w:val="none" w:sz="0" w:space="0" w:color="auto"/>
          </w:divBdr>
        </w:div>
        <w:div w:id="1745638140">
          <w:marLeft w:val="0"/>
          <w:marRight w:val="0"/>
          <w:marTop w:val="0"/>
          <w:marBottom w:val="0"/>
          <w:divBdr>
            <w:top w:val="none" w:sz="0" w:space="0" w:color="auto"/>
            <w:left w:val="none" w:sz="0" w:space="0" w:color="auto"/>
            <w:bottom w:val="none" w:sz="0" w:space="0" w:color="auto"/>
            <w:right w:val="none" w:sz="0" w:space="0" w:color="auto"/>
          </w:divBdr>
        </w:div>
        <w:div w:id="1826386812">
          <w:marLeft w:val="0"/>
          <w:marRight w:val="0"/>
          <w:marTop w:val="0"/>
          <w:marBottom w:val="0"/>
          <w:divBdr>
            <w:top w:val="none" w:sz="0" w:space="0" w:color="auto"/>
            <w:left w:val="none" w:sz="0" w:space="0" w:color="auto"/>
            <w:bottom w:val="none" w:sz="0" w:space="0" w:color="auto"/>
            <w:right w:val="none" w:sz="0" w:space="0" w:color="auto"/>
          </w:divBdr>
        </w:div>
        <w:div w:id="1848401469">
          <w:marLeft w:val="0"/>
          <w:marRight w:val="0"/>
          <w:marTop w:val="0"/>
          <w:marBottom w:val="0"/>
          <w:divBdr>
            <w:top w:val="none" w:sz="0" w:space="0" w:color="auto"/>
            <w:left w:val="none" w:sz="0" w:space="0" w:color="auto"/>
            <w:bottom w:val="none" w:sz="0" w:space="0" w:color="auto"/>
            <w:right w:val="none" w:sz="0" w:space="0" w:color="auto"/>
          </w:divBdr>
        </w:div>
        <w:div w:id="1943030307">
          <w:marLeft w:val="0"/>
          <w:marRight w:val="0"/>
          <w:marTop w:val="0"/>
          <w:marBottom w:val="0"/>
          <w:divBdr>
            <w:top w:val="none" w:sz="0" w:space="0" w:color="auto"/>
            <w:left w:val="none" w:sz="0" w:space="0" w:color="auto"/>
            <w:bottom w:val="none" w:sz="0" w:space="0" w:color="auto"/>
            <w:right w:val="none" w:sz="0" w:space="0" w:color="auto"/>
          </w:divBdr>
        </w:div>
        <w:div w:id="1962573078">
          <w:marLeft w:val="0"/>
          <w:marRight w:val="0"/>
          <w:marTop w:val="0"/>
          <w:marBottom w:val="0"/>
          <w:divBdr>
            <w:top w:val="none" w:sz="0" w:space="0" w:color="auto"/>
            <w:left w:val="none" w:sz="0" w:space="0" w:color="auto"/>
            <w:bottom w:val="none" w:sz="0" w:space="0" w:color="auto"/>
            <w:right w:val="none" w:sz="0" w:space="0" w:color="auto"/>
          </w:divBdr>
        </w:div>
        <w:div w:id="1986623803">
          <w:marLeft w:val="0"/>
          <w:marRight w:val="0"/>
          <w:marTop w:val="0"/>
          <w:marBottom w:val="0"/>
          <w:divBdr>
            <w:top w:val="none" w:sz="0" w:space="0" w:color="auto"/>
            <w:left w:val="none" w:sz="0" w:space="0" w:color="auto"/>
            <w:bottom w:val="none" w:sz="0" w:space="0" w:color="auto"/>
            <w:right w:val="none" w:sz="0" w:space="0" w:color="auto"/>
          </w:divBdr>
        </w:div>
        <w:div w:id="2015910786">
          <w:marLeft w:val="0"/>
          <w:marRight w:val="0"/>
          <w:marTop w:val="0"/>
          <w:marBottom w:val="0"/>
          <w:divBdr>
            <w:top w:val="none" w:sz="0" w:space="0" w:color="auto"/>
            <w:left w:val="none" w:sz="0" w:space="0" w:color="auto"/>
            <w:bottom w:val="none" w:sz="0" w:space="0" w:color="auto"/>
            <w:right w:val="none" w:sz="0" w:space="0" w:color="auto"/>
          </w:divBdr>
        </w:div>
        <w:div w:id="2106030611">
          <w:marLeft w:val="0"/>
          <w:marRight w:val="0"/>
          <w:marTop w:val="0"/>
          <w:marBottom w:val="0"/>
          <w:divBdr>
            <w:top w:val="none" w:sz="0" w:space="0" w:color="auto"/>
            <w:left w:val="none" w:sz="0" w:space="0" w:color="auto"/>
            <w:bottom w:val="none" w:sz="0" w:space="0" w:color="auto"/>
            <w:right w:val="none" w:sz="0" w:space="0" w:color="auto"/>
          </w:divBdr>
        </w:div>
      </w:divsChild>
    </w:div>
    <w:div w:id="212083729">
      <w:bodyDiv w:val="1"/>
      <w:marLeft w:val="0"/>
      <w:marRight w:val="0"/>
      <w:marTop w:val="0"/>
      <w:marBottom w:val="0"/>
      <w:divBdr>
        <w:top w:val="none" w:sz="0" w:space="0" w:color="auto"/>
        <w:left w:val="none" w:sz="0" w:space="0" w:color="auto"/>
        <w:bottom w:val="none" w:sz="0" w:space="0" w:color="auto"/>
        <w:right w:val="none" w:sz="0" w:space="0" w:color="auto"/>
      </w:divBdr>
    </w:div>
    <w:div w:id="234366304">
      <w:bodyDiv w:val="1"/>
      <w:marLeft w:val="0"/>
      <w:marRight w:val="0"/>
      <w:marTop w:val="0"/>
      <w:marBottom w:val="0"/>
      <w:divBdr>
        <w:top w:val="none" w:sz="0" w:space="0" w:color="auto"/>
        <w:left w:val="none" w:sz="0" w:space="0" w:color="auto"/>
        <w:bottom w:val="none" w:sz="0" w:space="0" w:color="auto"/>
        <w:right w:val="none" w:sz="0" w:space="0" w:color="auto"/>
      </w:divBdr>
    </w:div>
    <w:div w:id="246770593">
      <w:bodyDiv w:val="1"/>
      <w:marLeft w:val="0"/>
      <w:marRight w:val="0"/>
      <w:marTop w:val="0"/>
      <w:marBottom w:val="0"/>
      <w:divBdr>
        <w:top w:val="none" w:sz="0" w:space="0" w:color="auto"/>
        <w:left w:val="none" w:sz="0" w:space="0" w:color="auto"/>
        <w:bottom w:val="none" w:sz="0" w:space="0" w:color="auto"/>
        <w:right w:val="none" w:sz="0" w:space="0" w:color="auto"/>
      </w:divBdr>
      <w:divsChild>
        <w:div w:id="52195082">
          <w:marLeft w:val="0"/>
          <w:marRight w:val="0"/>
          <w:marTop w:val="0"/>
          <w:marBottom w:val="0"/>
          <w:divBdr>
            <w:top w:val="none" w:sz="0" w:space="0" w:color="auto"/>
            <w:left w:val="none" w:sz="0" w:space="0" w:color="auto"/>
            <w:bottom w:val="none" w:sz="0" w:space="0" w:color="auto"/>
            <w:right w:val="none" w:sz="0" w:space="0" w:color="auto"/>
          </w:divBdr>
        </w:div>
        <w:div w:id="109789293">
          <w:marLeft w:val="0"/>
          <w:marRight w:val="0"/>
          <w:marTop w:val="0"/>
          <w:marBottom w:val="0"/>
          <w:divBdr>
            <w:top w:val="none" w:sz="0" w:space="0" w:color="auto"/>
            <w:left w:val="none" w:sz="0" w:space="0" w:color="auto"/>
            <w:bottom w:val="none" w:sz="0" w:space="0" w:color="auto"/>
            <w:right w:val="none" w:sz="0" w:space="0" w:color="auto"/>
          </w:divBdr>
        </w:div>
        <w:div w:id="135686539">
          <w:marLeft w:val="0"/>
          <w:marRight w:val="0"/>
          <w:marTop w:val="0"/>
          <w:marBottom w:val="0"/>
          <w:divBdr>
            <w:top w:val="none" w:sz="0" w:space="0" w:color="auto"/>
            <w:left w:val="none" w:sz="0" w:space="0" w:color="auto"/>
            <w:bottom w:val="none" w:sz="0" w:space="0" w:color="auto"/>
            <w:right w:val="none" w:sz="0" w:space="0" w:color="auto"/>
          </w:divBdr>
        </w:div>
        <w:div w:id="282227200">
          <w:marLeft w:val="0"/>
          <w:marRight w:val="0"/>
          <w:marTop w:val="0"/>
          <w:marBottom w:val="0"/>
          <w:divBdr>
            <w:top w:val="none" w:sz="0" w:space="0" w:color="auto"/>
            <w:left w:val="none" w:sz="0" w:space="0" w:color="auto"/>
            <w:bottom w:val="none" w:sz="0" w:space="0" w:color="auto"/>
            <w:right w:val="none" w:sz="0" w:space="0" w:color="auto"/>
          </w:divBdr>
        </w:div>
        <w:div w:id="367802698">
          <w:marLeft w:val="0"/>
          <w:marRight w:val="0"/>
          <w:marTop w:val="0"/>
          <w:marBottom w:val="0"/>
          <w:divBdr>
            <w:top w:val="none" w:sz="0" w:space="0" w:color="auto"/>
            <w:left w:val="none" w:sz="0" w:space="0" w:color="auto"/>
            <w:bottom w:val="none" w:sz="0" w:space="0" w:color="auto"/>
            <w:right w:val="none" w:sz="0" w:space="0" w:color="auto"/>
          </w:divBdr>
        </w:div>
        <w:div w:id="419954937">
          <w:marLeft w:val="0"/>
          <w:marRight w:val="0"/>
          <w:marTop w:val="0"/>
          <w:marBottom w:val="0"/>
          <w:divBdr>
            <w:top w:val="none" w:sz="0" w:space="0" w:color="auto"/>
            <w:left w:val="none" w:sz="0" w:space="0" w:color="auto"/>
            <w:bottom w:val="none" w:sz="0" w:space="0" w:color="auto"/>
            <w:right w:val="none" w:sz="0" w:space="0" w:color="auto"/>
          </w:divBdr>
        </w:div>
        <w:div w:id="453452011">
          <w:marLeft w:val="0"/>
          <w:marRight w:val="0"/>
          <w:marTop w:val="0"/>
          <w:marBottom w:val="0"/>
          <w:divBdr>
            <w:top w:val="none" w:sz="0" w:space="0" w:color="auto"/>
            <w:left w:val="none" w:sz="0" w:space="0" w:color="auto"/>
            <w:bottom w:val="none" w:sz="0" w:space="0" w:color="auto"/>
            <w:right w:val="none" w:sz="0" w:space="0" w:color="auto"/>
          </w:divBdr>
        </w:div>
        <w:div w:id="552272364">
          <w:marLeft w:val="0"/>
          <w:marRight w:val="0"/>
          <w:marTop w:val="0"/>
          <w:marBottom w:val="0"/>
          <w:divBdr>
            <w:top w:val="none" w:sz="0" w:space="0" w:color="auto"/>
            <w:left w:val="none" w:sz="0" w:space="0" w:color="auto"/>
            <w:bottom w:val="none" w:sz="0" w:space="0" w:color="auto"/>
            <w:right w:val="none" w:sz="0" w:space="0" w:color="auto"/>
          </w:divBdr>
        </w:div>
        <w:div w:id="808136711">
          <w:marLeft w:val="0"/>
          <w:marRight w:val="0"/>
          <w:marTop w:val="0"/>
          <w:marBottom w:val="0"/>
          <w:divBdr>
            <w:top w:val="none" w:sz="0" w:space="0" w:color="auto"/>
            <w:left w:val="none" w:sz="0" w:space="0" w:color="auto"/>
            <w:bottom w:val="none" w:sz="0" w:space="0" w:color="auto"/>
            <w:right w:val="none" w:sz="0" w:space="0" w:color="auto"/>
          </w:divBdr>
        </w:div>
        <w:div w:id="986127711">
          <w:marLeft w:val="0"/>
          <w:marRight w:val="0"/>
          <w:marTop w:val="0"/>
          <w:marBottom w:val="0"/>
          <w:divBdr>
            <w:top w:val="none" w:sz="0" w:space="0" w:color="auto"/>
            <w:left w:val="none" w:sz="0" w:space="0" w:color="auto"/>
            <w:bottom w:val="none" w:sz="0" w:space="0" w:color="auto"/>
            <w:right w:val="none" w:sz="0" w:space="0" w:color="auto"/>
          </w:divBdr>
        </w:div>
        <w:div w:id="986710601">
          <w:marLeft w:val="0"/>
          <w:marRight w:val="0"/>
          <w:marTop w:val="0"/>
          <w:marBottom w:val="0"/>
          <w:divBdr>
            <w:top w:val="none" w:sz="0" w:space="0" w:color="auto"/>
            <w:left w:val="none" w:sz="0" w:space="0" w:color="auto"/>
            <w:bottom w:val="none" w:sz="0" w:space="0" w:color="auto"/>
            <w:right w:val="none" w:sz="0" w:space="0" w:color="auto"/>
          </w:divBdr>
        </w:div>
        <w:div w:id="1127165122">
          <w:marLeft w:val="0"/>
          <w:marRight w:val="0"/>
          <w:marTop w:val="0"/>
          <w:marBottom w:val="0"/>
          <w:divBdr>
            <w:top w:val="none" w:sz="0" w:space="0" w:color="auto"/>
            <w:left w:val="none" w:sz="0" w:space="0" w:color="auto"/>
            <w:bottom w:val="none" w:sz="0" w:space="0" w:color="auto"/>
            <w:right w:val="none" w:sz="0" w:space="0" w:color="auto"/>
          </w:divBdr>
        </w:div>
        <w:div w:id="1129669995">
          <w:marLeft w:val="0"/>
          <w:marRight w:val="0"/>
          <w:marTop w:val="0"/>
          <w:marBottom w:val="0"/>
          <w:divBdr>
            <w:top w:val="none" w:sz="0" w:space="0" w:color="auto"/>
            <w:left w:val="none" w:sz="0" w:space="0" w:color="auto"/>
            <w:bottom w:val="none" w:sz="0" w:space="0" w:color="auto"/>
            <w:right w:val="none" w:sz="0" w:space="0" w:color="auto"/>
          </w:divBdr>
        </w:div>
        <w:div w:id="1275557686">
          <w:marLeft w:val="0"/>
          <w:marRight w:val="0"/>
          <w:marTop w:val="0"/>
          <w:marBottom w:val="0"/>
          <w:divBdr>
            <w:top w:val="none" w:sz="0" w:space="0" w:color="auto"/>
            <w:left w:val="none" w:sz="0" w:space="0" w:color="auto"/>
            <w:bottom w:val="none" w:sz="0" w:space="0" w:color="auto"/>
            <w:right w:val="none" w:sz="0" w:space="0" w:color="auto"/>
          </w:divBdr>
        </w:div>
        <w:div w:id="1284381126">
          <w:marLeft w:val="0"/>
          <w:marRight w:val="0"/>
          <w:marTop w:val="0"/>
          <w:marBottom w:val="0"/>
          <w:divBdr>
            <w:top w:val="none" w:sz="0" w:space="0" w:color="auto"/>
            <w:left w:val="none" w:sz="0" w:space="0" w:color="auto"/>
            <w:bottom w:val="none" w:sz="0" w:space="0" w:color="auto"/>
            <w:right w:val="none" w:sz="0" w:space="0" w:color="auto"/>
          </w:divBdr>
        </w:div>
        <w:div w:id="1319074786">
          <w:marLeft w:val="0"/>
          <w:marRight w:val="0"/>
          <w:marTop w:val="0"/>
          <w:marBottom w:val="0"/>
          <w:divBdr>
            <w:top w:val="none" w:sz="0" w:space="0" w:color="auto"/>
            <w:left w:val="none" w:sz="0" w:space="0" w:color="auto"/>
            <w:bottom w:val="none" w:sz="0" w:space="0" w:color="auto"/>
            <w:right w:val="none" w:sz="0" w:space="0" w:color="auto"/>
          </w:divBdr>
        </w:div>
        <w:div w:id="1364673710">
          <w:marLeft w:val="0"/>
          <w:marRight w:val="0"/>
          <w:marTop w:val="0"/>
          <w:marBottom w:val="0"/>
          <w:divBdr>
            <w:top w:val="none" w:sz="0" w:space="0" w:color="auto"/>
            <w:left w:val="none" w:sz="0" w:space="0" w:color="auto"/>
            <w:bottom w:val="none" w:sz="0" w:space="0" w:color="auto"/>
            <w:right w:val="none" w:sz="0" w:space="0" w:color="auto"/>
          </w:divBdr>
        </w:div>
        <w:div w:id="1436556320">
          <w:marLeft w:val="0"/>
          <w:marRight w:val="0"/>
          <w:marTop w:val="0"/>
          <w:marBottom w:val="0"/>
          <w:divBdr>
            <w:top w:val="none" w:sz="0" w:space="0" w:color="auto"/>
            <w:left w:val="none" w:sz="0" w:space="0" w:color="auto"/>
            <w:bottom w:val="none" w:sz="0" w:space="0" w:color="auto"/>
            <w:right w:val="none" w:sz="0" w:space="0" w:color="auto"/>
          </w:divBdr>
        </w:div>
        <w:div w:id="1503468372">
          <w:marLeft w:val="0"/>
          <w:marRight w:val="0"/>
          <w:marTop w:val="0"/>
          <w:marBottom w:val="0"/>
          <w:divBdr>
            <w:top w:val="none" w:sz="0" w:space="0" w:color="auto"/>
            <w:left w:val="none" w:sz="0" w:space="0" w:color="auto"/>
            <w:bottom w:val="none" w:sz="0" w:space="0" w:color="auto"/>
            <w:right w:val="none" w:sz="0" w:space="0" w:color="auto"/>
          </w:divBdr>
        </w:div>
        <w:div w:id="1527864389">
          <w:marLeft w:val="0"/>
          <w:marRight w:val="0"/>
          <w:marTop w:val="0"/>
          <w:marBottom w:val="0"/>
          <w:divBdr>
            <w:top w:val="none" w:sz="0" w:space="0" w:color="auto"/>
            <w:left w:val="none" w:sz="0" w:space="0" w:color="auto"/>
            <w:bottom w:val="none" w:sz="0" w:space="0" w:color="auto"/>
            <w:right w:val="none" w:sz="0" w:space="0" w:color="auto"/>
          </w:divBdr>
        </w:div>
        <w:div w:id="1567259970">
          <w:marLeft w:val="0"/>
          <w:marRight w:val="0"/>
          <w:marTop w:val="0"/>
          <w:marBottom w:val="0"/>
          <w:divBdr>
            <w:top w:val="none" w:sz="0" w:space="0" w:color="auto"/>
            <w:left w:val="none" w:sz="0" w:space="0" w:color="auto"/>
            <w:bottom w:val="none" w:sz="0" w:space="0" w:color="auto"/>
            <w:right w:val="none" w:sz="0" w:space="0" w:color="auto"/>
          </w:divBdr>
        </w:div>
        <w:div w:id="1577783372">
          <w:marLeft w:val="0"/>
          <w:marRight w:val="0"/>
          <w:marTop w:val="0"/>
          <w:marBottom w:val="0"/>
          <w:divBdr>
            <w:top w:val="none" w:sz="0" w:space="0" w:color="auto"/>
            <w:left w:val="none" w:sz="0" w:space="0" w:color="auto"/>
            <w:bottom w:val="none" w:sz="0" w:space="0" w:color="auto"/>
            <w:right w:val="none" w:sz="0" w:space="0" w:color="auto"/>
          </w:divBdr>
        </w:div>
        <w:div w:id="1598446717">
          <w:marLeft w:val="0"/>
          <w:marRight w:val="0"/>
          <w:marTop w:val="0"/>
          <w:marBottom w:val="0"/>
          <w:divBdr>
            <w:top w:val="none" w:sz="0" w:space="0" w:color="auto"/>
            <w:left w:val="none" w:sz="0" w:space="0" w:color="auto"/>
            <w:bottom w:val="none" w:sz="0" w:space="0" w:color="auto"/>
            <w:right w:val="none" w:sz="0" w:space="0" w:color="auto"/>
          </w:divBdr>
        </w:div>
        <w:div w:id="1692682201">
          <w:marLeft w:val="0"/>
          <w:marRight w:val="0"/>
          <w:marTop w:val="0"/>
          <w:marBottom w:val="0"/>
          <w:divBdr>
            <w:top w:val="none" w:sz="0" w:space="0" w:color="auto"/>
            <w:left w:val="none" w:sz="0" w:space="0" w:color="auto"/>
            <w:bottom w:val="none" w:sz="0" w:space="0" w:color="auto"/>
            <w:right w:val="none" w:sz="0" w:space="0" w:color="auto"/>
          </w:divBdr>
        </w:div>
        <w:div w:id="1764303458">
          <w:marLeft w:val="0"/>
          <w:marRight w:val="0"/>
          <w:marTop w:val="0"/>
          <w:marBottom w:val="0"/>
          <w:divBdr>
            <w:top w:val="none" w:sz="0" w:space="0" w:color="auto"/>
            <w:left w:val="none" w:sz="0" w:space="0" w:color="auto"/>
            <w:bottom w:val="none" w:sz="0" w:space="0" w:color="auto"/>
            <w:right w:val="none" w:sz="0" w:space="0" w:color="auto"/>
          </w:divBdr>
        </w:div>
        <w:div w:id="1912810017">
          <w:marLeft w:val="0"/>
          <w:marRight w:val="0"/>
          <w:marTop w:val="0"/>
          <w:marBottom w:val="0"/>
          <w:divBdr>
            <w:top w:val="none" w:sz="0" w:space="0" w:color="auto"/>
            <w:left w:val="none" w:sz="0" w:space="0" w:color="auto"/>
            <w:bottom w:val="none" w:sz="0" w:space="0" w:color="auto"/>
            <w:right w:val="none" w:sz="0" w:space="0" w:color="auto"/>
          </w:divBdr>
        </w:div>
        <w:div w:id="2096584533">
          <w:marLeft w:val="0"/>
          <w:marRight w:val="0"/>
          <w:marTop w:val="0"/>
          <w:marBottom w:val="0"/>
          <w:divBdr>
            <w:top w:val="none" w:sz="0" w:space="0" w:color="auto"/>
            <w:left w:val="none" w:sz="0" w:space="0" w:color="auto"/>
            <w:bottom w:val="none" w:sz="0" w:space="0" w:color="auto"/>
            <w:right w:val="none" w:sz="0" w:space="0" w:color="auto"/>
          </w:divBdr>
        </w:div>
        <w:div w:id="2114469379">
          <w:marLeft w:val="0"/>
          <w:marRight w:val="0"/>
          <w:marTop w:val="0"/>
          <w:marBottom w:val="0"/>
          <w:divBdr>
            <w:top w:val="none" w:sz="0" w:space="0" w:color="auto"/>
            <w:left w:val="none" w:sz="0" w:space="0" w:color="auto"/>
            <w:bottom w:val="none" w:sz="0" w:space="0" w:color="auto"/>
            <w:right w:val="none" w:sz="0" w:space="0" w:color="auto"/>
          </w:divBdr>
        </w:div>
      </w:divsChild>
    </w:div>
    <w:div w:id="271137474">
      <w:bodyDiv w:val="1"/>
      <w:marLeft w:val="0"/>
      <w:marRight w:val="0"/>
      <w:marTop w:val="0"/>
      <w:marBottom w:val="0"/>
      <w:divBdr>
        <w:top w:val="none" w:sz="0" w:space="0" w:color="auto"/>
        <w:left w:val="none" w:sz="0" w:space="0" w:color="auto"/>
        <w:bottom w:val="none" w:sz="0" w:space="0" w:color="auto"/>
        <w:right w:val="none" w:sz="0" w:space="0" w:color="auto"/>
      </w:divBdr>
    </w:div>
    <w:div w:id="278801246">
      <w:bodyDiv w:val="1"/>
      <w:marLeft w:val="0"/>
      <w:marRight w:val="0"/>
      <w:marTop w:val="0"/>
      <w:marBottom w:val="0"/>
      <w:divBdr>
        <w:top w:val="none" w:sz="0" w:space="0" w:color="auto"/>
        <w:left w:val="none" w:sz="0" w:space="0" w:color="auto"/>
        <w:bottom w:val="none" w:sz="0" w:space="0" w:color="auto"/>
        <w:right w:val="none" w:sz="0" w:space="0" w:color="auto"/>
      </w:divBdr>
    </w:div>
    <w:div w:id="289019101">
      <w:bodyDiv w:val="1"/>
      <w:marLeft w:val="0"/>
      <w:marRight w:val="0"/>
      <w:marTop w:val="0"/>
      <w:marBottom w:val="0"/>
      <w:divBdr>
        <w:top w:val="none" w:sz="0" w:space="0" w:color="auto"/>
        <w:left w:val="none" w:sz="0" w:space="0" w:color="auto"/>
        <w:bottom w:val="none" w:sz="0" w:space="0" w:color="auto"/>
        <w:right w:val="none" w:sz="0" w:space="0" w:color="auto"/>
      </w:divBdr>
    </w:div>
    <w:div w:id="324473771">
      <w:bodyDiv w:val="1"/>
      <w:marLeft w:val="0"/>
      <w:marRight w:val="0"/>
      <w:marTop w:val="0"/>
      <w:marBottom w:val="0"/>
      <w:divBdr>
        <w:top w:val="none" w:sz="0" w:space="0" w:color="auto"/>
        <w:left w:val="none" w:sz="0" w:space="0" w:color="auto"/>
        <w:bottom w:val="none" w:sz="0" w:space="0" w:color="auto"/>
        <w:right w:val="none" w:sz="0" w:space="0" w:color="auto"/>
      </w:divBdr>
    </w:div>
    <w:div w:id="326203794">
      <w:marLeft w:val="0"/>
      <w:marRight w:val="0"/>
      <w:marTop w:val="0"/>
      <w:marBottom w:val="0"/>
      <w:divBdr>
        <w:top w:val="none" w:sz="0" w:space="0" w:color="auto"/>
        <w:left w:val="none" w:sz="0" w:space="0" w:color="auto"/>
        <w:bottom w:val="none" w:sz="0" w:space="0" w:color="auto"/>
        <w:right w:val="none" w:sz="0" w:space="0" w:color="auto"/>
      </w:divBdr>
    </w:div>
    <w:div w:id="346908774">
      <w:bodyDiv w:val="1"/>
      <w:marLeft w:val="0"/>
      <w:marRight w:val="0"/>
      <w:marTop w:val="0"/>
      <w:marBottom w:val="0"/>
      <w:divBdr>
        <w:top w:val="none" w:sz="0" w:space="0" w:color="auto"/>
        <w:left w:val="none" w:sz="0" w:space="0" w:color="auto"/>
        <w:bottom w:val="none" w:sz="0" w:space="0" w:color="auto"/>
        <w:right w:val="none" w:sz="0" w:space="0" w:color="auto"/>
      </w:divBdr>
    </w:div>
    <w:div w:id="348723915">
      <w:bodyDiv w:val="1"/>
      <w:marLeft w:val="0"/>
      <w:marRight w:val="0"/>
      <w:marTop w:val="0"/>
      <w:marBottom w:val="0"/>
      <w:divBdr>
        <w:top w:val="none" w:sz="0" w:space="0" w:color="auto"/>
        <w:left w:val="none" w:sz="0" w:space="0" w:color="auto"/>
        <w:bottom w:val="none" w:sz="0" w:space="0" w:color="auto"/>
        <w:right w:val="none" w:sz="0" w:space="0" w:color="auto"/>
      </w:divBdr>
    </w:div>
    <w:div w:id="353654071">
      <w:bodyDiv w:val="1"/>
      <w:marLeft w:val="0"/>
      <w:marRight w:val="0"/>
      <w:marTop w:val="0"/>
      <w:marBottom w:val="0"/>
      <w:divBdr>
        <w:top w:val="none" w:sz="0" w:space="0" w:color="auto"/>
        <w:left w:val="none" w:sz="0" w:space="0" w:color="auto"/>
        <w:bottom w:val="none" w:sz="0" w:space="0" w:color="auto"/>
        <w:right w:val="none" w:sz="0" w:space="0" w:color="auto"/>
      </w:divBdr>
    </w:div>
    <w:div w:id="401102500">
      <w:bodyDiv w:val="1"/>
      <w:marLeft w:val="0"/>
      <w:marRight w:val="0"/>
      <w:marTop w:val="0"/>
      <w:marBottom w:val="0"/>
      <w:divBdr>
        <w:top w:val="none" w:sz="0" w:space="0" w:color="auto"/>
        <w:left w:val="none" w:sz="0" w:space="0" w:color="auto"/>
        <w:bottom w:val="none" w:sz="0" w:space="0" w:color="auto"/>
        <w:right w:val="none" w:sz="0" w:space="0" w:color="auto"/>
      </w:divBdr>
    </w:div>
    <w:div w:id="408816525">
      <w:bodyDiv w:val="1"/>
      <w:marLeft w:val="0"/>
      <w:marRight w:val="0"/>
      <w:marTop w:val="0"/>
      <w:marBottom w:val="0"/>
      <w:divBdr>
        <w:top w:val="none" w:sz="0" w:space="0" w:color="auto"/>
        <w:left w:val="none" w:sz="0" w:space="0" w:color="auto"/>
        <w:bottom w:val="none" w:sz="0" w:space="0" w:color="auto"/>
        <w:right w:val="none" w:sz="0" w:space="0" w:color="auto"/>
      </w:divBdr>
    </w:div>
    <w:div w:id="414939495">
      <w:bodyDiv w:val="1"/>
      <w:marLeft w:val="0"/>
      <w:marRight w:val="0"/>
      <w:marTop w:val="0"/>
      <w:marBottom w:val="0"/>
      <w:divBdr>
        <w:top w:val="none" w:sz="0" w:space="0" w:color="auto"/>
        <w:left w:val="none" w:sz="0" w:space="0" w:color="auto"/>
        <w:bottom w:val="none" w:sz="0" w:space="0" w:color="auto"/>
        <w:right w:val="none" w:sz="0" w:space="0" w:color="auto"/>
      </w:divBdr>
    </w:div>
    <w:div w:id="452137603">
      <w:bodyDiv w:val="1"/>
      <w:marLeft w:val="0"/>
      <w:marRight w:val="0"/>
      <w:marTop w:val="0"/>
      <w:marBottom w:val="0"/>
      <w:divBdr>
        <w:top w:val="none" w:sz="0" w:space="0" w:color="auto"/>
        <w:left w:val="none" w:sz="0" w:space="0" w:color="auto"/>
        <w:bottom w:val="none" w:sz="0" w:space="0" w:color="auto"/>
        <w:right w:val="none" w:sz="0" w:space="0" w:color="auto"/>
      </w:divBdr>
      <w:divsChild>
        <w:div w:id="115104532">
          <w:marLeft w:val="0"/>
          <w:marRight w:val="0"/>
          <w:marTop w:val="0"/>
          <w:marBottom w:val="0"/>
          <w:divBdr>
            <w:top w:val="none" w:sz="0" w:space="0" w:color="auto"/>
            <w:left w:val="none" w:sz="0" w:space="0" w:color="auto"/>
            <w:bottom w:val="none" w:sz="0" w:space="0" w:color="auto"/>
            <w:right w:val="none" w:sz="0" w:space="0" w:color="auto"/>
          </w:divBdr>
          <w:divsChild>
            <w:div w:id="58093446">
              <w:marLeft w:val="0"/>
              <w:marRight w:val="0"/>
              <w:marTop w:val="0"/>
              <w:marBottom w:val="0"/>
              <w:divBdr>
                <w:top w:val="none" w:sz="0" w:space="0" w:color="auto"/>
                <w:left w:val="none" w:sz="0" w:space="0" w:color="auto"/>
                <w:bottom w:val="none" w:sz="0" w:space="0" w:color="auto"/>
                <w:right w:val="none" w:sz="0" w:space="0" w:color="auto"/>
              </w:divBdr>
            </w:div>
          </w:divsChild>
        </w:div>
        <w:div w:id="156115973">
          <w:marLeft w:val="0"/>
          <w:marRight w:val="0"/>
          <w:marTop w:val="0"/>
          <w:marBottom w:val="0"/>
          <w:divBdr>
            <w:top w:val="none" w:sz="0" w:space="0" w:color="auto"/>
            <w:left w:val="none" w:sz="0" w:space="0" w:color="auto"/>
            <w:bottom w:val="none" w:sz="0" w:space="0" w:color="auto"/>
            <w:right w:val="none" w:sz="0" w:space="0" w:color="auto"/>
          </w:divBdr>
          <w:divsChild>
            <w:div w:id="1608000384">
              <w:marLeft w:val="0"/>
              <w:marRight w:val="0"/>
              <w:marTop w:val="0"/>
              <w:marBottom w:val="0"/>
              <w:divBdr>
                <w:top w:val="none" w:sz="0" w:space="0" w:color="auto"/>
                <w:left w:val="none" w:sz="0" w:space="0" w:color="auto"/>
                <w:bottom w:val="none" w:sz="0" w:space="0" w:color="auto"/>
                <w:right w:val="none" w:sz="0" w:space="0" w:color="auto"/>
              </w:divBdr>
            </w:div>
          </w:divsChild>
        </w:div>
        <w:div w:id="216861352">
          <w:marLeft w:val="0"/>
          <w:marRight w:val="0"/>
          <w:marTop w:val="0"/>
          <w:marBottom w:val="0"/>
          <w:divBdr>
            <w:top w:val="none" w:sz="0" w:space="0" w:color="auto"/>
            <w:left w:val="none" w:sz="0" w:space="0" w:color="auto"/>
            <w:bottom w:val="none" w:sz="0" w:space="0" w:color="auto"/>
            <w:right w:val="none" w:sz="0" w:space="0" w:color="auto"/>
          </w:divBdr>
          <w:divsChild>
            <w:div w:id="743188319">
              <w:marLeft w:val="0"/>
              <w:marRight w:val="0"/>
              <w:marTop w:val="0"/>
              <w:marBottom w:val="0"/>
              <w:divBdr>
                <w:top w:val="none" w:sz="0" w:space="0" w:color="auto"/>
                <w:left w:val="none" w:sz="0" w:space="0" w:color="auto"/>
                <w:bottom w:val="none" w:sz="0" w:space="0" w:color="auto"/>
                <w:right w:val="none" w:sz="0" w:space="0" w:color="auto"/>
              </w:divBdr>
            </w:div>
          </w:divsChild>
        </w:div>
        <w:div w:id="345131678">
          <w:marLeft w:val="0"/>
          <w:marRight w:val="0"/>
          <w:marTop w:val="0"/>
          <w:marBottom w:val="0"/>
          <w:divBdr>
            <w:top w:val="none" w:sz="0" w:space="0" w:color="auto"/>
            <w:left w:val="none" w:sz="0" w:space="0" w:color="auto"/>
            <w:bottom w:val="none" w:sz="0" w:space="0" w:color="auto"/>
            <w:right w:val="none" w:sz="0" w:space="0" w:color="auto"/>
          </w:divBdr>
          <w:divsChild>
            <w:div w:id="1117945508">
              <w:marLeft w:val="0"/>
              <w:marRight w:val="0"/>
              <w:marTop w:val="0"/>
              <w:marBottom w:val="0"/>
              <w:divBdr>
                <w:top w:val="none" w:sz="0" w:space="0" w:color="auto"/>
                <w:left w:val="none" w:sz="0" w:space="0" w:color="auto"/>
                <w:bottom w:val="none" w:sz="0" w:space="0" w:color="auto"/>
                <w:right w:val="none" w:sz="0" w:space="0" w:color="auto"/>
              </w:divBdr>
            </w:div>
          </w:divsChild>
        </w:div>
        <w:div w:id="381295737">
          <w:marLeft w:val="0"/>
          <w:marRight w:val="0"/>
          <w:marTop w:val="0"/>
          <w:marBottom w:val="0"/>
          <w:divBdr>
            <w:top w:val="none" w:sz="0" w:space="0" w:color="auto"/>
            <w:left w:val="none" w:sz="0" w:space="0" w:color="auto"/>
            <w:bottom w:val="none" w:sz="0" w:space="0" w:color="auto"/>
            <w:right w:val="none" w:sz="0" w:space="0" w:color="auto"/>
          </w:divBdr>
          <w:divsChild>
            <w:div w:id="1815680209">
              <w:marLeft w:val="0"/>
              <w:marRight w:val="0"/>
              <w:marTop w:val="0"/>
              <w:marBottom w:val="0"/>
              <w:divBdr>
                <w:top w:val="none" w:sz="0" w:space="0" w:color="auto"/>
                <w:left w:val="none" w:sz="0" w:space="0" w:color="auto"/>
                <w:bottom w:val="none" w:sz="0" w:space="0" w:color="auto"/>
                <w:right w:val="none" w:sz="0" w:space="0" w:color="auto"/>
              </w:divBdr>
            </w:div>
          </w:divsChild>
        </w:div>
        <w:div w:id="402797057">
          <w:marLeft w:val="0"/>
          <w:marRight w:val="0"/>
          <w:marTop w:val="0"/>
          <w:marBottom w:val="0"/>
          <w:divBdr>
            <w:top w:val="none" w:sz="0" w:space="0" w:color="auto"/>
            <w:left w:val="none" w:sz="0" w:space="0" w:color="auto"/>
            <w:bottom w:val="none" w:sz="0" w:space="0" w:color="auto"/>
            <w:right w:val="none" w:sz="0" w:space="0" w:color="auto"/>
          </w:divBdr>
          <w:divsChild>
            <w:div w:id="1237277846">
              <w:marLeft w:val="0"/>
              <w:marRight w:val="0"/>
              <w:marTop w:val="0"/>
              <w:marBottom w:val="0"/>
              <w:divBdr>
                <w:top w:val="none" w:sz="0" w:space="0" w:color="auto"/>
                <w:left w:val="none" w:sz="0" w:space="0" w:color="auto"/>
                <w:bottom w:val="none" w:sz="0" w:space="0" w:color="auto"/>
                <w:right w:val="none" w:sz="0" w:space="0" w:color="auto"/>
              </w:divBdr>
            </w:div>
          </w:divsChild>
        </w:div>
        <w:div w:id="438069780">
          <w:marLeft w:val="0"/>
          <w:marRight w:val="0"/>
          <w:marTop w:val="0"/>
          <w:marBottom w:val="0"/>
          <w:divBdr>
            <w:top w:val="none" w:sz="0" w:space="0" w:color="auto"/>
            <w:left w:val="none" w:sz="0" w:space="0" w:color="auto"/>
            <w:bottom w:val="none" w:sz="0" w:space="0" w:color="auto"/>
            <w:right w:val="none" w:sz="0" w:space="0" w:color="auto"/>
          </w:divBdr>
          <w:divsChild>
            <w:div w:id="1551258700">
              <w:marLeft w:val="0"/>
              <w:marRight w:val="0"/>
              <w:marTop w:val="0"/>
              <w:marBottom w:val="0"/>
              <w:divBdr>
                <w:top w:val="none" w:sz="0" w:space="0" w:color="auto"/>
                <w:left w:val="none" w:sz="0" w:space="0" w:color="auto"/>
                <w:bottom w:val="none" w:sz="0" w:space="0" w:color="auto"/>
                <w:right w:val="none" w:sz="0" w:space="0" w:color="auto"/>
              </w:divBdr>
            </w:div>
          </w:divsChild>
        </w:div>
        <w:div w:id="468936383">
          <w:marLeft w:val="0"/>
          <w:marRight w:val="0"/>
          <w:marTop w:val="0"/>
          <w:marBottom w:val="0"/>
          <w:divBdr>
            <w:top w:val="none" w:sz="0" w:space="0" w:color="auto"/>
            <w:left w:val="none" w:sz="0" w:space="0" w:color="auto"/>
            <w:bottom w:val="none" w:sz="0" w:space="0" w:color="auto"/>
            <w:right w:val="none" w:sz="0" w:space="0" w:color="auto"/>
          </w:divBdr>
          <w:divsChild>
            <w:div w:id="111412365">
              <w:marLeft w:val="0"/>
              <w:marRight w:val="0"/>
              <w:marTop w:val="0"/>
              <w:marBottom w:val="0"/>
              <w:divBdr>
                <w:top w:val="none" w:sz="0" w:space="0" w:color="auto"/>
                <w:left w:val="none" w:sz="0" w:space="0" w:color="auto"/>
                <w:bottom w:val="none" w:sz="0" w:space="0" w:color="auto"/>
                <w:right w:val="none" w:sz="0" w:space="0" w:color="auto"/>
              </w:divBdr>
            </w:div>
          </w:divsChild>
        </w:div>
        <w:div w:id="476846347">
          <w:marLeft w:val="0"/>
          <w:marRight w:val="0"/>
          <w:marTop w:val="0"/>
          <w:marBottom w:val="0"/>
          <w:divBdr>
            <w:top w:val="none" w:sz="0" w:space="0" w:color="auto"/>
            <w:left w:val="none" w:sz="0" w:space="0" w:color="auto"/>
            <w:bottom w:val="none" w:sz="0" w:space="0" w:color="auto"/>
            <w:right w:val="none" w:sz="0" w:space="0" w:color="auto"/>
          </w:divBdr>
          <w:divsChild>
            <w:div w:id="1556046368">
              <w:marLeft w:val="0"/>
              <w:marRight w:val="0"/>
              <w:marTop w:val="0"/>
              <w:marBottom w:val="0"/>
              <w:divBdr>
                <w:top w:val="none" w:sz="0" w:space="0" w:color="auto"/>
                <w:left w:val="none" w:sz="0" w:space="0" w:color="auto"/>
                <w:bottom w:val="none" w:sz="0" w:space="0" w:color="auto"/>
                <w:right w:val="none" w:sz="0" w:space="0" w:color="auto"/>
              </w:divBdr>
            </w:div>
          </w:divsChild>
        </w:div>
        <w:div w:id="590046359">
          <w:marLeft w:val="0"/>
          <w:marRight w:val="0"/>
          <w:marTop w:val="0"/>
          <w:marBottom w:val="0"/>
          <w:divBdr>
            <w:top w:val="none" w:sz="0" w:space="0" w:color="auto"/>
            <w:left w:val="none" w:sz="0" w:space="0" w:color="auto"/>
            <w:bottom w:val="none" w:sz="0" w:space="0" w:color="auto"/>
            <w:right w:val="none" w:sz="0" w:space="0" w:color="auto"/>
          </w:divBdr>
          <w:divsChild>
            <w:div w:id="1952859765">
              <w:marLeft w:val="0"/>
              <w:marRight w:val="0"/>
              <w:marTop w:val="0"/>
              <w:marBottom w:val="0"/>
              <w:divBdr>
                <w:top w:val="none" w:sz="0" w:space="0" w:color="auto"/>
                <w:left w:val="none" w:sz="0" w:space="0" w:color="auto"/>
                <w:bottom w:val="none" w:sz="0" w:space="0" w:color="auto"/>
                <w:right w:val="none" w:sz="0" w:space="0" w:color="auto"/>
              </w:divBdr>
            </w:div>
          </w:divsChild>
        </w:div>
        <w:div w:id="629869346">
          <w:marLeft w:val="0"/>
          <w:marRight w:val="0"/>
          <w:marTop w:val="0"/>
          <w:marBottom w:val="0"/>
          <w:divBdr>
            <w:top w:val="none" w:sz="0" w:space="0" w:color="auto"/>
            <w:left w:val="none" w:sz="0" w:space="0" w:color="auto"/>
            <w:bottom w:val="none" w:sz="0" w:space="0" w:color="auto"/>
            <w:right w:val="none" w:sz="0" w:space="0" w:color="auto"/>
          </w:divBdr>
          <w:divsChild>
            <w:div w:id="2094466863">
              <w:marLeft w:val="0"/>
              <w:marRight w:val="0"/>
              <w:marTop w:val="0"/>
              <w:marBottom w:val="0"/>
              <w:divBdr>
                <w:top w:val="none" w:sz="0" w:space="0" w:color="auto"/>
                <w:left w:val="none" w:sz="0" w:space="0" w:color="auto"/>
                <w:bottom w:val="none" w:sz="0" w:space="0" w:color="auto"/>
                <w:right w:val="none" w:sz="0" w:space="0" w:color="auto"/>
              </w:divBdr>
            </w:div>
          </w:divsChild>
        </w:div>
        <w:div w:id="635910219">
          <w:marLeft w:val="0"/>
          <w:marRight w:val="0"/>
          <w:marTop w:val="0"/>
          <w:marBottom w:val="0"/>
          <w:divBdr>
            <w:top w:val="none" w:sz="0" w:space="0" w:color="auto"/>
            <w:left w:val="none" w:sz="0" w:space="0" w:color="auto"/>
            <w:bottom w:val="none" w:sz="0" w:space="0" w:color="auto"/>
            <w:right w:val="none" w:sz="0" w:space="0" w:color="auto"/>
          </w:divBdr>
          <w:divsChild>
            <w:div w:id="1723677454">
              <w:marLeft w:val="0"/>
              <w:marRight w:val="0"/>
              <w:marTop w:val="0"/>
              <w:marBottom w:val="0"/>
              <w:divBdr>
                <w:top w:val="none" w:sz="0" w:space="0" w:color="auto"/>
                <w:left w:val="none" w:sz="0" w:space="0" w:color="auto"/>
                <w:bottom w:val="none" w:sz="0" w:space="0" w:color="auto"/>
                <w:right w:val="none" w:sz="0" w:space="0" w:color="auto"/>
              </w:divBdr>
            </w:div>
          </w:divsChild>
        </w:div>
        <w:div w:id="660620447">
          <w:marLeft w:val="0"/>
          <w:marRight w:val="0"/>
          <w:marTop w:val="0"/>
          <w:marBottom w:val="0"/>
          <w:divBdr>
            <w:top w:val="none" w:sz="0" w:space="0" w:color="auto"/>
            <w:left w:val="none" w:sz="0" w:space="0" w:color="auto"/>
            <w:bottom w:val="none" w:sz="0" w:space="0" w:color="auto"/>
            <w:right w:val="none" w:sz="0" w:space="0" w:color="auto"/>
          </w:divBdr>
          <w:divsChild>
            <w:div w:id="1363094839">
              <w:marLeft w:val="0"/>
              <w:marRight w:val="0"/>
              <w:marTop w:val="0"/>
              <w:marBottom w:val="0"/>
              <w:divBdr>
                <w:top w:val="none" w:sz="0" w:space="0" w:color="auto"/>
                <w:left w:val="none" w:sz="0" w:space="0" w:color="auto"/>
                <w:bottom w:val="none" w:sz="0" w:space="0" w:color="auto"/>
                <w:right w:val="none" w:sz="0" w:space="0" w:color="auto"/>
              </w:divBdr>
            </w:div>
          </w:divsChild>
        </w:div>
        <w:div w:id="692803456">
          <w:marLeft w:val="0"/>
          <w:marRight w:val="0"/>
          <w:marTop w:val="0"/>
          <w:marBottom w:val="0"/>
          <w:divBdr>
            <w:top w:val="none" w:sz="0" w:space="0" w:color="auto"/>
            <w:left w:val="none" w:sz="0" w:space="0" w:color="auto"/>
            <w:bottom w:val="none" w:sz="0" w:space="0" w:color="auto"/>
            <w:right w:val="none" w:sz="0" w:space="0" w:color="auto"/>
          </w:divBdr>
          <w:divsChild>
            <w:div w:id="597173959">
              <w:marLeft w:val="0"/>
              <w:marRight w:val="0"/>
              <w:marTop w:val="0"/>
              <w:marBottom w:val="0"/>
              <w:divBdr>
                <w:top w:val="none" w:sz="0" w:space="0" w:color="auto"/>
                <w:left w:val="none" w:sz="0" w:space="0" w:color="auto"/>
                <w:bottom w:val="none" w:sz="0" w:space="0" w:color="auto"/>
                <w:right w:val="none" w:sz="0" w:space="0" w:color="auto"/>
              </w:divBdr>
            </w:div>
          </w:divsChild>
        </w:div>
        <w:div w:id="756245187">
          <w:marLeft w:val="0"/>
          <w:marRight w:val="0"/>
          <w:marTop w:val="0"/>
          <w:marBottom w:val="0"/>
          <w:divBdr>
            <w:top w:val="none" w:sz="0" w:space="0" w:color="auto"/>
            <w:left w:val="none" w:sz="0" w:space="0" w:color="auto"/>
            <w:bottom w:val="none" w:sz="0" w:space="0" w:color="auto"/>
            <w:right w:val="none" w:sz="0" w:space="0" w:color="auto"/>
          </w:divBdr>
          <w:divsChild>
            <w:div w:id="1143083551">
              <w:marLeft w:val="0"/>
              <w:marRight w:val="0"/>
              <w:marTop w:val="0"/>
              <w:marBottom w:val="0"/>
              <w:divBdr>
                <w:top w:val="none" w:sz="0" w:space="0" w:color="auto"/>
                <w:left w:val="none" w:sz="0" w:space="0" w:color="auto"/>
                <w:bottom w:val="none" w:sz="0" w:space="0" w:color="auto"/>
                <w:right w:val="none" w:sz="0" w:space="0" w:color="auto"/>
              </w:divBdr>
            </w:div>
          </w:divsChild>
        </w:div>
        <w:div w:id="790175703">
          <w:marLeft w:val="0"/>
          <w:marRight w:val="0"/>
          <w:marTop w:val="0"/>
          <w:marBottom w:val="0"/>
          <w:divBdr>
            <w:top w:val="none" w:sz="0" w:space="0" w:color="auto"/>
            <w:left w:val="none" w:sz="0" w:space="0" w:color="auto"/>
            <w:bottom w:val="none" w:sz="0" w:space="0" w:color="auto"/>
            <w:right w:val="none" w:sz="0" w:space="0" w:color="auto"/>
          </w:divBdr>
          <w:divsChild>
            <w:div w:id="860362808">
              <w:marLeft w:val="0"/>
              <w:marRight w:val="0"/>
              <w:marTop w:val="0"/>
              <w:marBottom w:val="0"/>
              <w:divBdr>
                <w:top w:val="none" w:sz="0" w:space="0" w:color="auto"/>
                <w:left w:val="none" w:sz="0" w:space="0" w:color="auto"/>
                <w:bottom w:val="none" w:sz="0" w:space="0" w:color="auto"/>
                <w:right w:val="none" w:sz="0" w:space="0" w:color="auto"/>
              </w:divBdr>
            </w:div>
          </w:divsChild>
        </w:div>
        <w:div w:id="951088046">
          <w:marLeft w:val="0"/>
          <w:marRight w:val="0"/>
          <w:marTop w:val="0"/>
          <w:marBottom w:val="0"/>
          <w:divBdr>
            <w:top w:val="none" w:sz="0" w:space="0" w:color="auto"/>
            <w:left w:val="none" w:sz="0" w:space="0" w:color="auto"/>
            <w:bottom w:val="none" w:sz="0" w:space="0" w:color="auto"/>
            <w:right w:val="none" w:sz="0" w:space="0" w:color="auto"/>
          </w:divBdr>
          <w:divsChild>
            <w:div w:id="927426485">
              <w:marLeft w:val="0"/>
              <w:marRight w:val="0"/>
              <w:marTop w:val="0"/>
              <w:marBottom w:val="0"/>
              <w:divBdr>
                <w:top w:val="none" w:sz="0" w:space="0" w:color="auto"/>
                <w:left w:val="none" w:sz="0" w:space="0" w:color="auto"/>
                <w:bottom w:val="none" w:sz="0" w:space="0" w:color="auto"/>
                <w:right w:val="none" w:sz="0" w:space="0" w:color="auto"/>
              </w:divBdr>
            </w:div>
          </w:divsChild>
        </w:div>
        <w:div w:id="967249366">
          <w:marLeft w:val="0"/>
          <w:marRight w:val="0"/>
          <w:marTop w:val="0"/>
          <w:marBottom w:val="0"/>
          <w:divBdr>
            <w:top w:val="none" w:sz="0" w:space="0" w:color="auto"/>
            <w:left w:val="none" w:sz="0" w:space="0" w:color="auto"/>
            <w:bottom w:val="none" w:sz="0" w:space="0" w:color="auto"/>
            <w:right w:val="none" w:sz="0" w:space="0" w:color="auto"/>
          </w:divBdr>
          <w:divsChild>
            <w:div w:id="1879389870">
              <w:marLeft w:val="0"/>
              <w:marRight w:val="0"/>
              <w:marTop w:val="0"/>
              <w:marBottom w:val="0"/>
              <w:divBdr>
                <w:top w:val="none" w:sz="0" w:space="0" w:color="auto"/>
                <w:left w:val="none" w:sz="0" w:space="0" w:color="auto"/>
                <w:bottom w:val="none" w:sz="0" w:space="0" w:color="auto"/>
                <w:right w:val="none" w:sz="0" w:space="0" w:color="auto"/>
              </w:divBdr>
            </w:div>
          </w:divsChild>
        </w:div>
        <w:div w:id="983586304">
          <w:marLeft w:val="0"/>
          <w:marRight w:val="0"/>
          <w:marTop w:val="0"/>
          <w:marBottom w:val="0"/>
          <w:divBdr>
            <w:top w:val="none" w:sz="0" w:space="0" w:color="auto"/>
            <w:left w:val="none" w:sz="0" w:space="0" w:color="auto"/>
            <w:bottom w:val="none" w:sz="0" w:space="0" w:color="auto"/>
            <w:right w:val="none" w:sz="0" w:space="0" w:color="auto"/>
          </w:divBdr>
          <w:divsChild>
            <w:div w:id="1897202403">
              <w:marLeft w:val="0"/>
              <w:marRight w:val="0"/>
              <w:marTop w:val="0"/>
              <w:marBottom w:val="0"/>
              <w:divBdr>
                <w:top w:val="none" w:sz="0" w:space="0" w:color="auto"/>
                <w:left w:val="none" w:sz="0" w:space="0" w:color="auto"/>
                <w:bottom w:val="none" w:sz="0" w:space="0" w:color="auto"/>
                <w:right w:val="none" w:sz="0" w:space="0" w:color="auto"/>
              </w:divBdr>
            </w:div>
          </w:divsChild>
        </w:div>
        <w:div w:id="1024356401">
          <w:marLeft w:val="0"/>
          <w:marRight w:val="0"/>
          <w:marTop w:val="0"/>
          <w:marBottom w:val="0"/>
          <w:divBdr>
            <w:top w:val="none" w:sz="0" w:space="0" w:color="auto"/>
            <w:left w:val="none" w:sz="0" w:space="0" w:color="auto"/>
            <w:bottom w:val="none" w:sz="0" w:space="0" w:color="auto"/>
            <w:right w:val="none" w:sz="0" w:space="0" w:color="auto"/>
          </w:divBdr>
          <w:divsChild>
            <w:div w:id="16516151">
              <w:marLeft w:val="0"/>
              <w:marRight w:val="0"/>
              <w:marTop w:val="0"/>
              <w:marBottom w:val="0"/>
              <w:divBdr>
                <w:top w:val="none" w:sz="0" w:space="0" w:color="auto"/>
                <w:left w:val="none" w:sz="0" w:space="0" w:color="auto"/>
                <w:bottom w:val="none" w:sz="0" w:space="0" w:color="auto"/>
                <w:right w:val="none" w:sz="0" w:space="0" w:color="auto"/>
              </w:divBdr>
            </w:div>
          </w:divsChild>
        </w:div>
        <w:div w:id="1089887971">
          <w:marLeft w:val="0"/>
          <w:marRight w:val="0"/>
          <w:marTop w:val="0"/>
          <w:marBottom w:val="0"/>
          <w:divBdr>
            <w:top w:val="none" w:sz="0" w:space="0" w:color="auto"/>
            <w:left w:val="none" w:sz="0" w:space="0" w:color="auto"/>
            <w:bottom w:val="none" w:sz="0" w:space="0" w:color="auto"/>
            <w:right w:val="none" w:sz="0" w:space="0" w:color="auto"/>
          </w:divBdr>
          <w:divsChild>
            <w:div w:id="530534450">
              <w:marLeft w:val="0"/>
              <w:marRight w:val="0"/>
              <w:marTop w:val="0"/>
              <w:marBottom w:val="0"/>
              <w:divBdr>
                <w:top w:val="none" w:sz="0" w:space="0" w:color="auto"/>
                <w:left w:val="none" w:sz="0" w:space="0" w:color="auto"/>
                <w:bottom w:val="none" w:sz="0" w:space="0" w:color="auto"/>
                <w:right w:val="none" w:sz="0" w:space="0" w:color="auto"/>
              </w:divBdr>
            </w:div>
          </w:divsChild>
        </w:div>
        <w:div w:id="1102191539">
          <w:marLeft w:val="0"/>
          <w:marRight w:val="0"/>
          <w:marTop w:val="0"/>
          <w:marBottom w:val="0"/>
          <w:divBdr>
            <w:top w:val="none" w:sz="0" w:space="0" w:color="auto"/>
            <w:left w:val="none" w:sz="0" w:space="0" w:color="auto"/>
            <w:bottom w:val="none" w:sz="0" w:space="0" w:color="auto"/>
            <w:right w:val="none" w:sz="0" w:space="0" w:color="auto"/>
          </w:divBdr>
          <w:divsChild>
            <w:div w:id="140076017">
              <w:marLeft w:val="0"/>
              <w:marRight w:val="0"/>
              <w:marTop w:val="0"/>
              <w:marBottom w:val="0"/>
              <w:divBdr>
                <w:top w:val="none" w:sz="0" w:space="0" w:color="auto"/>
                <w:left w:val="none" w:sz="0" w:space="0" w:color="auto"/>
                <w:bottom w:val="none" w:sz="0" w:space="0" w:color="auto"/>
                <w:right w:val="none" w:sz="0" w:space="0" w:color="auto"/>
              </w:divBdr>
            </w:div>
          </w:divsChild>
        </w:div>
        <w:div w:id="1129009795">
          <w:marLeft w:val="0"/>
          <w:marRight w:val="0"/>
          <w:marTop w:val="0"/>
          <w:marBottom w:val="0"/>
          <w:divBdr>
            <w:top w:val="none" w:sz="0" w:space="0" w:color="auto"/>
            <w:left w:val="none" w:sz="0" w:space="0" w:color="auto"/>
            <w:bottom w:val="none" w:sz="0" w:space="0" w:color="auto"/>
            <w:right w:val="none" w:sz="0" w:space="0" w:color="auto"/>
          </w:divBdr>
          <w:divsChild>
            <w:div w:id="1473256698">
              <w:marLeft w:val="0"/>
              <w:marRight w:val="0"/>
              <w:marTop w:val="0"/>
              <w:marBottom w:val="0"/>
              <w:divBdr>
                <w:top w:val="none" w:sz="0" w:space="0" w:color="auto"/>
                <w:left w:val="none" w:sz="0" w:space="0" w:color="auto"/>
                <w:bottom w:val="none" w:sz="0" w:space="0" w:color="auto"/>
                <w:right w:val="none" w:sz="0" w:space="0" w:color="auto"/>
              </w:divBdr>
            </w:div>
          </w:divsChild>
        </w:div>
        <w:div w:id="1145076707">
          <w:marLeft w:val="0"/>
          <w:marRight w:val="0"/>
          <w:marTop w:val="0"/>
          <w:marBottom w:val="0"/>
          <w:divBdr>
            <w:top w:val="none" w:sz="0" w:space="0" w:color="auto"/>
            <w:left w:val="none" w:sz="0" w:space="0" w:color="auto"/>
            <w:bottom w:val="none" w:sz="0" w:space="0" w:color="auto"/>
            <w:right w:val="none" w:sz="0" w:space="0" w:color="auto"/>
          </w:divBdr>
          <w:divsChild>
            <w:div w:id="626014550">
              <w:marLeft w:val="0"/>
              <w:marRight w:val="0"/>
              <w:marTop w:val="0"/>
              <w:marBottom w:val="0"/>
              <w:divBdr>
                <w:top w:val="none" w:sz="0" w:space="0" w:color="auto"/>
                <w:left w:val="none" w:sz="0" w:space="0" w:color="auto"/>
                <w:bottom w:val="none" w:sz="0" w:space="0" w:color="auto"/>
                <w:right w:val="none" w:sz="0" w:space="0" w:color="auto"/>
              </w:divBdr>
            </w:div>
          </w:divsChild>
        </w:div>
        <w:div w:id="1227842630">
          <w:marLeft w:val="0"/>
          <w:marRight w:val="0"/>
          <w:marTop w:val="0"/>
          <w:marBottom w:val="0"/>
          <w:divBdr>
            <w:top w:val="none" w:sz="0" w:space="0" w:color="auto"/>
            <w:left w:val="none" w:sz="0" w:space="0" w:color="auto"/>
            <w:bottom w:val="none" w:sz="0" w:space="0" w:color="auto"/>
            <w:right w:val="none" w:sz="0" w:space="0" w:color="auto"/>
          </w:divBdr>
          <w:divsChild>
            <w:div w:id="2036955587">
              <w:marLeft w:val="0"/>
              <w:marRight w:val="0"/>
              <w:marTop w:val="0"/>
              <w:marBottom w:val="0"/>
              <w:divBdr>
                <w:top w:val="none" w:sz="0" w:space="0" w:color="auto"/>
                <w:left w:val="none" w:sz="0" w:space="0" w:color="auto"/>
                <w:bottom w:val="none" w:sz="0" w:space="0" w:color="auto"/>
                <w:right w:val="none" w:sz="0" w:space="0" w:color="auto"/>
              </w:divBdr>
            </w:div>
          </w:divsChild>
        </w:div>
        <w:div w:id="1227959924">
          <w:marLeft w:val="0"/>
          <w:marRight w:val="0"/>
          <w:marTop w:val="0"/>
          <w:marBottom w:val="0"/>
          <w:divBdr>
            <w:top w:val="none" w:sz="0" w:space="0" w:color="auto"/>
            <w:left w:val="none" w:sz="0" w:space="0" w:color="auto"/>
            <w:bottom w:val="none" w:sz="0" w:space="0" w:color="auto"/>
            <w:right w:val="none" w:sz="0" w:space="0" w:color="auto"/>
          </w:divBdr>
          <w:divsChild>
            <w:div w:id="973943867">
              <w:marLeft w:val="0"/>
              <w:marRight w:val="0"/>
              <w:marTop w:val="0"/>
              <w:marBottom w:val="0"/>
              <w:divBdr>
                <w:top w:val="none" w:sz="0" w:space="0" w:color="auto"/>
                <w:left w:val="none" w:sz="0" w:space="0" w:color="auto"/>
                <w:bottom w:val="none" w:sz="0" w:space="0" w:color="auto"/>
                <w:right w:val="none" w:sz="0" w:space="0" w:color="auto"/>
              </w:divBdr>
            </w:div>
          </w:divsChild>
        </w:div>
        <w:div w:id="1281764037">
          <w:marLeft w:val="0"/>
          <w:marRight w:val="0"/>
          <w:marTop w:val="0"/>
          <w:marBottom w:val="0"/>
          <w:divBdr>
            <w:top w:val="none" w:sz="0" w:space="0" w:color="auto"/>
            <w:left w:val="none" w:sz="0" w:space="0" w:color="auto"/>
            <w:bottom w:val="none" w:sz="0" w:space="0" w:color="auto"/>
            <w:right w:val="none" w:sz="0" w:space="0" w:color="auto"/>
          </w:divBdr>
          <w:divsChild>
            <w:div w:id="1539928317">
              <w:marLeft w:val="0"/>
              <w:marRight w:val="0"/>
              <w:marTop w:val="0"/>
              <w:marBottom w:val="0"/>
              <w:divBdr>
                <w:top w:val="none" w:sz="0" w:space="0" w:color="auto"/>
                <w:left w:val="none" w:sz="0" w:space="0" w:color="auto"/>
                <w:bottom w:val="none" w:sz="0" w:space="0" w:color="auto"/>
                <w:right w:val="none" w:sz="0" w:space="0" w:color="auto"/>
              </w:divBdr>
            </w:div>
          </w:divsChild>
        </w:div>
        <w:div w:id="1449854446">
          <w:marLeft w:val="0"/>
          <w:marRight w:val="0"/>
          <w:marTop w:val="0"/>
          <w:marBottom w:val="0"/>
          <w:divBdr>
            <w:top w:val="none" w:sz="0" w:space="0" w:color="auto"/>
            <w:left w:val="none" w:sz="0" w:space="0" w:color="auto"/>
            <w:bottom w:val="none" w:sz="0" w:space="0" w:color="auto"/>
            <w:right w:val="none" w:sz="0" w:space="0" w:color="auto"/>
          </w:divBdr>
          <w:divsChild>
            <w:div w:id="1441605920">
              <w:marLeft w:val="0"/>
              <w:marRight w:val="0"/>
              <w:marTop w:val="0"/>
              <w:marBottom w:val="0"/>
              <w:divBdr>
                <w:top w:val="none" w:sz="0" w:space="0" w:color="auto"/>
                <w:left w:val="none" w:sz="0" w:space="0" w:color="auto"/>
                <w:bottom w:val="none" w:sz="0" w:space="0" w:color="auto"/>
                <w:right w:val="none" w:sz="0" w:space="0" w:color="auto"/>
              </w:divBdr>
            </w:div>
          </w:divsChild>
        </w:div>
        <w:div w:id="1484420943">
          <w:marLeft w:val="0"/>
          <w:marRight w:val="0"/>
          <w:marTop w:val="0"/>
          <w:marBottom w:val="0"/>
          <w:divBdr>
            <w:top w:val="none" w:sz="0" w:space="0" w:color="auto"/>
            <w:left w:val="none" w:sz="0" w:space="0" w:color="auto"/>
            <w:bottom w:val="none" w:sz="0" w:space="0" w:color="auto"/>
            <w:right w:val="none" w:sz="0" w:space="0" w:color="auto"/>
          </w:divBdr>
          <w:divsChild>
            <w:div w:id="1536961845">
              <w:marLeft w:val="0"/>
              <w:marRight w:val="0"/>
              <w:marTop w:val="0"/>
              <w:marBottom w:val="0"/>
              <w:divBdr>
                <w:top w:val="none" w:sz="0" w:space="0" w:color="auto"/>
                <w:left w:val="none" w:sz="0" w:space="0" w:color="auto"/>
                <w:bottom w:val="none" w:sz="0" w:space="0" w:color="auto"/>
                <w:right w:val="none" w:sz="0" w:space="0" w:color="auto"/>
              </w:divBdr>
            </w:div>
          </w:divsChild>
        </w:div>
        <w:div w:id="1546060799">
          <w:marLeft w:val="0"/>
          <w:marRight w:val="0"/>
          <w:marTop w:val="0"/>
          <w:marBottom w:val="0"/>
          <w:divBdr>
            <w:top w:val="none" w:sz="0" w:space="0" w:color="auto"/>
            <w:left w:val="none" w:sz="0" w:space="0" w:color="auto"/>
            <w:bottom w:val="none" w:sz="0" w:space="0" w:color="auto"/>
            <w:right w:val="none" w:sz="0" w:space="0" w:color="auto"/>
          </w:divBdr>
          <w:divsChild>
            <w:div w:id="347291188">
              <w:marLeft w:val="0"/>
              <w:marRight w:val="0"/>
              <w:marTop w:val="0"/>
              <w:marBottom w:val="0"/>
              <w:divBdr>
                <w:top w:val="none" w:sz="0" w:space="0" w:color="auto"/>
                <w:left w:val="none" w:sz="0" w:space="0" w:color="auto"/>
                <w:bottom w:val="none" w:sz="0" w:space="0" w:color="auto"/>
                <w:right w:val="none" w:sz="0" w:space="0" w:color="auto"/>
              </w:divBdr>
            </w:div>
          </w:divsChild>
        </w:div>
        <w:div w:id="1586760638">
          <w:marLeft w:val="0"/>
          <w:marRight w:val="0"/>
          <w:marTop w:val="0"/>
          <w:marBottom w:val="0"/>
          <w:divBdr>
            <w:top w:val="none" w:sz="0" w:space="0" w:color="auto"/>
            <w:left w:val="none" w:sz="0" w:space="0" w:color="auto"/>
            <w:bottom w:val="none" w:sz="0" w:space="0" w:color="auto"/>
            <w:right w:val="none" w:sz="0" w:space="0" w:color="auto"/>
          </w:divBdr>
          <w:divsChild>
            <w:div w:id="658384808">
              <w:marLeft w:val="0"/>
              <w:marRight w:val="0"/>
              <w:marTop w:val="0"/>
              <w:marBottom w:val="0"/>
              <w:divBdr>
                <w:top w:val="none" w:sz="0" w:space="0" w:color="auto"/>
                <w:left w:val="none" w:sz="0" w:space="0" w:color="auto"/>
                <w:bottom w:val="none" w:sz="0" w:space="0" w:color="auto"/>
                <w:right w:val="none" w:sz="0" w:space="0" w:color="auto"/>
              </w:divBdr>
            </w:div>
          </w:divsChild>
        </w:div>
        <w:div w:id="1600986984">
          <w:marLeft w:val="0"/>
          <w:marRight w:val="0"/>
          <w:marTop w:val="0"/>
          <w:marBottom w:val="0"/>
          <w:divBdr>
            <w:top w:val="none" w:sz="0" w:space="0" w:color="auto"/>
            <w:left w:val="none" w:sz="0" w:space="0" w:color="auto"/>
            <w:bottom w:val="none" w:sz="0" w:space="0" w:color="auto"/>
            <w:right w:val="none" w:sz="0" w:space="0" w:color="auto"/>
          </w:divBdr>
          <w:divsChild>
            <w:div w:id="1430615688">
              <w:marLeft w:val="0"/>
              <w:marRight w:val="0"/>
              <w:marTop w:val="0"/>
              <w:marBottom w:val="0"/>
              <w:divBdr>
                <w:top w:val="none" w:sz="0" w:space="0" w:color="auto"/>
                <w:left w:val="none" w:sz="0" w:space="0" w:color="auto"/>
                <w:bottom w:val="none" w:sz="0" w:space="0" w:color="auto"/>
                <w:right w:val="none" w:sz="0" w:space="0" w:color="auto"/>
              </w:divBdr>
            </w:div>
          </w:divsChild>
        </w:div>
        <w:div w:id="1688217966">
          <w:marLeft w:val="0"/>
          <w:marRight w:val="0"/>
          <w:marTop w:val="0"/>
          <w:marBottom w:val="0"/>
          <w:divBdr>
            <w:top w:val="none" w:sz="0" w:space="0" w:color="auto"/>
            <w:left w:val="none" w:sz="0" w:space="0" w:color="auto"/>
            <w:bottom w:val="none" w:sz="0" w:space="0" w:color="auto"/>
            <w:right w:val="none" w:sz="0" w:space="0" w:color="auto"/>
          </w:divBdr>
          <w:divsChild>
            <w:div w:id="1558128715">
              <w:marLeft w:val="0"/>
              <w:marRight w:val="0"/>
              <w:marTop w:val="0"/>
              <w:marBottom w:val="0"/>
              <w:divBdr>
                <w:top w:val="none" w:sz="0" w:space="0" w:color="auto"/>
                <w:left w:val="none" w:sz="0" w:space="0" w:color="auto"/>
                <w:bottom w:val="none" w:sz="0" w:space="0" w:color="auto"/>
                <w:right w:val="none" w:sz="0" w:space="0" w:color="auto"/>
              </w:divBdr>
            </w:div>
          </w:divsChild>
        </w:div>
        <w:div w:id="1693258819">
          <w:marLeft w:val="0"/>
          <w:marRight w:val="0"/>
          <w:marTop w:val="0"/>
          <w:marBottom w:val="0"/>
          <w:divBdr>
            <w:top w:val="none" w:sz="0" w:space="0" w:color="auto"/>
            <w:left w:val="none" w:sz="0" w:space="0" w:color="auto"/>
            <w:bottom w:val="none" w:sz="0" w:space="0" w:color="auto"/>
            <w:right w:val="none" w:sz="0" w:space="0" w:color="auto"/>
          </w:divBdr>
          <w:divsChild>
            <w:div w:id="415201825">
              <w:marLeft w:val="0"/>
              <w:marRight w:val="0"/>
              <w:marTop w:val="0"/>
              <w:marBottom w:val="0"/>
              <w:divBdr>
                <w:top w:val="none" w:sz="0" w:space="0" w:color="auto"/>
                <w:left w:val="none" w:sz="0" w:space="0" w:color="auto"/>
                <w:bottom w:val="none" w:sz="0" w:space="0" w:color="auto"/>
                <w:right w:val="none" w:sz="0" w:space="0" w:color="auto"/>
              </w:divBdr>
            </w:div>
          </w:divsChild>
        </w:div>
        <w:div w:id="1768889423">
          <w:marLeft w:val="0"/>
          <w:marRight w:val="0"/>
          <w:marTop w:val="0"/>
          <w:marBottom w:val="0"/>
          <w:divBdr>
            <w:top w:val="none" w:sz="0" w:space="0" w:color="auto"/>
            <w:left w:val="none" w:sz="0" w:space="0" w:color="auto"/>
            <w:bottom w:val="none" w:sz="0" w:space="0" w:color="auto"/>
            <w:right w:val="none" w:sz="0" w:space="0" w:color="auto"/>
          </w:divBdr>
          <w:divsChild>
            <w:div w:id="343437443">
              <w:marLeft w:val="0"/>
              <w:marRight w:val="0"/>
              <w:marTop w:val="0"/>
              <w:marBottom w:val="0"/>
              <w:divBdr>
                <w:top w:val="none" w:sz="0" w:space="0" w:color="auto"/>
                <w:left w:val="none" w:sz="0" w:space="0" w:color="auto"/>
                <w:bottom w:val="none" w:sz="0" w:space="0" w:color="auto"/>
                <w:right w:val="none" w:sz="0" w:space="0" w:color="auto"/>
              </w:divBdr>
            </w:div>
          </w:divsChild>
        </w:div>
        <w:div w:id="1790051228">
          <w:marLeft w:val="0"/>
          <w:marRight w:val="0"/>
          <w:marTop w:val="0"/>
          <w:marBottom w:val="0"/>
          <w:divBdr>
            <w:top w:val="none" w:sz="0" w:space="0" w:color="auto"/>
            <w:left w:val="none" w:sz="0" w:space="0" w:color="auto"/>
            <w:bottom w:val="none" w:sz="0" w:space="0" w:color="auto"/>
            <w:right w:val="none" w:sz="0" w:space="0" w:color="auto"/>
          </w:divBdr>
          <w:divsChild>
            <w:div w:id="1882935701">
              <w:marLeft w:val="0"/>
              <w:marRight w:val="0"/>
              <w:marTop w:val="0"/>
              <w:marBottom w:val="0"/>
              <w:divBdr>
                <w:top w:val="none" w:sz="0" w:space="0" w:color="auto"/>
                <w:left w:val="none" w:sz="0" w:space="0" w:color="auto"/>
                <w:bottom w:val="none" w:sz="0" w:space="0" w:color="auto"/>
                <w:right w:val="none" w:sz="0" w:space="0" w:color="auto"/>
              </w:divBdr>
            </w:div>
          </w:divsChild>
        </w:div>
        <w:div w:id="1914192782">
          <w:marLeft w:val="0"/>
          <w:marRight w:val="0"/>
          <w:marTop w:val="0"/>
          <w:marBottom w:val="0"/>
          <w:divBdr>
            <w:top w:val="none" w:sz="0" w:space="0" w:color="auto"/>
            <w:left w:val="none" w:sz="0" w:space="0" w:color="auto"/>
            <w:bottom w:val="none" w:sz="0" w:space="0" w:color="auto"/>
            <w:right w:val="none" w:sz="0" w:space="0" w:color="auto"/>
          </w:divBdr>
          <w:divsChild>
            <w:div w:id="994920229">
              <w:marLeft w:val="0"/>
              <w:marRight w:val="0"/>
              <w:marTop w:val="0"/>
              <w:marBottom w:val="0"/>
              <w:divBdr>
                <w:top w:val="none" w:sz="0" w:space="0" w:color="auto"/>
                <w:left w:val="none" w:sz="0" w:space="0" w:color="auto"/>
                <w:bottom w:val="none" w:sz="0" w:space="0" w:color="auto"/>
                <w:right w:val="none" w:sz="0" w:space="0" w:color="auto"/>
              </w:divBdr>
            </w:div>
          </w:divsChild>
        </w:div>
        <w:div w:id="1961495855">
          <w:marLeft w:val="0"/>
          <w:marRight w:val="0"/>
          <w:marTop w:val="0"/>
          <w:marBottom w:val="0"/>
          <w:divBdr>
            <w:top w:val="none" w:sz="0" w:space="0" w:color="auto"/>
            <w:left w:val="none" w:sz="0" w:space="0" w:color="auto"/>
            <w:bottom w:val="none" w:sz="0" w:space="0" w:color="auto"/>
            <w:right w:val="none" w:sz="0" w:space="0" w:color="auto"/>
          </w:divBdr>
          <w:divsChild>
            <w:div w:id="1443960269">
              <w:marLeft w:val="0"/>
              <w:marRight w:val="0"/>
              <w:marTop w:val="0"/>
              <w:marBottom w:val="0"/>
              <w:divBdr>
                <w:top w:val="none" w:sz="0" w:space="0" w:color="auto"/>
                <w:left w:val="none" w:sz="0" w:space="0" w:color="auto"/>
                <w:bottom w:val="none" w:sz="0" w:space="0" w:color="auto"/>
                <w:right w:val="none" w:sz="0" w:space="0" w:color="auto"/>
              </w:divBdr>
            </w:div>
          </w:divsChild>
        </w:div>
        <w:div w:id="2072384453">
          <w:marLeft w:val="0"/>
          <w:marRight w:val="0"/>
          <w:marTop w:val="0"/>
          <w:marBottom w:val="0"/>
          <w:divBdr>
            <w:top w:val="none" w:sz="0" w:space="0" w:color="auto"/>
            <w:left w:val="none" w:sz="0" w:space="0" w:color="auto"/>
            <w:bottom w:val="none" w:sz="0" w:space="0" w:color="auto"/>
            <w:right w:val="none" w:sz="0" w:space="0" w:color="auto"/>
          </w:divBdr>
          <w:divsChild>
            <w:div w:id="825318580">
              <w:marLeft w:val="0"/>
              <w:marRight w:val="0"/>
              <w:marTop w:val="0"/>
              <w:marBottom w:val="0"/>
              <w:divBdr>
                <w:top w:val="none" w:sz="0" w:space="0" w:color="auto"/>
                <w:left w:val="none" w:sz="0" w:space="0" w:color="auto"/>
                <w:bottom w:val="none" w:sz="0" w:space="0" w:color="auto"/>
                <w:right w:val="none" w:sz="0" w:space="0" w:color="auto"/>
              </w:divBdr>
            </w:div>
          </w:divsChild>
        </w:div>
        <w:div w:id="2099861973">
          <w:marLeft w:val="0"/>
          <w:marRight w:val="0"/>
          <w:marTop w:val="0"/>
          <w:marBottom w:val="0"/>
          <w:divBdr>
            <w:top w:val="none" w:sz="0" w:space="0" w:color="auto"/>
            <w:left w:val="none" w:sz="0" w:space="0" w:color="auto"/>
            <w:bottom w:val="none" w:sz="0" w:space="0" w:color="auto"/>
            <w:right w:val="none" w:sz="0" w:space="0" w:color="auto"/>
          </w:divBdr>
          <w:divsChild>
            <w:div w:id="20239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6565">
      <w:bodyDiv w:val="1"/>
      <w:marLeft w:val="0"/>
      <w:marRight w:val="0"/>
      <w:marTop w:val="0"/>
      <w:marBottom w:val="0"/>
      <w:divBdr>
        <w:top w:val="none" w:sz="0" w:space="0" w:color="auto"/>
        <w:left w:val="none" w:sz="0" w:space="0" w:color="auto"/>
        <w:bottom w:val="none" w:sz="0" w:space="0" w:color="auto"/>
        <w:right w:val="none" w:sz="0" w:space="0" w:color="auto"/>
      </w:divBdr>
    </w:div>
    <w:div w:id="465510432">
      <w:bodyDiv w:val="1"/>
      <w:marLeft w:val="0"/>
      <w:marRight w:val="0"/>
      <w:marTop w:val="0"/>
      <w:marBottom w:val="0"/>
      <w:divBdr>
        <w:top w:val="none" w:sz="0" w:space="0" w:color="auto"/>
        <w:left w:val="none" w:sz="0" w:space="0" w:color="auto"/>
        <w:bottom w:val="none" w:sz="0" w:space="0" w:color="auto"/>
        <w:right w:val="none" w:sz="0" w:space="0" w:color="auto"/>
      </w:divBdr>
    </w:div>
    <w:div w:id="523786757">
      <w:bodyDiv w:val="1"/>
      <w:marLeft w:val="0"/>
      <w:marRight w:val="0"/>
      <w:marTop w:val="0"/>
      <w:marBottom w:val="0"/>
      <w:divBdr>
        <w:top w:val="none" w:sz="0" w:space="0" w:color="auto"/>
        <w:left w:val="none" w:sz="0" w:space="0" w:color="auto"/>
        <w:bottom w:val="none" w:sz="0" w:space="0" w:color="auto"/>
        <w:right w:val="none" w:sz="0" w:space="0" w:color="auto"/>
      </w:divBdr>
      <w:divsChild>
        <w:div w:id="212693684">
          <w:marLeft w:val="0"/>
          <w:marRight w:val="0"/>
          <w:marTop w:val="0"/>
          <w:marBottom w:val="0"/>
          <w:divBdr>
            <w:top w:val="none" w:sz="0" w:space="0" w:color="auto"/>
            <w:left w:val="none" w:sz="0" w:space="0" w:color="auto"/>
            <w:bottom w:val="none" w:sz="0" w:space="0" w:color="auto"/>
            <w:right w:val="none" w:sz="0" w:space="0" w:color="auto"/>
          </w:divBdr>
        </w:div>
      </w:divsChild>
    </w:div>
    <w:div w:id="553082111">
      <w:bodyDiv w:val="1"/>
      <w:marLeft w:val="0"/>
      <w:marRight w:val="0"/>
      <w:marTop w:val="0"/>
      <w:marBottom w:val="0"/>
      <w:divBdr>
        <w:top w:val="none" w:sz="0" w:space="0" w:color="auto"/>
        <w:left w:val="none" w:sz="0" w:space="0" w:color="auto"/>
        <w:bottom w:val="none" w:sz="0" w:space="0" w:color="auto"/>
        <w:right w:val="none" w:sz="0" w:space="0" w:color="auto"/>
      </w:divBdr>
    </w:div>
    <w:div w:id="557479013">
      <w:bodyDiv w:val="1"/>
      <w:marLeft w:val="0"/>
      <w:marRight w:val="0"/>
      <w:marTop w:val="0"/>
      <w:marBottom w:val="0"/>
      <w:divBdr>
        <w:top w:val="none" w:sz="0" w:space="0" w:color="auto"/>
        <w:left w:val="none" w:sz="0" w:space="0" w:color="auto"/>
        <w:bottom w:val="none" w:sz="0" w:space="0" w:color="auto"/>
        <w:right w:val="none" w:sz="0" w:space="0" w:color="auto"/>
      </w:divBdr>
    </w:div>
    <w:div w:id="564604290">
      <w:bodyDiv w:val="1"/>
      <w:marLeft w:val="0"/>
      <w:marRight w:val="0"/>
      <w:marTop w:val="0"/>
      <w:marBottom w:val="0"/>
      <w:divBdr>
        <w:top w:val="none" w:sz="0" w:space="0" w:color="auto"/>
        <w:left w:val="none" w:sz="0" w:space="0" w:color="auto"/>
        <w:bottom w:val="none" w:sz="0" w:space="0" w:color="auto"/>
        <w:right w:val="none" w:sz="0" w:space="0" w:color="auto"/>
      </w:divBdr>
    </w:div>
    <w:div w:id="573709766">
      <w:bodyDiv w:val="1"/>
      <w:marLeft w:val="0"/>
      <w:marRight w:val="0"/>
      <w:marTop w:val="0"/>
      <w:marBottom w:val="0"/>
      <w:divBdr>
        <w:top w:val="none" w:sz="0" w:space="0" w:color="auto"/>
        <w:left w:val="none" w:sz="0" w:space="0" w:color="auto"/>
        <w:bottom w:val="none" w:sz="0" w:space="0" w:color="auto"/>
        <w:right w:val="none" w:sz="0" w:space="0" w:color="auto"/>
      </w:divBdr>
      <w:divsChild>
        <w:div w:id="576288903">
          <w:marLeft w:val="274"/>
          <w:marRight w:val="0"/>
          <w:marTop w:val="0"/>
          <w:marBottom w:val="0"/>
          <w:divBdr>
            <w:top w:val="none" w:sz="0" w:space="0" w:color="auto"/>
            <w:left w:val="none" w:sz="0" w:space="0" w:color="auto"/>
            <w:bottom w:val="none" w:sz="0" w:space="0" w:color="auto"/>
            <w:right w:val="none" w:sz="0" w:space="0" w:color="auto"/>
          </w:divBdr>
        </w:div>
        <w:div w:id="627473371">
          <w:marLeft w:val="274"/>
          <w:marRight w:val="0"/>
          <w:marTop w:val="0"/>
          <w:marBottom w:val="0"/>
          <w:divBdr>
            <w:top w:val="none" w:sz="0" w:space="0" w:color="auto"/>
            <w:left w:val="none" w:sz="0" w:space="0" w:color="auto"/>
            <w:bottom w:val="none" w:sz="0" w:space="0" w:color="auto"/>
            <w:right w:val="none" w:sz="0" w:space="0" w:color="auto"/>
          </w:divBdr>
        </w:div>
        <w:div w:id="1144853072">
          <w:marLeft w:val="274"/>
          <w:marRight w:val="0"/>
          <w:marTop w:val="0"/>
          <w:marBottom w:val="0"/>
          <w:divBdr>
            <w:top w:val="none" w:sz="0" w:space="0" w:color="auto"/>
            <w:left w:val="none" w:sz="0" w:space="0" w:color="auto"/>
            <w:bottom w:val="none" w:sz="0" w:space="0" w:color="auto"/>
            <w:right w:val="none" w:sz="0" w:space="0" w:color="auto"/>
          </w:divBdr>
        </w:div>
        <w:div w:id="1457287247">
          <w:marLeft w:val="274"/>
          <w:marRight w:val="0"/>
          <w:marTop w:val="0"/>
          <w:marBottom w:val="0"/>
          <w:divBdr>
            <w:top w:val="none" w:sz="0" w:space="0" w:color="auto"/>
            <w:left w:val="none" w:sz="0" w:space="0" w:color="auto"/>
            <w:bottom w:val="none" w:sz="0" w:space="0" w:color="auto"/>
            <w:right w:val="none" w:sz="0" w:space="0" w:color="auto"/>
          </w:divBdr>
        </w:div>
        <w:div w:id="1496142541">
          <w:marLeft w:val="274"/>
          <w:marRight w:val="0"/>
          <w:marTop w:val="0"/>
          <w:marBottom w:val="0"/>
          <w:divBdr>
            <w:top w:val="none" w:sz="0" w:space="0" w:color="auto"/>
            <w:left w:val="none" w:sz="0" w:space="0" w:color="auto"/>
            <w:bottom w:val="none" w:sz="0" w:space="0" w:color="auto"/>
            <w:right w:val="none" w:sz="0" w:space="0" w:color="auto"/>
          </w:divBdr>
        </w:div>
      </w:divsChild>
    </w:div>
    <w:div w:id="627587093">
      <w:bodyDiv w:val="1"/>
      <w:marLeft w:val="0"/>
      <w:marRight w:val="0"/>
      <w:marTop w:val="0"/>
      <w:marBottom w:val="0"/>
      <w:divBdr>
        <w:top w:val="none" w:sz="0" w:space="0" w:color="auto"/>
        <w:left w:val="none" w:sz="0" w:space="0" w:color="auto"/>
        <w:bottom w:val="none" w:sz="0" w:space="0" w:color="auto"/>
        <w:right w:val="none" w:sz="0" w:space="0" w:color="auto"/>
      </w:divBdr>
    </w:div>
    <w:div w:id="636569526">
      <w:bodyDiv w:val="1"/>
      <w:marLeft w:val="0"/>
      <w:marRight w:val="0"/>
      <w:marTop w:val="0"/>
      <w:marBottom w:val="0"/>
      <w:divBdr>
        <w:top w:val="none" w:sz="0" w:space="0" w:color="auto"/>
        <w:left w:val="none" w:sz="0" w:space="0" w:color="auto"/>
        <w:bottom w:val="none" w:sz="0" w:space="0" w:color="auto"/>
        <w:right w:val="none" w:sz="0" w:space="0" w:color="auto"/>
      </w:divBdr>
    </w:div>
    <w:div w:id="647902770">
      <w:bodyDiv w:val="1"/>
      <w:marLeft w:val="0"/>
      <w:marRight w:val="0"/>
      <w:marTop w:val="0"/>
      <w:marBottom w:val="0"/>
      <w:divBdr>
        <w:top w:val="none" w:sz="0" w:space="0" w:color="auto"/>
        <w:left w:val="none" w:sz="0" w:space="0" w:color="auto"/>
        <w:bottom w:val="none" w:sz="0" w:space="0" w:color="auto"/>
        <w:right w:val="none" w:sz="0" w:space="0" w:color="auto"/>
      </w:divBdr>
    </w:div>
    <w:div w:id="704402124">
      <w:bodyDiv w:val="1"/>
      <w:marLeft w:val="0"/>
      <w:marRight w:val="0"/>
      <w:marTop w:val="0"/>
      <w:marBottom w:val="0"/>
      <w:divBdr>
        <w:top w:val="none" w:sz="0" w:space="0" w:color="auto"/>
        <w:left w:val="none" w:sz="0" w:space="0" w:color="auto"/>
        <w:bottom w:val="none" w:sz="0" w:space="0" w:color="auto"/>
        <w:right w:val="none" w:sz="0" w:space="0" w:color="auto"/>
      </w:divBdr>
      <w:divsChild>
        <w:div w:id="1095711289">
          <w:marLeft w:val="0"/>
          <w:marRight w:val="0"/>
          <w:marTop w:val="0"/>
          <w:marBottom w:val="0"/>
          <w:divBdr>
            <w:top w:val="none" w:sz="0" w:space="0" w:color="auto"/>
            <w:left w:val="none" w:sz="0" w:space="0" w:color="auto"/>
            <w:bottom w:val="none" w:sz="0" w:space="0" w:color="auto"/>
            <w:right w:val="none" w:sz="0" w:space="0" w:color="auto"/>
          </w:divBdr>
          <w:divsChild>
            <w:div w:id="1378050700">
              <w:marLeft w:val="0"/>
              <w:marRight w:val="0"/>
              <w:marTop w:val="0"/>
              <w:marBottom w:val="0"/>
              <w:divBdr>
                <w:top w:val="none" w:sz="0" w:space="0" w:color="auto"/>
                <w:left w:val="none" w:sz="0" w:space="0" w:color="auto"/>
                <w:bottom w:val="none" w:sz="0" w:space="0" w:color="auto"/>
                <w:right w:val="none" w:sz="0" w:space="0" w:color="auto"/>
              </w:divBdr>
            </w:div>
            <w:div w:id="1511868911">
              <w:marLeft w:val="0"/>
              <w:marRight w:val="0"/>
              <w:marTop w:val="0"/>
              <w:marBottom w:val="0"/>
              <w:divBdr>
                <w:top w:val="none" w:sz="0" w:space="0" w:color="auto"/>
                <w:left w:val="none" w:sz="0" w:space="0" w:color="auto"/>
                <w:bottom w:val="none" w:sz="0" w:space="0" w:color="auto"/>
                <w:right w:val="none" w:sz="0" w:space="0" w:color="auto"/>
              </w:divBdr>
            </w:div>
          </w:divsChild>
        </w:div>
        <w:div w:id="1449200735">
          <w:marLeft w:val="0"/>
          <w:marRight w:val="0"/>
          <w:marTop w:val="0"/>
          <w:marBottom w:val="0"/>
          <w:divBdr>
            <w:top w:val="none" w:sz="0" w:space="0" w:color="auto"/>
            <w:left w:val="none" w:sz="0" w:space="0" w:color="auto"/>
            <w:bottom w:val="none" w:sz="0" w:space="0" w:color="auto"/>
            <w:right w:val="none" w:sz="0" w:space="0" w:color="auto"/>
          </w:divBdr>
          <w:divsChild>
            <w:div w:id="604339351">
              <w:marLeft w:val="0"/>
              <w:marRight w:val="0"/>
              <w:marTop w:val="0"/>
              <w:marBottom w:val="0"/>
              <w:divBdr>
                <w:top w:val="none" w:sz="0" w:space="0" w:color="auto"/>
                <w:left w:val="none" w:sz="0" w:space="0" w:color="auto"/>
                <w:bottom w:val="none" w:sz="0" w:space="0" w:color="auto"/>
                <w:right w:val="none" w:sz="0" w:space="0" w:color="auto"/>
              </w:divBdr>
            </w:div>
            <w:div w:id="948854412">
              <w:marLeft w:val="0"/>
              <w:marRight w:val="0"/>
              <w:marTop w:val="0"/>
              <w:marBottom w:val="0"/>
              <w:divBdr>
                <w:top w:val="none" w:sz="0" w:space="0" w:color="auto"/>
                <w:left w:val="none" w:sz="0" w:space="0" w:color="auto"/>
                <w:bottom w:val="none" w:sz="0" w:space="0" w:color="auto"/>
                <w:right w:val="none" w:sz="0" w:space="0" w:color="auto"/>
              </w:divBdr>
            </w:div>
            <w:div w:id="15412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43">
      <w:bodyDiv w:val="1"/>
      <w:marLeft w:val="0"/>
      <w:marRight w:val="0"/>
      <w:marTop w:val="0"/>
      <w:marBottom w:val="0"/>
      <w:divBdr>
        <w:top w:val="none" w:sz="0" w:space="0" w:color="auto"/>
        <w:left w:val="none" w:sz="0" w:space="0" w:color="auto"/>
        <w:bottom w:val="none" w:sz="0" w:space="0" w:color="auto"/>
        <w:right w:val="none" w:sz="0" w:space="0" w:color="auto"/>
      </w:divBdr>
    </w:div>
    <w:div w:id="729423897">
      <w:bodyDiv w:val="1"/>
      <w:marLeft w:val="0"/>
      <w:marRight w:val="0"/>
      <w:marTop w:val="0"/>
      <w:marBottom w:val="0"/>
      <w:divBdr>
        <w:top w:val="none" w:sz="0" w:space="0" w:color="auto"/>
        <w:left w:val="none" w:sz="0" w:space="0" w:color="auto"/>
        <w:bottom w:val="none" w:sz="0" w:space="0" w:color="auto"/>
        <w:right w:val="none" w:sz="0" w:space="0" w:color="auto"/>
      </w:divBdr>
    </w:div>
    <w:div w:id="735738191">
      <w:bodyDiv w:val="1"/>
      <w:marLeft w:val="0"/>
      <w:marRight w:val="0"/>
      <w:marTop w:val="0"/>
      <w:marBottom w:val="0"/>
      <w:divBdr>
        <w:top w:val="none" w:sz="0" w:space="0" w:color="auto"/>
        <w:left w:val="none" w:sz="0" w:space="0" w:color="auto"/>
        <w:bottom w:val="none" w:sz="0" w:space="0" w:color="auto"/>
        <w:right w:val="none" w:sz="0" w:space="0" w:color="auto"/>
      </w:divBdr>
    </w:div>
    <w:div w:id="763067309">
      <w:bodyDiv w:val="1"/>
      <w:marLeft w:val="0"/>
      <w:marRight w:val="0"/>
      <w:marTop w:val="0"/>
      <w:marBottom w:val="0"/>
      <w:divBdr>
        <w:top w:val="none" w:sz="0" w:space="0" w:color="auto"/>
        <w:left w:val="none" w:sz="0" w:space="0" w:color="auto"/>
        <w:bottom w:val="none" w:sz="0" w:space="0" w:color="auto"/>
        <w:right w:val="none" w:sz="0" w:space="0" w:color="auto"/>
      </w:divBdr>
    </w:div>
    <w:div w:id="786313793">
      <w:bodyDiv w:val="1"/>
      <w:marLeft w:val="0"/>
      <w:marRight w:val="0"/>
      <w:marTop w:val="0"/>
      <w:marBottom w:val="0"/>
      <w:divBdr>
        <w:top w:val="none" w:sz="0" w:space="0" w:color="auto"/>
        <w:left w:val="none" w:sz="0" w:space="0" w:color="auto"/>
        <w:bottom w:val="none" w:sz="0" w:space="0" w:color="auto"/>
        <w:right w:val="none" w:sz="0" w:space="0" w:color="auto"/>
      </w:divBdr>
    </w:div>
    <w:div w:id="799499550">
      <w:bodyDiv w:val="1"/>
      <w:marLeft w:val="0"/>
      <w:marRight w:val="0"/>
      <w:marTop w:val="0"/>
      <w:marBottom w:val="0"/>
      <w:divBdr>
        <w:top w:val="none" w:sz="0" w:space="0" w:color="auto"/>
        <w:left w:val="none" w:sz="0" w:space="0" w:color="auto"/>
        <w:bottom w:val="none" w:sz="0" w:space="0" w:color="auto"/>
        <w:right w:val="none" w:sz="0" w:space="0" w:color="auto"/>
      </w:divBdr>
    </w:div>
    <w:div w:id="826677742">
      <w:bodyDiv w:val="1"/>
      <w:marLeft w:val="0"/>
      <w:marRight w:val="0"/>
      <w:marTop w:val="0"/>
      <w:marBottom w:val="0"/>
      <w:divBdr>
        <w:top w:val="none" w:sz="0" w:space="0" w:color="auto"/>
        <w:left w:val="none" w:sz="0" w:space="0" w:color="auto"/>
        <w:bottom w:val="none" w:sz="0" w:space="0" w:color="auto"/>
        <w:right w:val="none" w:sz="0" w:space="0" w:color="auto"/>
      </w:divBdr>
    </w:div>
    <w:div w:id="912397748">
      <w:bodyDiv w:val="1"/>
      <w:marLeft w:val="0"/>
      <w:marRight w:val="0"/>
      <w:marTop w:val="0"/>
      <w:marBottom w:val="0"/>
      <w:divBdr>
        <w:top w:val="none" w:sz="0" w:space="0" w:color="auto"/>
        <w:left w:val="none" w:sz="0" w:space="0" w:color="auto"/>
        <w:bottom w:val="none" w:sz="0" w:space="0" w:color="auto"/>
        <w:right w:val="none" w:sz="0" w:space="0" w:color="auto"/>
      </w:divBdr>
    </w:div>
    <w:div w:id="939408844">
      <w:bodyDiv w:val="1"/>
      <w:marLeft w:val="0"/>
      <w:marRight w:val="0"/>
      <w:marTop w:val="0"/>
      <w:marBottom w:val="0"/>
      <w:divBdr>
        <w:top w:val="none" w:sz="0" w:space="0" w:color="auto"/>
        <w:left w:val="none" w:sz="0" w:space="0" w:color="auto"/>
        <w:bottom w:val="none" w:sz="0" w:space="0" w:color="auto"/>
        <w:right w:val="none" w:sz="0" w:space="0" w:color="auto"/>
      </w:divBdr>
      <w:divsChild>
        <w:div w:id="1984891983">
          <w:marLeft w:val="0"/>
          <w:marRight w:val="0"/>
          <w:marTop w:val="30"/>
          <w:marBottom w:val="30"/>
          <w:divBdr>
            <w:top w:val="none" w:sz="0" w:space="0" w:color="auto"/>
            <w:left w:val="none" w:sz="0" w:space="0" w:color="auto"/>
            <w:bottom w:val="none" w:sz="0" w:space="0" w:color="auto"/>
            <w:right w:val="none" w:sz="0" w:space="0" w:color="auto"/>
          </w:divBdr>
          <w:divsChild>
            <w:div w:id="31158069">
              <w:marLeft w:val="0"/>
              <w:marRight w:val="0"/>
              <w:marTop w:val="0"/>
              <w:marBottom w:val="0"/>
              <w:divBdr>
                <w:top w:val="none" w:sz="0" w:space="0" w:color="auto"/>
                <w:left w:val="none" w:sz="0" w:space="0" w:color="auto"/>
                <w:bottom w:val="none" w:sz="0" w:space="0" w:color="auto"/>
                <w:right w:val="none" w:sz="0" w:space="0" w:color="auto"/>
              </w:divBdr>
              <w:divsChild>
                <w:div w:id="999380778">
                  <w:marLeft w:val="0"/>
                  <w:marRight w:val="0"/>
                  <w:marTop w:val="0"/>
                  <w:marBottom w:val="0"/>
                  <w:divBdr>
                    <w:top w:val="none" w:sz="0" w:space="0" w:color="auto"/>
                    <w:left w:val="none" w:sz="0" w:space="0" w:color="auto"/>
                    <w:bottom w:val="none" w:sz="0" w:space="0" w:color="auto"/>
                    <w:right w:val="none" w:sz="0" w:space="0" w:color="auto"/>
                  </w:divBdr>
                </w:div>
              </w:divsChild>
            </w:div>
            <w:div w:id="85931294">
              <w:marLeft w:val="0"/>
              <w:marRight w:val="0"/>
              <w:marTop w:val="0"/>
              <w:marBottom w:val="0"/>
              <w:divBdr>
                <w:top w:val="none" w:sz="0" w:space="0" w:color="auto"/>
                <w:left w:val="none" w:sz="0" w:space="0" w:color="auto"/>
                <w:bottom w:val="none" w:sz="0" w:space="0" w:color="auto"/>
                <w:right w:val="none" w:sz="0" w:space="0" w:color="auto"/>
              </w:divBdr>
              <w:divsChild>
                <w:div w:id="174685917">
                  <w:marLeft w:val="0"/>
                  <w:marRight w:val="0"/>
                  <w:marTop w:val="0"/>
                  <w:marBottom w:val="0"/>
                  <w:divBdr>
                    <w:top w:val="none" w:sz="0" w:space="0" w:color="auto"/>
                    <w:left w:val="none" w:sz="0" w:space="0" w:color="auto"/>
                    <w:bottom w:val="none" w:sz="0" w:space="0" w:color="auto"/>
                    <w:right w:val="none" w:sz="0" w:space="0" w:color="auto"/>
                  </w:divBdr>
                </w:div>
              </w:divsChild>
            </w:div>
            <w:div w:id="175771155">
              <w:marLeft w:val="0"/>
              <w:marRight w:val="0"/>
              <w:marTop w:val="0"/>
              <w:marBottom w:val="0"/>
              <w:divBdr>
                <w:top w:val="none" w:sz="0" w:space="0" w:color="auto"/>
                <w:left w:val="none" w:sz="0" w:space="0" w:color="auto"/>
                <w:bottom w:val="none" w:sz="0" w:space="0" w:color="auto"/>
                <w:right w:val="none" w:sz="0" w:space="0" w:color="auto"/>
              </w:divBdr>
              <w:divsChild>
                <w:div w:id="773406024">
                  <w:marLeft w:val="0"/>
                  <w:marRight w:val="0"/>
                  <w:marTop w:val="0"/>
                  <w:marBottom w:val="0"/>
                  <w:divBdr>
                    <w:top w:val="none" w:sz="0" w:space="0" w:color="auto"/>
                    <w:left w:val="none" w:sz="0" w:space="0" w:color="auto"/>
                    <w:bottom w:val="none" w:sz="0" w:space="0" w:color="auto"/>
                    <w:right w:val="none" w:sz="0" w:space="0" w:color="auto"/>
                  </w:divBdr>
                </w:div>
              </w:divsChild>
            </w:div>
            <w:div w:id="193275945">
              <w:marLeft w:val="0"/>
              <w:marRight w:val="0"/>
              <w:marTop w:val="0"/>
              <w:marBottom w:val="0"/>
              <w:divBdr>
                <w:top w:val="none" w:sz="0" w:space="0" w:color="auto"/>
                <w:left w:val="none" w:sz="0" w:space="0" w:color="auto"/>
                <w:bottom w:val="none" w:sz="0" w:space="0" w:color="auto"/>
                <w:right w:val="none" w:sz="0" w:space="0" w:color="auto"/>
              </w:divBdr>
              <w:divsChild>
                <w:div w:id="1093866634">
                  <w:marLeft w:val="0"/>
                  <w:marRight w:val="0"/>
                  <w:marTop w:val="0"/>
                  <w:marBottom w:val="0"/>
                  <w:divBdr>
                    <w:top w:val="none" w:sz="0" w:space="0" w:color="auto"/>
                    <w:left w:val="none" w:sz="0" w:space="0" w:color="auto"/>
                    <w:bottom w:val="none" w:sz="0" w:space="0" w:color="auto"/>
                    <w:right w:val="none" w:sz="0" w:space="0" w:color="auto"/>
                  </w:divBdr>
                </w:div>
              </w:divsChild>
            </w:div>
            <w:div w:id="360210168">
              <w:marLeft w:val="0"/>
              <w:marRight w:val="0"/>
              <w:marTop w:val="0"/>
              <w:marBottom w:val="0"/>
              <w:divBdr>
                <w:top w:val="none" w:sz="0" w:space="0" w:color="auto"/>
                <w:left w:val="none" w:sz="0" w:space="0" w:color="auto"/>
                <w:bottom w:val="none" w:sz="0" w:space="0" w:color="auto"/>
                <w:right w:val="none" w:sz="0" w:space="0" w:color="auto"/>
              </w:divBdr>
              <w:divsChild>
                <w:div w:id="1902252013">
                  <w:marLeft w:val="0"/>
                  <w:marRight w:val="0"/>
                  <w:marTop w:val="0"/>
                  <w:marBottom w:val="0"/>
                  <w:divBdr>
                    <w:top w:val="none" w:sz="0" w:space="0" w:color="auto"/>
                    <w:left w:val="none" w:sz="0" w:space="0" w:color="auto"/>
                    <w:bottom w:val="none" w:sz="0" w:space="0" w:color="auto"/>
                    <w:right w:val="none" w:sz="0" w:space="0" w:color="auto"/>
                  </w:divBdr>
                </w:div>
              </w:divsChild>
            </w:div>
            <w:div w:id="377054780">
              <w:marLeft w:val="0"/>
              <w:marRight w:val="0"/>
              <w:marTop w:val="0"/>
              <w:marBottom w:val="0"/>
              <w:divBdr>
                <w:top w:val="none" w:sz="0" w:space="0" w:color="auto"/>
                <w:left w:val="none" w:sz="0" w:space="0" w:color="auto"/>
                <w:bottom w:val="none" w:sz="0" w:space="0" w:color="auto"/>
                <w:right w:val="none" w:sz="0" w:space="0" w:color="auto"/>
              </w:divBdr>
              <w:divsChild>
                <w:div w:id="2103187151">
                  <w:marLeft w:val="0"/>
                  <w:marRight w:val="0"/>
                  <w:marTop w:val="0"/>
                  <w:marBottom w:val="0"/>
                  <w:divBdr>
                    <w:top w:val="none" w:sz="0" w:space="0" w:color="auto"/>
                    <w:left w:val="none" w:sz="0" w:space="0" w:color="auto"/>
                    <w:bottom w:val="none" w:sz="0" w:space="0" w:color="auto"/>
                    <w:right w:val="none" w:sz="0" w:space="0" w:color="auto"/>
                  </w:divBdr>
                </w:div>
              </w:divsChild>
            </w:div>
            <w:div w:id="428432256">
              <w:marLeft w:val="0"/>
              <w:marRight w:val="0"/>
              <w:marTop w:val="0"/>
              <w:marBottom w:val="0"/>
              <w:divBdr>
                <w:top w:val="none" w:sz="0" w:space="0" w:color="auto"/>
                <w:left w:val="none" w:sz="0" w:space="0" w:color="auto"/>
                <w:bottom w:val="none" w:sz="0" w:space="0" w:color="auto"/>
                <w:right w:val="none" w:sz="0" w:space="0" w:color="auto"/>
              </w:divBdr>
              <w:divsChild>
                <w:div w:id="1398749012">
                  <w:marLeft w:val="0"/>
                  <w:marRight w:val="0"/>
                  <w:marTop w:val="0"/>
                  <w:marBottom w:val="0"/>
                  <w:divBdr>
                    <w:top w:val="none" w:sz="0" w:space="0" w:color="auto"/>
                    <w:left w:val="none" w:sz="0" w:space="0" w:color="auto"/>
                    <w:bottom w:val="none" w:sz="0" w:space="0" w:color="auto"/>
                    <w:right w:val="none" w:sz="0" w:space="0" w:color="auto"/>
                  </w:divBdr>
                </w:div>
                <w:div w:id="2117750011">
                  <w:marLeft w:val="0"/>
                  <w:marRight w:val="0"/>
                  <w:marTop w:val="0"/>
                  <w:marBottom w:val="0"/>
                  <w:divBdr>
                    <w:top w:val="none" w:sz="0" w:space="0" w:color="auto"/>
                    <w:left w:val="none" w:sz="0" w:space="0" w:color="auto"/>
                    <w:bottom w:val="none" w:sz="0" w:space="0" w:color="auto"/>
                    <w:right w:val="none" w:sz="0" w:space="0" w:color="auto"/>
                  </w:divBdr>
                </w:div>
              </w:divsChild>
            </w:div>
            <w:div w:id="437649505">
              <w:marLeft w:val="0"/>
              <w:marRight w:val="0"/>
              <w:marTop w:val="0"/>
              <w:marBottom w:val="0"/>
              <w:divBdr>
                <w:top w:val="none" w:sz="0" w:space="0" w:color="auto"/>
                <w:left w:val="none" w:sz="0" w:space="0" w:color="auto"/>
                <w:bottom w:val="none" w:sz="0" w:space="0" w:color="auto"/>
                <w:right w:val="none" w:sz="0" w:space="0" w:color="auto"/>
              </w:divBdr>
              <w:divsChild>
                <w:div w:id="1119373254">
                  <w:marLeft w:val="0"/>
                  <w:marRight w:val="0"/>
                  <w:marTop w:val="0"/>
                  <w:marBottom w:val="0"/>
                  <w:divBdr>
                    <w:top w:val="none" w:sz="0" w:space="0" w:color="auto"/>
                    <w:left w:val="none" w:sz="0" w:space="0" w:color="auto"/>
                    <w:bottom w:val="none" w:sz="0" w:space="0" w:color="auto"/>
                    <w:right w:val="none" w:sz="0" w:space="0" w:color="auto"/>
                  </w:divBdr>
                </w:div>
              </w:divsChild>
            </w:div>
            <w:div w:id="510604180">
              <w:marLeft w:val="0"/>
              <w:marRight w:val="0"/>
              <w:marTop w:val="0"/>
              <w:marBottom w:val="0"/>
              <w:divBdr>
                <w:top w:val="none" w:sz="0" w:space="0" w:color="auto"/>
                <w:left w:val="none" w:sz="0" w:space="0" w:color="auto"/>
                <w:bottom w:val="none" w:sz="0" w:space="0" w:color="auto"/>
                <w:right w:val="none" w:sz="0" w:space="0" w:color="auto"/>
              </w:divBdr>
              <w:divsChild>
                <w:div w:id="1139030831">
                  <w:marLeft w:val="0"/>
                  <w:marRight w:val="0"/>
                  <w:marTop w:val="0"/>
                  <w:marBottom w:val="0"/>
                  <w:divBdr>
                    <w:top w:val="none" w:sz="0" w:space="0" w:color="auto"/>
                    <w:left w:val="none" w:sz="0" w:space="0" w:color="auto"/>
                    <w:bottom w:val="none" w:sz="0" w:space="0" w:color="auto"/>
                    <w:right w:val="none" w:sz="0" w:space="0" w:color="auto"/>
                  </w:divBdr>
                </w:div>
              </w:divsChild>
            </w:div>
            <w:div w:id="570584252">
              <w:marLeft w:val="0"/>
              <w:marRight w:val="0"/>
              <w:marTop w:val="0"/>
              <w:marBottom w:val="0"/>
              <w:divBdr>
                <w:top w:val="none" w:sz="0" w:space="0" w:color="auto"/>
                <w:left w:val="none" w:sz="0" w:space="0" w:color="auto"/>
                <w:bottom w:val="none" w:sz="0" w:space="0" w:color="auto"/>
                <w:right w:val="none" w:sz="0" w:space="0" w:color="auto"/>
              </w:divBdr>
              <w:divsChild>
                <w:div w:id="1587809972">
                  <w:marLeft w:val="0"/>
                  <w:marRight w:val="0"/>
                  <w:marTop w:val="0"/>
                  <w:marBottom w:val="0"/>
                  <w:divBdr>
                    <w:top w:val="none" w:sz="0" w:space="0" w:color="auto"/>
                    <w:left w:val="none" w:sz="0" w:space="0" w:color="auto"/>
                    <w:bottom w:val="none" w:sz="0" w:space="0" w:color="auto"/>
                    <w:right w:val="none" w:sz="0" w:space="0" w:color="auto"/>
                  </w:divBdr>
                </w:div>
              </w:divsChild>
            </w:div>
            <w:div w:id="809859777">
              <w:marLeft w:val="0"/>
              <w:marRight w:val="0"/>
              <w:marTop w:val="0"/>
              <w:marBottom w:val="0"/>
              <w:divBdr>
                <w:top w:val="none" w:sz="0" w:space="0" w:color="auto"/>
                <w:left w:val="none" w:sz="0" w:space="0" w:color="auto"/>
                <w:bottom w:val="none" w:sz="0" w:space="0" w:color="auto"/>
                <w:right w:val="none" w:sz="0" w:space="0" w:color="auto"/>
              </w:divBdr>
              <w:divsChild>
                <w:div w:id="1280723868">
                  <w:marLeft w:val="0"/>
                  <w:marRight w:val="0"/>
                  <w:marTop w:val="0"/>
                  <w:marBottom w:val="0"/>
                  <w:divBdr>
                    <w:top w:val="none" w:sz="0" w:space="0" w:color="auto"/>
                    <w:left w:val="none" w:sz="0" w:space="0" w:color="auto"/>
                    <w:bottom w:val="none" w:sz="0" w:space="0" w:color="auto"/>
                    <w:right w:val="none" w:sz="0" w:space="0" w:color="auto"/>
                  </w:divBdr>
                </w:div>
              </w:divsChild>
            </w:div>
            <w:div w:id="906302574">
              <w:marLeft w:val="0"/>
              <w:marRight w:val="0"/>
              <w:marTop w:val="0"/>
              <w:marBottom w:val="0"/>
              <w:divBdr>
                <w:top w:val="none" w:sz="0" w:space="0" w:color="auto"/>
                <w:left w:val="none" w:sz="0" w:space="0" w:color="auto"/>
                <w:bottom w:val="none" w:sz="0" w:space="0" w:color="auto"/>
                <w:right w:val="none" w:sz="0" w:space="0" w:color="auto"/>
              </w:divBdr>
              <w:divsChild>
                <w:div w:id="1059481528">
                  <w:marLeft w:val="0"/>
                  <w:marRight w:val="0"/>
                  <w:marTop w:val="0"/>
                  <w:marBottom w:val="0"/>
                  <w:divBdr>
                    <w:top w:val="none" w:sz="0" w:space="0" w:color="auto"/>
                    <w:left w:val="none" w:sz="0" w:space="0" w:color="auto"/>
                    <w:bottom w:val="none" w:sz="0" w:space="0" w:color="auto"/>
                    <w:right w:val="none" w:sz="0" w:space="0" w:color="auto"/>
                  </w:divBdr>
                </w:div>
              </w:divsChild>
            </w:div>
            <w:div w:id="1132593994">
              <w:marLeft w:val="0"/>
              <w:marRight w:val="0"/>
              <w:marTop w:val="0"/>
              <w:marBottom w:val="0"/>
              <w:divBdr>
                <w:top w:val="none" w:sz="0" w:space="0" w:color="auto"/>
                <w:left w:val="none" w:sz="0" w:space="0" w:color="auto"/>
                <w:bottom w:val="none" w:sz="0" w:space="0" w:color="auto"/>
                <w:right w:val="none" w:sz="0" w:space="0" w:color="auto"/>
              </w:divBdr>
              <w:divsChild>
                <w:div w:id="914246816">
                  <w:marLeft w:val="0"/>
                  <w:marRight w:val="0"/>
                  <w:marTop w:val="0"/>
                  <w:marBottom w:val="0"/>
                  <w:divBdr>
                    <w:top w:val="none" w:sz="0" w:space="0" w:color="auto"/>
                    <w:left w:val="none" w:sz="0" w:space="0" w:color="auto"/>
                    <w:bottom w:val="none" w:sz="0" w:space="0" w:color="auto"/>
                    <w:right w:val="none" w:sz="0" w:space="0" w:color="auto"/>
                  </w:divBdr>
                </w:div>
              </w:divsChild>
            </w:div>
            <w:div w:id="1132752738">
              <w:marLeft w:val="0"/>
              <w:marRight w:val="0"/>
              <w:marTop w:val="0"/>
              <w:marBottom w:val="0"/>
              <w:divBdr>
                <w:top w:val="none" w:sz="0" w:space="0" w:color="auto"/>
                <w:left w:val="none" w:sz="0" w:space="0" w:color="auto"/>
                <w:bottom w:val="none" w:sz="0" w:space="0" w:color="auto"/>
                <w:right w:val="none" w:sz="0" w:space="0" w:color="auto"/>
              </w:divBdr>
              <w:divsChild>
                <w:div w:id="2116361954">
                  <w:marLeft w:val="0"/>
                  <w:marRight w:val="0"/>
                  <w:marTop w:val="0"/>
                  <w:marBottom w:val="0"/>
                  <w:divBdr>
                    <w:top w:val="none" w:sz="0" w:space="0" w:color="auto"/>
                    <w:left w:val="none" w:sz="0" w:space="0" w:color="auto"/>
                    <w:bottom w:val="none" w:sz="0" w:space="0" w:color="auto"/>
                    <w:right w:val="none" w:sz="0" w:space="0" w:color="auto"/>
                  </w:divBdr>
                </w:div>
              </w:divsChild>
            </w:div>
            <w:div w:id="1273905307">
              <w:marLeft w:val="0"/>
              <w:marRight w:val="0"/>
              <w:marTop w:val="0"/>
              <w:marBottom w:val="0"/>
              <w:divBdr>
                <w:top w:val="none" w:sz="0" w:space="0" w:color="auto"/>
                <w:left w:val="none" w:sz="0" w:space="0" w:color="auto"/>
                <w:bottom w:val="none" w:sz="0" w:space="0" w:color="auto"/>
                <w:right w:val="none" w:sz="0" w:space="0" w:color="auto"/>
              </w:divBdr>
              <w:divsChild>
                <w:div w:id="1109736611">
                  <w:marLeft w:val="0"/>
                  <w:marRight w:val="0"/>
                  <w:marTop w:val="0"/>
                  <w:marBottom w:val="0"/>
                  <w:divBdr>
                    <w:top w:val="none" w:sz="0" w:space="0" w:color="auto"/>
                    <w:left w:val="none" w:sz="0" w:space="0" w:color="auto"/>
                    <w:bottom w:val="none" w:sz="0" w:space="0" w:color="auto"/>
                    <w:right w:val="none" w:sz="0" w:space="0" w:color="auto"/>
                  </w:divBdr>
                </w:div>
              </w:divsChild>
            </w:div>
            <w:div w:id="1470129894">
              <w:marLeft w:val="0"/>
              <w:marRight w:val="0"/>
              <w:marTop w:val="0"/>
              <w:marBottom w:val="0"/>
              <w:divBdr>
                <w:top w:val="none" w:sz="0" w:space="0" w:color="auto"/>
                <w:left w:val="none" w:sz="0" w:space="0" w:color="auto"/>
                <w:bottom w:val="none" w:sz="0" w:space="0" w:color="auto"/>
                <w:right w:val="none" w:sz="0" w:space="0" w:color="auto"/>
              </w:divBdr>
              <w:divsChild>
                <w:div w:id="1098595067">
                  <w:marLeft w:val="0"/>
                  <w:marRight w:val="0"/>
                  <w:marTop w:val="0"/>
                  <w:marBottom w:val="0"/>
                  <w:divBdr>
                    <w:top w:val="none" w:sz="0" w:space="0" w:color="auto"/>
                    <w:left w:val="none" w:sz="0" w:space="0" w:color="auto"/>
                    <w:bottom w:val="none" w:sz="0" w:space="0" w:color="auto"/>
                    <w:right w:val="none" w:sz="0" w:space="0" w:color="auto"/>
                  </w:divBdr>
                </w:div>
              </w:divsChild>
            </w:div>
            <w:div w:id="1570530957">
              <w:marLeft w:val="0"/>
              <w:marRight w:val="0"/>
              <w:marTop w:val="0"/>
              <w:marBottom w:val="0"/>
              <w:divBdr>
                <w:top w:val="none" w:sz="0" w:space="0" w:color="auto"/>
                <w:left w:val="none" w:sz="0" w:space="0" w:color="auto"/>
                <w:bottom w:val="none" w:sz="0" w:space="0" w:color="auto"/>
                <w:right w:val="none" w:sz="0" w:space="0" w:color="auto"/>
              </w:divBdr>
              <w:divsChild>
                <w:div w:id="1053770949">
                  <w:marLeft w:val="0"/>
                  <w:marRight w:val="0"/>
                  <w:marTop w:val="0"/>
                  <w:marBottom w:val="0"/>
                  <w:divBdr>
                    <w:top w:val="none" w:sz="0" w:space="0" w:color="auto"/>
                    <w:left w:val="none" w:sz="0" w:space="0" w:color="auto"/>
                    <w:bottom w:val="none" w:sz="0" w:space="0" w:color="auto"/>
                    <w:right w:val="none" w:sz="0" w:space="0" w:color="auto"/>
                  </w:divBdr>
                </w:div>
              </w:divsChild>
            </w:div>
            <w:div w:id="1579679953">
              <w:marLeft w:val="0"/>
              <w:marRight w:val="0"/>
              <w:marTop w:val="0"/>
              <w:marBottom w:val="0"/>
              <w:divBdr>
                <w:top w:val="none" w:sz="0" w:space="0" w:color="auto"/>
                <w:left w:val="none" w:sz="0" w:space="0" w:color="auto"/>
                <w:bottom w:val="none" w:sz="0" w:space="0" w:color="auto"/>
                <w:right w:val="none" w:sz="0" w:space="0" w:color="auto"/>
              </w:divBdr>
              <w:divsChild>
                <w:div w:id="1314606501">
                  <w:marLeft w:val="0"/>
                  <w:marRight w:val="0"/>
                  <w:marTop w:val="0"/>
                  <w:marBottom w:val="0"/>
                  <w:divBdr>
                    <w:top w:val="none" w:sz="0" w:space="0" w:color="auto"/>
                    <w:left w:val="none" w:sz="0" w:space="0" w:color="auto"/>
                    <w:bottom w:val="none" w:sz="0" w:space="0" w:color="auto"/>
                    <w:right w:val="none" w:sz="0" w:space="0" w:color="auto"/>
                  </w:divBdr>
                </w:div>
              </w:divsChild>
            </w:div>
            <w:div w:id="1795640187">
              <w:marLeft w:val="0"/>
              <w:marRight w:val="0"/>
              <w:marTop w:val="0"/>
              <w:marBottom w:val="0"/>
              <w:divBdr>
                <w:top w:val="none" w:sz="0" w:space="0" w:color="auto"/>
                <w:left w:val="none" w:sz="0" w:space="0" w:color="auto"/>
                <w:bottom w:val="none" w:sz="0" w:space="0" w:color="auto"/>
                <w:right w:val="none" w:sz="0" w:space="0" w:color="auto"/>
              </w:divBdr>
              <w:divsChild>
                <w:div w:id="843588239">
                  <w:marLeft w:val="0"/>
                  <w:marRight w:val="0"/>
                  <w:marTop w:val="0"/>
                  <w:marBottom w:val="0"/>
                  <w:divBdr>
                    <w:top w:val="none" w:sz="0" w:space="0" w:color="auto"/>
                    <w:left w:val="none" w:sz="0" w:space="0" w:color="auto"/>
                    <w:bottom w:val="none" w:sz="0" w:space="0" w:color="auto"/>
                    <w:right w:val="none" w:sz="0" w:space="0" w:color="auto"/>
                  </w:divBdr>
                </w:div>
              </w:divsChild>
            </w:div>
            <w:div w:id="1968705043">
              <w:marLeft w:val="0"/>
              <w:marRight w:val="0"/>
              <w:marTop w:val="0"/>
              <w:marBottom w:val="0"/>
              <w:divBdr>
                <w:top w:val="none" w:sz="0" w:space="0" w:color="auto"/>
                <w:left w:val="none" w:sz="0" w:space="0" w:color="auto"/>
                <w:bottom w:val="none" w:sz="0" w:space="0" w:color="auto"/>
                <w:right w:val="none" w:sz="0" w:space="0" w:color="auto"/>
              </w:divBdr>
              <w:divsChild>
                <w:div w:id="1329672819">
                  <w:marLeft w:val="0"/>
                  <w:marRight w:val="0"/>
                  <w:marTop w:val="0"/>
                  <w:marBottom w:val="0"/>
                  <w:divBdr>
                    <w:top w:val="none" w:sz="0" w:space="0" w:color="auto"/>
                    <w:left w:val="none" w:sz="0" w:space="0" w:color="auto"/>
                    <w:bottom w:val="none" w:sz="0" w:space="0" w:color="auto"/>
                    <w:right w:val="none" w:sz="0" w:space="0" w:color="auto"/>
                  </w:divBdr>
                </w:div>
              </w:divsChild>
            </w:div>
            <w:div w:id="2080247836">
              <w:marLeft w:val="0"/>
              <w:marRight w:val="0"/>
              <w:marTop w:val="0"/>
              <w:marBottom w:val="0"/>
              <w:divBdr>
                <w:top w:val="none" w:sz="0" w:space="0" w:color="auto"/>
                <w:left w:val="none" w:sz="0" w:space="0" w:color="auto"/>
                <w:bottom w:val="none" w:sz="0" w:space="0" w:color="auto"/>
                <w:right w:val="none" w:sz="0" w:space="0" w:color="auto"/>
              </w:divBdr>
              <w:divsChild>
                <w:div w:id="1394233620">
                  <w:marLeft w:val="0"/>
                  <w:marRight w:val="0"/>
                  <w:marTop w:val="0"/>
                  <w:marBottom w:val="0"/>
                  <w:divBdr>
                    <w:top w:val="none" w:sz="0" w:space="0" w:color="auto"/>
                    <w:left w:val="none" w:sz="0" w:space="0" w:color="auto"/>
                    <w:bottom w:val="none" w:sz="0" w:space="0" w:color="auto"/>
                    <w:right w:val="none" w:sz="0" w:space="0" w:color="auto"/>
                  </w:divBdr>
                </w:div>
              </w:divsChild>
            </w:div>
            <w:div w:id="2127658248">
              <w:marLeft w:val="0"/>
              <w:marRight w:val="0"/>
              <w:marTop w:val="0"/>
              <w:marBottom w:val="0"/>
              <w:divBdr>
                <w:top w:val="none" w:sz="0" w:space="0" w:color="auto"/>
                <w:left w:val="none" w:sz="0" w:space="0" w:color="auto"/>
                <w:bottom w:val="none" w:sz="0" w:space="0" w:color="auto"/>
                <w:right w:val="none" w:sz="0" w:space="0" w:color="auto"/>
              </w:divBdr>
              <w:divsChild>
                <w:div w:id="4763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784584">
      <w:bodyDiv w:val="1"/>
      <w:marLeft w:val="0"/>
      <w:marRight w:val="0"/>
      <w:marTop w:val="0"/>
      <w:marBottom w:val="0"/>
      <w:divBdr>
        <w:top w:val="none" w:sz="0" w:space="0" w:color="auto"/>
        <w:left w:val="none" w:sz="0" w:space="0" w:color="auto"/>
        <w:bottom w:val="none" w:sz="0" w:space="0" w:color="auto"/>
        <w:right w:val="none" w:sz="0" w:space="0" w:color="auto"/>
      </w:divBdr>
    </w:div>
    <w:div w:id="965621054">
      <w:bodyDiv w:val="1"/>
      <w:marLeft w:val="0"/>
      <w:marRight w:val="0"/>
      <w:marTop w:val="0"/>
      <w:marBottom w:val="0"/>
      <w:divBdr>
        <w:top w:val="none" w:sz="0" w:space="0" w:color="auto"/>
        <w:left w:val="none" w:sz="0" w:space="0" w:color="auto"/>
        <w:bottom w:val="none" w:sz="0" w:space="0" w:color="auto"/>
        <w:right w:val="none" w:sz="0" w:space="0" w:color="auto"/>
      </w:divBdr>
    </w:div>
    <w:div w:id="974795991">
      <w:bodyDiv w:val="1"/>
      <w:marLeft w:val="0"/>
      <w:marRight w:val="0"/>
      <w:marTop w:val="0"/>
      <w:marBottom w:val="0"/>
      <w:divBdr>
        <w:top w:val="none" w:sz="0" w:space="0" w:color="auto"/>
        <w:left w:val="none" w:sz="0" w:space="0" w:color="auto"/>
        <w:bottom w:val="none" w:sz="0" w:space="0" w:color="auto"/>
        <w:right w:val="none" w:sz="0" w:space="0" w:color="auto"/>
      </w:divBdr>
    </w:div>
    <w:div w:id="1039937558">
      <w:bodyDiv w:val="1"/>
      <w:marLeft w:val="0"/>
      <w:marRight w:val="0"/>
      <w:marTop w:val="0"/>
      <w:marBottom w:val="0"/>
      <w:divBdr>
        <w:top w:val="none" w:sz="0" w:space="0" w:color="auto"/>
        <w:left w:val="none" w:sz="0" w:space="0" w:color="auto"/>
        <w:bottom w:val="none" w:sz="0" w:space="0" w:color="auto"/>
        <w:right w:val="none" w:sz="0" w:space="0" w:color="auto"/>
      </w:divBdr>
      <w:divsChild>
        <w:div w:id="182407028">
          <w:marLeft w:val="0"/>
          <w:marRight w:val="0"/>
          <w:marTop w:val="0"/>
          <w:marBottom w:val="0"/>
          <w:divBdr>
            <w:top w:val="none" w:sz="0" w:space="0" w:color="auto"/>
            <w:left w:val="none" w:sz="0" w:space="0" w:color="auto"/>
            <w:bottom w:val="none" w:sz="0" w:space="0" w:color="auto"/>
            <w:right w:val="none" w:sz="0" w:space="0" w:color="auto"/>
          </w:divBdr>
        </w:div>
      </w:divsChild>
    </w:div>
    <w:div w:id="1085228550">
      <w:bodyDiv w:val="1"/>
      <w:marLeft w:val="0"/>
      <w:marRight w:val="0"/>
      <w:marTop w:val="0"/>
      <w:marBottom w:val="0"/>
      <w:divBdr>
        <w:top w:val="none" w:sz="0" w:space="0" w:color="auto"/>
        <w:left w:val="none" w:sz="0" w:space="0" w:color="auto"/>
        <w:bottom w:val="none" w:sz="0" w:space="0" w:color="auto"/>
        <w:right w:val="none" w:sz="0" w:space="0" w:color="auto"/>
      </w:divBdr>
      <w:divsChild>
        <w:div w:id="189295982">
          <w:marLeft w:val="446"/>
          <w:marRight w:val="0"/>
          <w:marTop w:val="0"/>
          <w:marBottom w:val="0"/>
          <w:divBdr>
            <w:top w:val="none" w:sz="0" w:space="0" w:color="auto"/>
            <w:left w:val="none" w:sz="0" w:space="0" w:color="auto"/>
            <w:bottom w:val="none" w:sz="0" w:space="0" w:color="auto"/>
            <w:right w:val="none" w:sz="0" w:space="0" w:color="auto"/>
          </w:divBdr>
        </w:div>
        <w:div w:id="619144619">
          <w:marLeft w:val="446"/>
          <w:marRight w:val="0"/>
          <w:marTop w:val="0"/>
          <w:marBottom w:val="0"/>
          <w:divBdr>
            <w:top w:val="none" w:sz="0" w:space="0" w:color="auto"/>
            <w:left w:val="none" w:sz="0" w:space="0" w:color="auto"/>
            <w:bottom w:val="none" w:sz="0" w:space="0" w:color="auto"/>
            <w:right w:val="none" w:sz="0" w:space="0" w:color="auto"/>
          </w:divBdr>
        </w:div>
        <w:div w:id="846140256">
          <w:marLeft w:val="446"/>
          <w:marRight w:val="0"/>
          <w:marTop w:val="0"/>
          <w:marBottom w:val="0"/>
          <w:divBdr>
            <w:top w:val="none" w:sz="0" w:space="0" w:color="auto"/>
            <w:left w:val="none" w:sz="0" w:space="0" w:color="auto"/>
            <w:bottom w:val="none" w:sz="0" w:space="0" w:color="auto"/>
            <w:right w:val="none" w:sz="0" w:space="0" w:color="auto"/>
          </w:divBdr>
        </w:div>
        <w:div w:id="1870677543">
          <w:marLeft w:val="446"/>
          <w:marRight w:val="0"/>
          <w:marTop w:val="0"/>
          <w:marBottom w:val="0"/>
          <w:divBdr>
            <w:top w:val="none" w:sz="0" w:space="0" w:color="auto"/>
            <w:left w:val="none" w:sz="0" w:space="0" w:color="auto"/>
            <w:bottom w:val="none" w:sz="0" w:space="0" w:color="auto"/>
            <w:right w:val="none" w:sz="0" w:space="0" w:color="auto"/>
          </w:divBdr>
        </w:div>
      </w:divsChild>
    </w:div>
    <w:div w:id="1113134428">
      <w:bodyDiv w:val="1"/>
      <w:marLeft w:val="0"/>
      <w:marRight w:val="0"/>
      <w:marTop w:val="0"/>
      <w:marBottom w:val="0"/>
      <w:divBdr>
        <w:top w:val="none" w:sz="0" w:space="0" w:color="auto"/>
        <w:left w:val="none" w:sz="0" w:space="0" w:color="auto"/>
        <w:bottom w:val="none" w:sz="0" w:space="0" w:color="auto"/>
        <w:right w:val="none" w:sz="0" w:space="0" w:color="auto"/>
      </w:divBdr>
    </w:div>
    <w:div w:id="1120950931">
      <w:bodyDiv w:val="1"/>
      <w:marLeft w:val="0"/>
      <w:marRight w:val="0"/>
      <w:marTop w:val="0"/>
      <w:marBottom w:val="0"/>
      <w:divBdr>
        <w:top w:val="none" w:sz="0" w:space="0" w:color="auto"/>
        <w:left w:val="none" w:sz="0" w:space="0" w:color="auto"/>
        <w:bottom w:val="none" w:sz="0" w:space="0" w:color="auto"/>
        <w:right w:val="none" w:sz="0" w:space="0" w:color="auto"/>
      </w:divBdr>
      <w:divsChild>
        <w:div w:id="347148601">
          <w:marLeft w:val="0"/>
          <w:marRight w:val="0"/>
          <w:marTop w:val="0"/>
          <w:marBottom w:val="0"/>
          <w:divBdr>
            <w:top w:val="none" w:sz="0" w:space="0" w:color="auto"/>
            <w:left w:val="none" w:sz="0" w:space="0" w:color="auto"/>
            <w:bottom w:val="none" w:sz="0" w:space="0" w:color="auto"/>
            <w:right w:val="none" w:sz="0" w:space="0" w:color="auto"/>
          </w:divBdr>
        </w:div>
        <w:div w:id="876086776">
          <w:marLeft w:val="0"/>
          <w:marRight w:val="0"/>
          <w:marTop w:val="0"/>
          <w:marBottom w:val="0"/>
          <w:divBdr>
            <w:top w:val="none" w:sz="0" w:space="0" w:color="auto"/>
            <w:left w:val="none" w:sz="0" w:space="0" w:color="auto"/>
            <w:bottom w:val="none" w:sz="0" w:space="0" w:color="auto"/>
            <w:right w:val="none" w:sz="0" w:space="0" w:color="auto"/>
          </w:divBdr>
        </w:div>
        <w:div w:id="1709794402">
          <w:marLeft w:val="0"/>
          <w:marRight w:val="0"/>
          <w:marTop w:val="0"/>
          <w:marBottom w:val="0"/>
          <w:divBdr>
            <w:top w:val="none" w:sz="0" w:space="0" w:color="auto"/>
            <w:left w:val="none" w:sz="0" w:space="0" w:color="auto"/>
            <w:bottom w:val="none" w:sz="0" w:space="0" w:color="auto"/>
            <w:right w:val="none" w:sz="0" w:space="0" w:color="auto"/>
          </w:divBdr>
        </w:div>
      </w:divsChild>
    </w:div>
    <w:div w:id="1128746675">
      <w:bodyDiv w:val="1"/>
      <w:marLeft w:val="0"/>
      <w:marRight w:val="0"/>
      <w:marTop w:val="0"/>
      <w:marBottom w:val="0"/>
      <w:divBdr>
        <w:top w:val="none" w:sz="0" w:space="0" w:color="auto"/>
        <w:left w:val="none" w:sz="0" w:space="0" w:color="auto"/>
        <w:bottom w:val="none" w:sz="0" w:space="0" w:color="auto"/>
        <w:right w:val="none" w:sz="0" w:space="0" w:color="auto"/>
      </w:divBdr>
    </w:div>
    <w:div w:id="1145124950">
      <w:bodyDiv w:val="1"/>
      <w:marLeft w:val="0"/>
      <w:marRight w:val="0"/>
      <w:marTop w:val="0"/>
      <w:marBottom w:val="0"/>
      <w:divBdr>
        <w:top w:val="none" w:sz="0" w:space="0" w:color="auto"/>
        <w:left w:val="none" w:sz="0" w:space="0" w:color="auto"/>
        <w:bottom w:val="none" w:sz="0" w:space="0" w:color="auto"/>
        <w:right w:val="none" w:sz="0" w:space="0" w:color="auto"/>
      </w:divBdr>
    </w:div>
    <w:div w:id="1154297761">
      <w:bodyDiv w:val="1"/>
      <w:marLeft w:val="0"/>
      <w:marRight w:val="0"/>
      <w:marTop w:val="0"/>
      <w:marBottom w:val="0"/>
      <w:divBdr>
        <w:top w:val="none" w:sz="0" w:space="0" w:color="auto"/>
        <w:left w:val="none" w:sz="0" w:space="0" w:color="auto"/>
        <w:bottom w:val="none" w:sz="0" w:space="0" w:color="auto"/>
        <w:right w:val="none" w:sz="0" w:space="0" w:color="auto"/>
      </w:divBdr>
      <w:divsChild>
        <w:div w:id="102892193">
          <w:marLeft w:val="0"/>
          <w:marRight w:val="0"/>
          <w:marTop w:val="0"/>
          <w:marBottom w:val="0"/>
          <w:divBdr>
            <w:top w:val="none" w:sz="0" w:space="0" w:color="auto"/>
            <w:left w:val="none" w:sz="0" w:space="0" w:color="auto"/>
            <w:bottom w:val="none" w:sz="0" w:space="0" w:color="auto"/>
            <w:right w:val="none" w:sz="0" w:space="0" w:color="auto"/>
          </w:divBdr>
        </w:div>
        <w:div w:id="558325218">
          <w:marLeft w:val="0"/>
          <w:marRight w:val="0"/>
          <w:marTop w:val="0"/>
          <w:marBottom w:val="0"/>
          <w:divBdr>
            <w:top w:val="none" w:sz="0" w:space="0" w:color="auto"/>
            <w:left w:val="none" w:sz="0" w:space="0" w:color="auto"/>
            <w:bottom w:val="none" w:sz="0" w:space="0" w:color="auto"/>
            <w:right w:val="none" w:sz="0" w:space="0" w:color="auto"/>
          </w:divBdr>
        </w:div>
        <w:div w:id="1766608322">
          <w:marLeft w:val="0"/>
          <w:marRight w:val="0"/>
          <w:marTop w:val="0"/>
          <w:marBottom w:val="0"/>
          <w:divBdr>
            <w:top w:val="none" w:sz="0" w:space="0" w:color="auto"/>
            <w:left w:val="none" w:sz="0" w:space="0" w:color="auto"/>
            <w:bottom w:val="none" w:sz="0" w:space="0" w:color="auto"/>
            <w:right w:val="none" w:sz="0" w:space="0" w:color="auto"/>
          </w:divBdr>
        </w:div>
      </w:divsChild>
    </w:div>
    <w:div w:id="1159269873">
      <w:bodyDiv w:val="1"/>
      <w:marLeft w:val="0"/>
      <w:marRight w:val="0"/>
      <w:marTop w:val="0"/>
      <w:marBottom w:val="0"/>
      <w:divBdr>
        <w:top w:val="none" w:sz="0" w:space="0" w:color="auto"/>
        <w:left w:val="none" w:sz="0" w:space="0" w:color="auto"/>
        <w:bottom w:val="none" w:sz="0" w:space="0" w:color="auto"/>
        <w:right w:val="none" w:sz="0" w:space="0" w:color="auto"/>
      </w:divBdr>
    </w:div>
    <w:div w:id="1217085837">
      <w:bodyDiv w:val="1"/>
      <w:marLeft w:val="0"/>
      <w:marRight w:val="0"/>
      <w:marTop w:val="0"/>
      <w:marBottom w:val="0"/>
      <w:divBdr>
        <w:top w:val="none" w:sz="0" w:space="0" w:color="auto"/>
        <w:left w:val="none" w:sz="0" w:space="0" w:color="auto"/>
        <w:bottom w:val="none" w:sz="0" w:space="0" w:color="auto"/>
        <w:right w:val="none" w:sz="0" w:space="0" w:color="auto"/>
      </w:divBdr>
    </w:div>
    <w:div w:id="1229344925">
      <w:bodyDiv w:val="1"/>
      <w:marLeft w:val="0"/>
      <w:marRight w:val="0"/>
      <w:marTop w:val="0"/>
      <w:marBottom w:val="0"/>
      <w:divBdr>
        <w:top w:val="none" w:sz="0" w:space="0" w:color="auto"/>
        <w:left w:val="none" w:sz="0" w:space="0" w:color="auto"/>
        <w:bottom w:val="none" w:sz="0" w:space="0" w:color="auto"/>
        <w:right w:val="none" w:sz="0" w:space="0" w:color="auto"/>
      </w:divBdr>
      <w:divsChild>
        <w:div w:id="240335627">
          <w:marLeft w:val="0"/>
          <w:marRight w:val="0"/>
          <w:marTop w:val="0"/>
          <w:marBottom w:val="0"/>
          <w:divBdr>
            <w:top w:val="none" w:sz="0" w:space="0" w:color="auto"/>
            <w:left w:val="none" w:sz="0" w:space="0" w:color="auto"/>
            <w:bottom w:val="none" w:sz="0" w:space="0" w:color="auto"/>
            <w:right w:val="none" w:sz="0" w:space="0" w:color="auto"/>
          </w:divBdr>
        </w:div>
        <w:div w:id="935746588">
          <w:marLeft w:val="0"/>
          <w:marRight w:val="0"/>
          <w:marTop w:val="0"/>
          <w:marBottom w:val="0"/>
          <w:divBdr>
            <w:top w:val="none" w:sz="0" w:space="0" w:color="auto"/>
            <w:left w:val="none" w:sz="0" w:space="0" w:color="auto"/>
            <w:bottom w:val="none" w:sz="0" w:space="0" w:color="auto"/>
            <w:right w:val="none" w:sz="0" w:space="0" w:color="auto"/>
          </w:divBdr>
        </w:div>
        <w:div w:id="1882209268">
          <w:marLeft w:val="0"/>
          <w:marRight w:val="0"/>
          <w:marTop w:val="0"/>
          <w:marBottom w:val="0"/>
          <w:divBdr>
            <w:top w:val="none" w:sz="0" w:space="0" w:color="auto"/>
            <w:left w:val="none" w:sz="0" w:space="0" w:color="auto"/>
            <w:bottom w:val="none" w:sz="0" w:space="0" w:color="auto"/>
            <w:right w:val="none" w:sz="0" w:space="0" w:color="auto"/>
          </w:divBdr>
        </w:div>
        <w:div w:id="2033216823">
          <w:marLeft w:val="0"/>
          <w:marRight w:val="0"/>
          <w:marTop w:val="0"/>
          <w:marBottom w:val="0"/>
          <w:divBdr>
            <w:top w:val="none" w:sz="0" w:space="0" w:color="auto"/>
            <w:left w:val="none" w:sz="0" w:space="0" w:color="auto"/>
            <w:bottom w:val="none" w:sz="0" w:space="0" w:color="auto"/>
            <w:right w:val="none" w:sz="0" w:space="0" w:color="auto"/>
          </w:divBdr>
        </w:div>
      </w:divsChild>
    </w:div>
    <w:div w:id="1270620496">
      <w:bodyDiv w:val="1"/>
      <w:marLeft w:val="0"/>
      <w:marRight w:val="0"/>
      <w:marTop w:val="0"/>
      <w:marBottom w:val="0"/>
      <w:divBdr>
        <w:top w:val="none" w:sz="0" w:space="0" w:color="auto"/>
        <w:left w:val="none" w:sz="0" w:space="0" w:color="auto"/>
        <w:bottom w:val="none" w:sz="0" w:space="0" w:color="auto"/>
        <w:right w:val="none" w:sz="0" w:space="0" w:color="auto"/>
      </w:divBdr>
      <w:divsChild>
        <w:div w:id="41831985">
          <w:marLeft w:val="0"/>
          <w:marRight w:val="0"/>
          <w:marTop w:val="0"/>
          <w:marBottom w:val="0"/>
          <w:divBdr>
            <w:top w:val="none" w:sz="0" w:space="0" w:color="auto"/>
            <w:left w:val="none" w:sz="0" w:space="0" w:color="auto"/>
            <w:bottom w:val="none" w:sz="0" w:space="0" w:color="auto"/>
            <w:right w:val="none" w:sz="0" w:space="0" w:color="auto"/>
          </w:divBdr>
          <w:divsChild>
            <w:div w:id="1828666556">
              <w:marLeft w:val="0"/>
              <w:marRight w:val="0"/>
              <w:marTop w:val="0"/>
              <w:marBottom w:val="0"/>
              <w:divBdr>
                <w:top w:val="none" w:sz="0" w:space="0" w:color="auto"/>
                <w:left w:val="none" w:sz="0" w:space="0" w:color="auto"/>
                <w:bottom w:val="none" w:sz="0" w:space="0" w:color="auto"/>
                <w:right w:val="none" w:sz="0" w:space="0" w:color="auto"/>
              </w:divBdr>
            </w:div>
          </w:divsChild>
        </w:div>
        <w:div w:id="91826841">
          <w:marLeft w:val="0"/>
          <w:marRight w:val="0"/>
          <w:marTop w:val="0"/>
          <w:marBottom w:val="0"/>
          <w:divBdr>
            <w:top w:val="none" w:sz="0" w:space="0" w:color="auto"/>
            <w:left w:val="none" w:sz="0" w:space="0" w:color="auto"/>
            <w:bottom w:val="none" w:sz="0" w:space="0" w:color="auto"/>
            <w:right w:val="none" w:sz="0" w:space="0" w:color="auto"/>
          </w:divBdr>
          <w:divsChild>
            <w:div w:id="1616867162">
              <w:marLeft w:val="0"/>
              <w:marRight w:val="0"/>
              <w:marTop w:val="0"/>
              <w:marBottom w:val="0"/>
              <w:divBdr>
                <w:top w:val="none" w:sz="0" w:space="0" w:color="auto"/>
                <w:left w:val="none" w:sz="0" w:space="0" w:color="auto"/>
                <w:bottom w:val="none" w:sz="0" w:space="0" w:color="auto"/>
                <w:right w:val="none" w:sz="0" w:space="0" w:color="auto"/>
              </w:divBdr>
            </w:div>
          </w:divsChild>
        </w:div>
        <w:div w:id="223493256">
          <w:marLeft w:val="0"/>
          <w:marRight w:val="0"/>
          <w:marTop w:val="0"/>
          <w:marBottom w:val="0"/>
          <w:divBdr>
            <w:top w:val="none" w:sz="0" w:space="0" w:color="auto"/>
            <w:left w:val="none" w:sz="0" w:space="0" w:color="auto"/>
            <w:bottom w:val="none" w:sz="0" w:space="0" w:color="auto"/>
            <w:right w:val="none" w:sz="0" w:space="0" w:color="auto"/>
          </w:divBdr>
          <w:divsChild>
            <w:div w:id="1562982794">
              <w:marLeft w:val="0"/>
              <w:marRight w:val="0"/>
              <w:marTop w:val="0"/>
              <w:marBottom w:val="0"/>
              <w:divBdr>
                <w:top w:val="none" w:sz="0" w:space="0" w:color="auto"/>
                <w:left w:val="none" w:sz="0" w:space="0" w:color="auto"/>
                <w:bottom w:val="none" w:sz="0" w:space="0" w:color="auto"/>
                <w:right w:val="none" w:sz="0" w:space="0" w:color="auto"/>
              </w:divBdr>
            </w:div>
          </w:divsChild>
        </w:div>
        <w:div w:id="237134972">
          <w:marLeft w:val="0"/>
          <w:marRight w:val="0"/>
          <w:marTop w:val="0"/>
          <w:marBottom w:val="0"/>
          <w:divBdr>
            <w:top w:val="none" w:sz="0" w:space="0" w:color="auto"/>
            <w:left w:val="none" w:sz="0" w:space="0" w:color="auto"/>
            <w:bottom w:val="none" w:sz="0" w:space="0" w:color="auto"/>
            <w:right w:val="none" w:sz="0" w:space="0" w:color="auto"/>
          </w:divBdr>
          <w:divsChild>
            <w:div w:id="25063912">
              <w:marLeft w:val="0"/>
              <w:marRight w:val="0"/>
              <w:marTop w:val="0"/>
              <w:marBottom w:val="0"/>
              <w:divBdr>
                <w:top w:val="none" w:sz="0" w:space="0" w:color="auto"/>
                <w:left w:val="none" w:sz="0" w:space="0" w:color="auto"/>
                <w:bottom w:val="none" w:sz="0" w:space="0" w:color="auto"/>
                <w:right w:val="none" w:sz="0" w:space="0" w:color="auto"/>
              </w:divBdr>
            </w:div>
          </w:divsChild>
        </w:div>
        <w:div w:id="243145680">
          <w:marLeft w:val="0"/>
          <w:marRight w:val="0"/>
          <w:marTop w:val="0"/>
          <w:marBottom w:val="0"/>
          <w:divBdr>
            <w:top w:val="none" w:sz="0" w:space="0" w:color="auto"/>
            <w:left w:val="none" w:sz="0" w:space="0" w:color="auto"/>
            <w:bottom w:val="none" w:sz="0" w:space="0" w:color="auto"/>
            <w:right w:val="none" w:sz="0" w:space="0" w:color="auto"/>
          </w:divBdr>
          <w:divsChild>
            <w:div w:id="1921796095">
              <w:marLeft w:val="0"/>
              <w:marRight w:val="0"/>
              <w:marTop w:val="0"/>
              <w:marBottom w:val="0"/>
              <w:divBdr>
                <w:top w:val="none" w:sz="0" w:space="0" w:color="auto"/>
                <w:left w:val="none" w:sz="0" w:space="0" w:color="auto"/>
                <w:bottom w:val="none" w:sz="0" w:space="0" w:color="auto"/>
                <w:right w:val="none" w:sz="0" w:space="0" w:color="auto"/>
              </w:divBdr>
            </w:div>
          </w:divsChild>
        </w:div>
        <w:div w:id="325977782">
          <w:marLeft w:val="0"/>
          <w:marRight w:val="0"/>
          <w:marTop w:val="0"/>
          <w:marBottom w:val="0"/>
          <w:divBdr>
            <w:top w:val="none" w:sz="0" w:space="0" w:color="auto"/>
            <w:left w:val="none" w:sz="0" w:space="0" w:color="auto"/>
            <w:bottom w:val="none" w:sz="0" w:space="0" w:color="auto"/>
            <w:right w:val="none" w:sz="0" w:space="0" w:color="auto"/>
          </w:divBdr>
          <w:divsChild>
            <w:div w:id="1140612737">
              <w:marLeft w:val="0"/>
              <w:marRight w:val="0"/>
              <w:marTop w:val="0"/>
              <w:marBottom w:val="0"/>
              <w:divBdr>
                <w:top w:val="none" w:sz="0" w:space="0" w:color="auto"/>
                <w:left w:val="none" w:sz="0" w:space="0" w:color="auto"/>
                <w:bottom w:val="none" w:sz="0" w:space="0" w:color="auto"/>
                <w:right w:val="none" w:sz="0" w:space="0" w:color="auto"/>
              </w:divBdr>
            </w:div>
          </w:divsChild>
        </w:div>
        <w:div w:id="607543135">
          <w:marLeft w:val="0"/>
          <w:marRight w:val="0"/>
          <w:marTop w:val="0"/>
          <w:marBottom w:val="0"/>
          <w:divBdr>
            <w:top w:val="none" w:sz="0" w:space="0" w:color="auto"/>
            <w:left w:val="none" w:sz="0" w:space="0" w:color="auto"/>
            <w:bottom w:val="none" w:sz="0" w:space="0" w:color="auto"/>
            <w:right w:val="none" w:sz="0" w:space="0" w:color="auto"/>
          </w:divBdr>
          <w:divsChild>
            <w:div w:id="1181312475">
              <w:marLeft w:val="0"/>
              <w:marRight w:val="0"/>
              <w:marTop w:val="0"/>
              <w:marBottom w:val="0"/>
              <w:divBdr>
                <w:top w:val="none" w:sz="0" w:space="0" w:color="auto"/>
                <w:left w:val="none" w:sz="0" w:space="0" w:color="auto"/>
                <w:bottom w:val="none" w:sz="0" w:space="0" w:color="auto"/>
                <w:right w:val="none" w:sz="0" w:space="0" w:color="auto"/>
              </w:divBdr>
            </w:div>
          </w:divsChild>
        </w:div>
        <w:div w:id="808325100">
          <w:marLeft w:val="0"/>
          <w:marRight w:val="0"/>
          <w:marTop w:val="0"/>
          <w:marBottom w:val="0"/>
          <w:divBdr>
            <w:top w:val="none" w:sz="0" w:space="0" w:color="auto"/>
            <w:left w:val="none" w:sz="0" w:space="0" w:color="auto"/>
            <w:bottom w:val="none" w:sz="0" w:space="0" w:color="auto"/>
            <w:right w:val="none" w:sz="0" w:space="0" w:color="auto"/>
          </w:divBdr>
          <w:divsChild>
            <w:div w:id="1421214912">
              <w:marLeft w:val="0"/>
              <w:marRight w:val="0"/>
              <w:marTop w:val="0"/>
              <w:marBottom w:val="0"/>
              <w:divBdr>
                <w:top w:val="none" w:sz="0" w:space="0" w:color="auto"/>
                <w:left w:val="none" w:sz="0" w:space="0" w:color="auto"/>
                <w:bottom w:val="none" w:sz="0" w:space="0" w:color="auto"/>
                <w:right w:val="none" w:sz="0" w:space="0" w:color="auto"/>
              </w:divBdr>
            </w:div>
          </w:divsChild>
        </w:div>
        <w:div w:id="945428090">
          <w:marLeft w:val="0"/>
          <w:marRight w:val="0"/>
          <w:marTop w:val="0"/>
          <w:marBottom w:val="0"/>
          <w:divBdr>
            <w:top w:val="none" w:sz="0" w:space="0" w:color="auto"/>
            <w:left w:val="none" w:sz="0" w:space="0" w:color="auto"/>
            <w:bottom w:val="none" w:sz="0" w:space="0" w:color="auto"/>
            <w:right w:val="none" w:sz="0" w:space="0" w:color="auto"/>
          </w:divBdr>
          <w:divsChild>
            <w:div w:id="967509738">
              <w:marLeft w:val="0"/>
              <w:marRight w:val="0"/>
              <w:marTop w:val="0"/>
              <w:marBottom w:val="0"/>
              <w:divBdr>
                <w:top w:val="none" w:sz="0" w:space="0" w:color="auto"/>
                <w:left w:val="none" w:sz="0" w:space="0" w:color="auto"/>
                <w:bottom w:val="none" w:sz="0" w:space="0" w:color="auto"/>
                <w:right w:val="none" w:sz="0" w:space="0" w:color="auto"/>
              </w:divBdr>
            </w:div>
          </w:divsChild>
        </w:div>
        <w:div w:id="952437856">
          <w:marLeft w:val="0"/>
          <w:marRight w:val="0"/>
          <w:marTop w:val="0"/>
          <w:marBottom w:val="0"/>
          <w:divBdr>
            <w:top w:val="none" w:sz="0" w:space="0" w:color="auto"/>
            <w:left w:val="none" w:sz="0" w:space="0" w:color="auto"/>
            <w:bottom w:val="none" w:sz="0" w:space="0" w:color="auto"/>
            <w:right w:val="none" w:sz="0" w:space="0" w:color="auto"/>
          </w:divBdr>
          <w:divsChild>
            <w:div w:id="1054042444">
              <w:marLeft w:val="0"/>
              <w:marRight w:val="0"/>
              <w:marTop w:val="0"/>
              <w:marBottom w:val="0"/>
              <w:divBdr>
                <w:top w:val="none" w:sz="0" w:space="0" w:color="auto"/>
                <w:left w:val="none" w:sz="0" w:space="0" w:color="auto"/>
                <w:bottom w:val="none" w:sz="0" w:space="0" w:color="auto"/>
                <w:right w:val="none" w:sz="0" w:space="0" w:color="auto"/>
              </w:divBdr>
            </w:div>
          </w:divsChild>
        </w:div>
        <w:div w:id="1133065038">
          <w:marLeft w:val="0"/>
          <w:marRight w:val="0"/>
          <w:marTop w:val="0"/>
          <w:marBottom w:val="0"/>
          <w:divBdr>
            <w:top w:val="none" w:sz="0" w:space="0" w:color="auto"/>
            <w:left w:val="none" w:sz="0" w:space="0" w:color="auto"/>
            <w:bottom w:val="none" w:sz="0" w:space="0" w:color="auto"/>
            <w:right w:val="none" w:sz="0" w:space="0" w:color="auto"/>
          </w:divBdr>
          <w:divsChild>
            <w:div w:id="1577590741">
              <w:marLeft w:val="0"/>
              <w:marRight w:val="0"/>
              <w:marTop w:val="0"/>
              <w:marBottom w:val="0"/>
              <w:divBdr>
                <w:top w:val="none" w:sz="0" w:space="0" w:color="auto"/>
                <w:left w:val="none" w:sz="0" w:space="0" w:color="auto"/>
                <w:bottom w:val="none" w:sz="0" w:space="0" w:color="auto"/>
                <w:right w:val="none" w:sz="0" w:space="0" w:color="auto"/>
              </w:divBdr>
            </w:div>
          </w:divsChild>
        </w:div>
        <w:div w:id="1306354251">
          <w:marLeft w:val="0"/>
          <w:marRight w:val="0"/>
          <w:marTop w:val="0"/>
          <w:marBottom w:val="0"/>
          <w:divBdr>
            <w:top w:val="none" w:sz="0" w:space="0" w:color="auto"/>
            <w:left w:val="none" w:sz="0" w:space="0" w:color="auto"/>
            <w:bottom w:val="none" w:sz="0" w:space="0" w:color="auto"/>
            <w:right w:val="none" w:sz="0" w:space="0" w:color="auto"/>
          </w:divBdr>
          <w:divsChild>
            <w:div w:id="356544218">
              <w:marLeft w:val="0"/>
              <w:marRight w:val="0"/>
              <w:marTop w:val="0"/>
              <w:marBottom w:val="0"/>
              <w:divBdr>
                <w:top w:val="none" w:sz="0" w:space="0" w:color="auto"/>
                <w:left w:val="none" w:sz="0" w:space="0" w:color="auto"/>
                <w:bottom w:val="none" w:sz="0" w:space="0" w:color="auto"/>
                <w:right w:val="none" w:sz="0" w:space="0" w:color="auto"/>
              </w:divBdr>
            </w:div>
            <w:div w:id="596594904">
              <w:marLeft w:val="0"/>
              <w:marRight w:val="0"/>
              <w:marTop w:val="0"/>
              <w:marBottom w:val="0"/>
              <w:divBdr>
                <w:top w:val="none" w:sz="0" w:space="0" w:color="auto"/>
                <w:left w:val="none" w:sz="0" w:space="0" w:color="auto"/>
                <w:bottom w:val="none" w:sz="0" w:space="0" w:color="auto"/>
                <w:right w:val="none" w:sz="0" w:space="0" w:color="auto"/>
              </w:divBdr>
            </w:div>
          </w:divsChild>
        </w:div>
        <w:div w:id="1362439940">
          <w:marLeft w:val="0"/>
          <w:marRight w:val="0"/>
          <w:marTop w:val="0"/>
          <w:marBottom w:val="0"/>
          <w:divBdr>
            <w:top w:val="none" w:sz="0" w:space="0" w:color="auto"/>
            <w:left w:val="none" w:sz="0" w:space="0" w:color="auto"/>
            <w:bottom w:val="none" w:sz="0" w:space="0" w:color="auto"/>
            <w:right w:val="none" w:sz="0" w:space="0" w:color="auto"/>
          </w:divBdr>
          <w:divsChild>
            <w:div w:id="2107730326">
              <w:marLeft w:val="0"/>
              <w:marRight w:val="0"/>
              <w:marTop w:val="0"/>
              <w:marBottom w:val="0"/>
              <w:divBdr>
                <w:top w:val="none" w:sz="0" w:space="0" w:color="auto"/>
                <w:left w:val="none" w:sz="0" w:space="0" w:color="auto"/>
                <w:bottom w:val="none" w:sz="0" w:space="0" w:color="auto"/>
                <w:right w:val="none" w:sz="0" w:space="0" w:color="auto"/>
              </w:divBdr>
            </w:div>
          </w:divsChild>
        </w:div>
        <w:div w:id="1543399648">
          <w:marLeft w:val="0"/>
          <w:marRight w:val="0"/>
          <w:marTop w:val="0"/>
          <w:marBottom w:val="0"/>
          <w:divBdr>
            <w:top w:val="none" w:sz="0" w:space="0" w:color="auto"/>
            <w:left w:val="none" w:sz="0" w:space="0" w:color="auto"/>
            <w:bottom w:val="none" w:sz="0" w:space="0" w:color="auto"/>
            <w:right w:val="none" w:sz="0" w:space="0" w:color="auto"/>
          </w:divBdr>
          <w:divsChild>
            <w:div w:id="1990163927">
              <w:marLeft w:val="0"/>
              <w:marRight w:val="0"/>
              <w:marTop w:val="0"/>
              <w:marBottom w:val="0"/>
              <w:divBdr>
                <w:top w:val="none" w:sz="0" w:space="0" w:color="auto"/>
                <w:left w:val="none" w:sz="0" w:space="0" w:color="auto"/>
                <w:bottom w:val="none" w:sz="0" w:space="0" w:color="auto"/>
                <w:right w:val="none" w:sz="0" w:space="0" w:color="auto"/>
              </w:divBdr>
            </w:div>
          </w:divsChild>
        </w:div>
        <w:div w:id="1585993963">
          <w:marLeft w:val="0"/>
          <w:marRight w:val="0"/>
          <w:marTop w:val="0"/>
          <w:marBottom w:val="0"/>
          <w:divBdr>
            <w:top w:val="none" w:sz="0" w:space="0" w:color="auto"/>
            <w:left w:val="none" w:sz="0" w:space="0" w:color="auto"/>
            <w:bottom w:val="none" w:sz="0" w:space="0" w:color="auto"/>
            <w:right w:val="none" w:sz="0" w:space="0" w:color="auto"/>
          </w:divBdr>
          <w:divsChild>
            <w:div w:id="1863548682">
              <w:marLeft w:val="0"/>
              <w:marRight w:val="0"/>
              <w:marTop w:val="0"/>
              <w:marBottom w:val="0"/>
              <w:divBdr>
                <w:top w:val="none" w:sz="0" w:space="0" w:color="auto"/>
                <w:left w:val="none" w:sz="0" w:space="0" w:color="auto"/>
                <w:bottom w:val="none" w:sz="0" w:space="0" w:color="auto"/>
                <w:right w:val="none" w:sz="0" w:space="0" w:color="auto"/>
              </w:divBdr>
            </w:div>
          </w:divsChild>
        </w:div>
        <w:div w:id="1590767833">
          <w:marLeft w:val="0"/>
          <w:marRight w:val="0"/>
          <w:marTop w:val="0"/>
          <w:marBottom w:val="0"/>
          <w:divBdr>
            <w:top w:val="none" w:sz="0" w:space="0" w:color="auto"/>
            <w:left w:val="none" w:sz="0" w:space="0" w:color="auto"/>
            <w:bottom w:val="none" w:sz="0" w:space="0" w:color="auto"/>
            <w:right w:val="none" w:sz="0" w:space="0" w:color="auto"/>
          </w:divBdr>
          <w:divsChild>
            <w:div w:id="664170006">
              <w:marLeft w:val="0"/>
              <w:marRight w:val="0"/>
              <w:marTop w:val="0"/>
              <w:marBottom w:val="0"/>
              <w:divBdr>
                <w:top w:val="none" w:sz="0" w:space="0" w:color="auto"/>
                <w:left w:val="none" w:sz="0" w:space="0" w:color="auto"/>
                <w:bottom w:val="none" w:sz="0" w:space="0" w:color="auto"/>
                <w:right w:val="none" w:sz="0" w:space="0" w:color="auto"/>
              </w:divBdr>
            </w:div>
          </w:divsChild>
        </w:div>
        <w:div w:id="1729957028">
          <w:marLeft w:val="0"/>
          <w:marRight w:val="0"/>
          <w:marTop w:val="0"/>
          <w:marBottom w:val="0"/>
          <w:divBdr>
            <w:top w:val="none" w:sz="0" w:space="0" w:color="auto"/>
            <w:left w:val="none" w:sz="0" w:space="0" w:color="auto"/>
            <w:bottom w:val="none" w:sz="0" w:space="0" w:color="auto"/>
            <w:right w:val="none" w:sz="0" w:space="0" w:color="auto"/>
          </w:divBdr>
          <w:divsChild>
            <w:div w:id="1977906040">
              <w:marLeft w:val="0"/>
              <w:marRight w:val="0"/>
              <w:marTop w:val="0"/>
              <w:marBottom w:val="0"/>
              <w:divBdr>
                <w:top w:val="none" w:sz="0" w:space="0" w:color="auto"/>
                <w:left w:val="none" w:sz="0" w:space="0" w:color="auto"/>
                <w:bottom w:val="none" w:sz="0" w:space="0" w:color="auto"/>
                <w:right w:val="none" w:sz="0" w:space="0" w:color="auto"/>
              </w:divBdr>
            </w:div>
          </w:divsChild>
        </w:div>
        <w:div w:id="1831601028">
          <w:marLeft w:val="0"/>
          <w:marRight w:val="0"/>
          <w:marTop w:val="0"/>
          <w:marBottom w:val="0"/>
          <w:divBdr>
            <w:top w:val="none" w:sz="0" w:space="0" w:color="auto"/>
            <w:left w:val="none" w:sz="0" w:space="0" w:color="auto"/>
            <w:bottom w:val="none" w:sz="0" w:space="0" w:color="auto"/>
            <w:right w:val="none" w:sz="0" w:space="0" w:color="auto"/>
          </w:divBdr>
          <w:divsChild>
            <w:div w:id="1226375718">
              <w:marLeft w:val="0"/>
              <w:marRight w:val="0"/>
              <w:marTop w:val="0"/>
              <w:marBottom w:val="0"/>
              <w:divBdr>
                <w:top w:val="none" w:sz="0" w:space="0" w:color="auto"/>
                <w:left w:val="none" w:sz="0" w:space="0" w:color="auto"/>
                <w:bottom w:val="none" w:sz="0" w:space="0" w:color="auto"/>
                <w:right w:val="none" w:sz="0" w:space="0" w:color="auto"/>
              </w:divBdr>
            </w:div>
          </w:divsChild>
        </w:div>
        <w:div w:id="2008288889">
          <w:marLeft w:val="0"/>
          <w:marRight w:val="0"/>
          <w:marTop w:val="0"/>
          <w:marBottom w:val="0"/>
          <w:divBdr>
            <w:top w:val="none" w:sz="0" w:space="0" w:color="auto"/>
            <w:left w:val="none" w:sz="0" w:space="0" w:color="auto"/>
            <w:bottom w:val="none" w:sz="0" w:space="0" w:color="auto"/>
            <w:right w:val="none" w:sz="0" w:space="0" w:color="auto"/>
          </w:divBdr>
          <w:divsChild>
            <w:div w:id="422998984">
              <w:marLeft w:val="0"/>
              <w:marRight w:val="0"/>
              <w:marTop w:val="0"/>
              <w:marBottom w:val="0"/>
              <w:divBdr>
                <w:top w:val="none" w:sz="0" w:space="0" w:color="auto"/>
                <w:left w:val="none" w:sz="0" w:space="0" w:color="auto"/>
                <w:bottom w:val="none" w:sz="0" w:space="0" w:color="auto"/>
                <w:right w:val="none" w:sz="0" w:space="0" w:color="auto"/>
              </w:divBdr>
            </w:div>
          </w:divsChild>
        </w:div>
        <w:div w:id="2037466451">
          <w:marLeft w:val="0"/>
          <w:marRight w:val="0"/>
          <w:marTop w:val="0"/>
          <w:marBottom w:val="0"/>
          <w:divBdr>
            <w:top w:val="none" w:sz="0" w:space="0" w:color="auto"/>
            <w:left w:val="none" w:sz="0" w:space="0" w:color="auto"/>
            <w:bottom w:val="none" w:sz="0" w:space="0" w:color="auto"/>
            <w:right w:val="none" w:sz="0" w:space="0" w:color="auto"/>
          </w:divBdr>
          <w:divsChild>
            <w:div w:id="1672677827">
              <w:marLeft w:val="0"/>
              <w:marRight w:val="0"/>
              <w:marTop w:val="0"/>
              <w:marBottom w:val="0"/>
              <w:divBdr>
                <w:top w:val="none" w:sz="0" w:space="0" w:color="auto"/>
                <w:left w:val="none" w:sz="0" w:space="0" w:color="auto"/>
                <w:bottom w:val="none" w:sz="0" w:space="0" w:color="auto"/>
                <w:right w:val="none" w:sz="0" w:space="0" w:color="auto"/>
              </w:divBdr>
            </w:div>
          </w:divsChild>
        </w:div>
        <w:div w:id="2102289636">
          <w:marLeft w:val="0"/>
          <w:marRight w:val="0"/>
          <w:marTop w:val="0"/>
          <w:marBottom w:val="0"/>
          <w:divBdr>
            <w:top w:val="none" w:sz="0" w:space="0" w:color="auto"/>
            <w:left w:val="none" w:sz="0" w:space="0" w:color="auto"/>
            <w:bottom w:val="none" w:sz="0" w:space="0" w:color="auto"/>
            <w:right w:val="none" w:sz="0" w:space="0" w:color="auto"/>
          </w:divBdr>
          <w:divsChild>
            <w:div w:id="309334280">
              <w:marLeft w:val="0"/>
              <w:marRight w:val="0"/>
              <w:marTop w:val="0"/>
              <w:marBottom w:val="0"/>
              <w:divBdr>
                <w:top w:val="none" w:sz="0" w:space="0" w:color="auto"/>
                <w:left w:val="none" w:sz="0" w:space="0" w:color="auto"/>
                <w:bottom w:val="none" w:sz="0" w:space="0" w:color="auto"/>
                <w:right w:val="none" w:sz="0" w:space="0" w:color="auto"/>
              </w:divBdr>
            </w:div>
          </w:divsChild>
        </w:div>
        <w:div w:id="2128692586">
          <w:marLeft w:val="0"/>
          <w:marRight w:val="0"/>
          <w:marTop w:val="0"/>
          <w:marBottom w:val="0"/>
          <w:divBdr>
            <w:top w:val="none" w:sz="0" w:space="0" w:color="auto"/>
            <w:left w:val="none" w:sz="0" w:space="0" w:color="auto"/>
            <w:bottom w:val="none" w:sz="0" w:space="0" w:color="auto"/>
            <w:right w:val="none" w:sz="0" w:space="0" w:color="auto"/>
          </w:divBdr>
          <w:divsChild>
            <w:div w:id="11352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11369">
      <w:bodyDiv w:val="1"/>
      <w:marLeft w:val="0"/>
      <w:marRight w:val="0"/>
      <w:marTop w:val="0"/>
      <w:marBottom w:val="0"/>
      <w:divBdr>
        <w:top w:val="none" w:sz="0" w:space="0" w:color="auto"/>
        <w:left w:val="none" w:sz="0" w:space="0" w:color="auto"/>
        <w:bottom w:val="none" w:sz="0" w:space="0" w:color="auto"/>
        <w:right w:val="none" w:sz="0" w:space="0" w:color="auto"/>
      </w:divBdr>
      <w:divsChild>
        <w:div w:id="14843126">
          <w:marLeft w:val="0"/>
          <w:marRight w:val="0"/>
          <w:marTop w:val="0"/>
          <w:marBottom w:val="0"/>
          <w:divBdr>
            <w:top w:val="none" w:sz="0" w:space="0" w:color="auto"/>
            <w:left w:val="none" w:sz="0" w:space="0" w:color="auto"/>
            <w:bottom w:val="none" w:sz="0" w:space="0" w:color="auto"/>
            <w:right w:val="none" w:sz="0" w:space="0" w:color="auto"/>
          </w:divBdr>
          <w:divsChild>
            <w:div w:id="411318633">
              <w:marLeft w:val="0"/>
              <w:marRight w:val="0"/>
              <w:marTop w:val="0"/>
              <w:marBottom w:val="0"/>
              <w:divBdr>
                <w:top w:val="none" w:sz="0" w:space="0" w:color="auto"/>
                <w:left w:val="none" w:sz="0" w:space="0" w:color="auto"/>
                <w:bottom w:val="none" w:sz="0" w:space="0" w:color="auto"/>
                <w:right w:val="none" w:sz="0" w:space="0" w:color="auto"/>
              </w:divBdr>
            </w:div>
          </w:divsChild>
        </w:div>
        <w:div w:id="107508333">
          <w:marLeft w:val="0"/>
          <w:marRight w:val="0"/>
          <w:marTop w:val="0"/>
          <w:marBottom w:val="0"/>
          <w:divBdr>
            <w:top w:val="none" w:sz="0" w:space="0" w:color="auto"/>
            <w:left w:val="none" w:sz="0" w:space="0" w:color="auto"/>
            <w:bottom w:val="none" w:sz="0" w:space="0" w:color="auto"/>
            <w:right w:val="none" w:sz="0" w:space="0" w:color="auto"/>
          </w:divBdr>
          <w:divsChild>
            <w:div w:id="413018088">
              <w:marLeft w:val="0"/>
              <w:marRight w:val="0"/>
              <w:marTop w:val="0"/>
              <w:marBottom w:val="0"/>
              <w:divBdr>
                <w:top w:val="none" w:sz="0" w:space="0" w:color="auto"/>
                <w:left w:val="none" w:sz="0" w:space="0" w:color="auto"/>
                <w:bottom w:val="none" w:sz="0" w:space="0" w:color="auto"/>
                <w:right w:val="none" w:sz="0" w:space="0" w:color="auto"/>
              </w:divBdr>
            </w:div>
          </w:divsChild>
        </w:div>
        <w:div w:id="298386645">
          <w:marLeft w:val="0"/>
          <w:marRight w:val="0"/>
          <w:marTop w:val="0"/>
          <w:marBottom w:val="0"/>
          <w:divBdr>
            <w:top w:val="none" w:sz="0" w:space="0" w:color="auto"/>
            <w:left w:val="none" w:sz="0" w:space="0" w:color="auto"/>
            <w:bottom w:val="none" w:sz="0" w:space="0" w:color="auto"/>
            <w:right w:val="none" w:sz="0" w:space="0" w:color="auto"/>
          </w:divBdr>
          <w:divsChild>
            <w:div w:id="743180629">
              <w:marLeft w:val="0"/>
              <w:marRight w:val="0"/>
              <w:marTop w:val="0"/>
              <w:marBottom w:val="0"/>
              <w:divBdr>
                <w:top w:val="none" w:sz="0" w:space="0" w:color="auto"/>
                <w:left w:val="none" w:sz="0" w:space="0" w:color="auto"/>
                <w:bottom w:val="none" w:sz="0" w:space="0" w:color="auto"/>
                <w:right w:val="none" w:sz="0" w:space="0" w:color="auto"/>
              </w:divBdr>
            </w:div>
          </w:divsChild>
        </w:div>
        <w:div w:id="567963363">
          <w:marLeft w:val="0"/>
          <w:marRight w:val="0"/>
          <w:marTop w:val="0"/>
          <w:marBottom w:val="0"/>
          <w:divBdr>
            <w:top w:val="none" w:sz="0" w:space="0" w:color="auto"/>
            <w:left w:val="none" w:sz="0" w:space="0" w:color="auto"/>
            <w:bottom w:val="none" w:sz="0" w:space="0" w:color="auto"/>
            <w:right w:val="none" w:sz="0" w:space="0" w:color="auto"/>
          </w:divBdr>
          <w:divsChild>
            <w:div w:id="245651163">
              <w:marLeft w:val="0"/>
              <w:marRight w:val="0"/>
              <w:marTop w:val="0"/>
              <w:marBottom w:val="0"/>
              <w:divBdr>
                <w:top w:val="none" w:sz="0" w:space="0" w:color="auto"/>
                <w:left w:val="none" w:sz="0" w:space="0" w:color="auto"/>
                <w:bottom w:val="none" w:sz="0" w:space="0" w:color="auto"/>
                <w:right w:val="none" w:sz="0" w:space="0" w:color="auto"/>
              </w:divBdr>
            </w:div>
            <w:div w:id="595749425">
              <w:marLeft w:val="0"/>
              <w:marRight w:val="0"/>
              <w:marTop w:val="0"/>
              <w:marBottom w:val="0"/>
              <w:divBdr>
                <w:top w:val="none" w:sz="0" w:space="0" w:color="auto"/>
                <w:left w:val="none" w:sz="0" w:space="0" w:color="auto"/>
                <w:bottom w:val="none" w:sz="0" w:space="0" w:color="auto"/>
                <w:right w:val="none" w:sz="0" w:space="0" w:color="auto"/>
              </w:divBdr>
            </w:div>
          </w:divsChild>
        </w:div>
        <w:div w:id="657613411">
          <w:marLeft w:val="0"/>
          <w:marRight w:val="0"/>
          <w:marTop w:val="0"/>
          <w:marBottom w:val="0"/>
          <w:divBdr>
            <w:top w:val="none" w:sz="0" w:space="0" w:color="auto"/>
            <w:left w:val="none" w:sz="0" w:space="0" w:color="auto"/>
            <w:bottom w:val="none" w:sz="0" w:space="0" w:color="auto"/>
            <w:right w:val="none" w:sz="0" w:space="0" w:color="auto"/>
          </w:divBdr>
          <w:divsChild>
            <w:div w:id="665666029">
              <w:marLeft w:val="0"/>
              <w:marRight w:val="0"/>
              <w:marTop w:val="0"/>
              <w:marBottom w:val="0"/>
              <w:divBdr>
                <w:top w:val="none" w:sz="0" w:space="0" w:color="auto"/>
                <w:left w:val="none" w:sz="0" w:space="0" w:color="auto"/>
                <w:bottom w:val="none" w:sz="0" w:space="0" w:color="auto"/>
                <w:right w:val="none" w:sz="0" w:space="0" w:color="auto"/>
              </w:divBdr>
            </w:div>
            <w:div w:id="1150367732">
              <w:marLeft w:val="0"/>
              <w:marRight w:val="0"/>
              <w:marTop w:val="0"/>
              <w:marBottom w:val="0"/>
              <w:divBdr>
                <w:top w:val="none" w:sz="0" w:space="0" w:color="auto"/>
                <w:left w:val="none" w:sz="0" w:space="0" w:color="auto"/>
                <w:bottom w:val="none" w:sz="0" w:space="0" w:color="auto"/>
                <w:right w:val="none" w:sz="0" w:space="0" w:color="auto"/>
              </w:divBdr>
            </w:div>
          </w:divsChild>
        </w:div>
        <w:div w:id="942419388">
          <w:marLeft w:val="0"/>
          <w:marRight w:val="0"/>
          <w:marTop w:val="0"/>
          <w:marBottom w:val="0"/>
          <w:divBdr>
            <w:top w:val="none" w:sz="0" w:space="0" w:color="auto"/>
            <w:left w:val="none" w:sz="0" w:space="0" w:color="auto"/>
            <w:bottom w:val="none" w:sz="0" w:space="0" w:color="auto"/>
            <w:right w:val="none" w:sz="0" w:space="0" w:color="auto"/>
          </w:divBdr>
          <w:divsChild>
            <w:div w:id="1837452288">
              <w:marLeft w:val="0"/>
              <w:marRight w:val="0"/>
              <w:marTop w:val="0"/>
              <w:marBottom w:val="0"/>
              <w:divBdr>
                <w:top w:val="none" w:sz="0" w:space="0" w:color="auto"/>
                <w:left w:val="none" w:sz="0" w:space="0" w:color="auto"/>
                <w:bottom w:val="none" w:sz="0" w:space="0" w:color="auto"/>
                <w:right w:val="none" w:sz="0" w:space="0" w:color="auto"/>
              </w:divBdr>
            </w:div>
          </w:divsChild>
        </w:div>
        <w:div w:id="979960609">
          <w:marLeft w:val="0"/>
          <w:marRight w:val="0"/>
          <w:marTop w:val="0"/>
          <w:marBottom w:val="0"/>
          <w:divBdr>
            <w:top w:val="none" w:sz="0" w:space="0" w:color="auto"/>
            <w:left w:val="none" w:sz="0" w:space="0" w:color="auto"/>
            <w:bottom w:val="none" w:sz="0" w:space="0" w:color="auto"/>
            <w:right w:val="none" w:sz="0" w:space="0" w:color="auto"/>
          </w:divBdr>
          <w:divsChild>
            <w:div w:id="186063241">
              <w:marLeft w:val="0"/>
              <w:marRight w:val="0"/>
              <w:marTop w:val="0"/>
              <w:marBottom w:val="0"/>
              <w:divBdr>
                <w:top w:val="none" w:sz="0" w:space="0" w:color="auto"/>
                <w:left w:val="none" w:sz="0" w:space="0" w:color="auto"/>
                <w:bottom w:val="none" w:sz="0" w:space="0" w:color="auto"/>
                <w:right w:val="none" w:sz="0" w:space="0" w:color="auto"/>
              </w:divBdr>
            </w:div>
          </w:divsChild>
        </w:div>
        <w:div w:id="1407460313">
          <w:marLeft w:val="0"/>
          <w:marRight w:val="0"/>
          <w:marTop w:val="0"/>
          <w:marBottom w:val="0"/>
          <w:divBdr>
            <w:top w:val="none" w:sz="0" w:space="0" w:color="auto"/>
            <w:left w:val="none" w:sz="0" w:space="0" w:color="auto"/>
            <w:bottom w:val="none" w:sz="0" w:space="0" w:color="auto"/>
            <w:right w:val="none" w:sz="0" w:space="0" w:color="auto"/>
          </w:divBdr>
          <w:divsChild>
            <w:div w:id="1508977759">
              <w:marLeft w:val="0"/>
              <w:marRight w:val="0"/>
              <w:marTop w:val="0"/>
              <w:marBottom w:val="0"/>
              <w:divBdr>
                <w:top w:val="none" w:sz="0" w:space="0" w:color="auto"/>
                <w:left w:val="none" w:sz="0" w:space="0" w:color="auto"/>
                <w:bottom w:val="none" w:sz="0" w:space="0" w:color="auto"/>
                <w:right w:val="none" w:sz="0" w:space="0" w:color="auto"/>
              </w:divBdr>
            </w:div>
          </w:divsChild>
        </w:div>
        <w:div w:id="1619995696">
          <w:marLeft w:val="0"/>
          <w:marRight w:val="0"/>
          <w:marTop w:val="0"/>
          <w:marBottom w:val="0"/>
          <w:divBdr>
            <w:top w:val="none" w:sz="0" w:space="0" w:color="auto"/>
            <w:left w:val="none" w:sz="0" w:space="0" w:color="auto"/>
            <w:bottom w:val="none" w:sz="0" w:space="0" w:color="auto"/>
            <w:right w:val="none" w:sz="0" w:space="0" w:color="auto"/>
          </w:divBdr>
          <w:divsChild>
            <w:div w:id="995033900">
              <w:marLeft w:val="0"/>
              <w:marRight w:val="0"/>
              <w:marTop w:val="0"/>
              <w:marBottom w:val="0"/>
              <w:divBdr>
                <w:top w:val="none" w:sz="0" w:space="0" w:color="auto"/>
                <w:left w:val="none" w:sz="0" w:space="0" w:color="auto"/>
                <w:bottom w:val="none" w:sz="0" w:space="0" w:color="auto"/>
                <w:right w:val="none" w:sz="0" w:space="0" w:color="auto"/>
              </w:divBdr>
            </w:div>
            <w:div w:id="1074888161">
              <w:marLeft w:val="0"/>
              <w:marRight w:val="0"/>
              <w:marTop w:val="0"/>
              <w:marBottom w:val="0"/>
              <w:divBdr>
                <w:top w:val="none" w:sz="0" w:space="0" w:color="auto"/>
                <w:left w:val="none" w:sz="0" w:space="0" w:color="auto"/>
                <w:bottom w:val="none" w:sz="0" w:space="0" w:color="auto"/>
                <w:right w:val="none" w:sz="0" w:space="0" w:color="auto"/>
              </w:divBdr>
            </w:div>
          </w:divsChild>
        </w:div>
        <w:div w:id="1805611467">
          <w:marLeft w:val="0"/>
          <w:marRight w:val="0"/>
          <w:marTop w:val="0"/>
          <w:marBottom w:val="0"/>
          <w:divBdr>
            <w:top w:val="none" w:sz="0" w:space="0" w:color="auto"/>
            <w:left w:val="none" w:sz="0" w:space="0" w:color="auto"/>
            <w:bottom w:val="none" w:sz="0" w:space="0" w:color="auto"/>
            <w:right w:val="none" w:sz="0" w:space="0" w:color="auto"/>
          </w:divBdr>
          <w:divsChild>
            <w:div w:id="45028169">
              <w:marLeft w:val="0"/>
              <w:marRight w:val="0"/>
              <w:marTop w:val="0"/>
              <w:marBottom w:val="0"/>
              <w:divBdr>
                <w:top w:val="none" w:sz="0" w:space="0" w:color="auto"/>
                <w:left w:val="none" w:sz="0" w:space="0" w:color="auto"/>
                <w:bottom w:val="none" w:sz="0" w:space="0" w:color="auto"/>
                <w:right w:val="none" w:sz="0" w:space="0" w:color="auto"/>
              </w:divBdr>
            </w:div>
          </w:divsChild>
        </w:div>
        <w:div w:id="1857695874">
          <w:marLeft w:val="0"/>
          <w:marRight w:val="0"/>
          <w:marTop w:val="0"/>
          <w:marBottom w:val="0"/>
          <w:divBdr>
            <w:top w:val="none" w:sz="0" w:space="0" w:color="auto"/>
            <w:left w:val="none" w:sz="0" w:space="0" w:color="auto"/>
            <w:bottom w:val="none" w:sz="0" w:space="0" w:color="auto"/>
            <w:right w:val="none" w:sz="0" w:space="0" w:color="auto"/>
          </w:divBdr>
          <w:divsChild>
            <w:div w:id="108511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84841">
      <w:bodyDiv w:val="1"/>
      <w:marLeft w:val="0"/>
      <w:marRight w:val="0"/>
      <w:marTop w:val="0"/>
      <w:marBottom w:val="0"/>
      <w:divBdr>
        <w:top w:val="none" w:sz="0" w:space="0" w:color="auto"/>
        <w:left w:val="none" w:sz="0" w:space="0" w:color="auto"/>
        <w:bottom w:val="none" w:sz="0" w:space="0" w:color="auto"/>
        <w:right w:val="none" w:sz="0" w:space="0" w:color="auto"/>
      </w:divBdr>
    </w:div>
    <w:div w:id="1326321577">
      <w:bodyDiv w:val="1"/>
      <w:marLeft w:val="0"/>
      <w:marRight w:val="0"/>
      <w:marTop w:val="0"/>
      <w:marBottom w:val="0"/>
      <w:divBdr>
        <w:top w:val="none" w:sz="0" w:space="0" w:color="auto"/>
        <w:left w:val="none" w:sz="0" w:space="0" w:color="auto"/>
        <w:bottom w:val="none" w:sz="0" w:space="0" w:color="auto"/>
        <w:right w:val="none" w:sz="0" w:space="0" w:color="auto"/>
      </w:divBdr>
    </w:div>
    <w:div w:id="1366129646">
      <w:bodyDiv w:val="1"/>
      <w:marLeft w:val="0"/>
      <w:marRight w:val="0"/>
      <w:marTop w:val="0"/>
      <w:marBottom w:val="0"/>
      <w:divBdr>
        <w:top w:val="none" w:sz="0" w:space="0" w:color="auto"/>
        <w:left w:val="none" w:sz="0" w:space="0" w:color="auto"/>
        <w:bottom w:val="none" w:sz="0" w:space="0" w:color="auto"/>
        <w:right w:val="none" w:sz="0" w:space="0" w:color="auto"/>
      </w:divBdr>
    </w:div>
    <w:div w:id="1372463350">
      <w:bodyDiv w:val="1"/>
      <w:marLeft w:val="0"/>
      <w:marRight w:val="0"/>
      <w:marTop w:val="0"/>
      <w:marBottom w:val="0"/>
      <w:divBdr>
        <w:top w:val="none" w:sz="0" w:space="0" w:color="auto"/>
        <w:left w:val="none" w:sz="0" w:space="0" w:color="auto"/>
        <w:bottom w:val="none" w:sz="0" w:space="0" w:color="auto"/>
        <w:right w:val="none" w:sz="0" w:space="0" w:color="auto"/>
      </w:divBdr>
    </w:div>
    <w:div w:id="1373270017">
      <w:bodyDiv w:val="1"/>
      <w:marLeft w:val="0"/>
      <w:marRight w:val="0"/>
      <w:marTop w:val="0"/>
      <w:marBottom w:val="0"/>
      <w:divBdr>
        <w:top w:val="none" w:sz="0" w:space="0" w:color="auto"/>
        <w:left w:val="none" w:sz="0" w:space="0" w:color="auto"/>
        <w:bottom w:val="none" w:sz="0" w:space="0" w:color="auto"/>
        <w:right w:val="none" w:sz="0" w:space="0" w:color="auto"/>
      </w:divBdr>
    </w:div>
    <w:div w:id="1415010410">
      <w:bodyDiv w:val="1"/>
      <w:marLeft w:val="0"/>
      <w:marRight w:val="0"/>
      <w:marTop w:val="0"/>
      <w:marBottom w:val="0"/>
      <w:divBdr>
        <w:top w:val="none" w:sz="0" w:space="0" w:color="auto"/>
        <w:left w:val="none" w:sz="0" w:space="0" w:color="auto"/>
        <w:bottom w:val="none" w:sz="0" w:space="0" w:color="auto"/>
        <w:right w:val="none" w:sz="0" w:space="0" w:color="auto"/>
      </w:divBdr>
    </w:div>
    <w:div w:id="1422675060">
      <w:bodyDiv w:val="1"/>
      <w:marLeft w:val="0"/>
      <w:marRight w:val="0"/>
      <w:marTop w:val="0"/>
      <w:marBottom w:val="0"/>
      <w:divBdr>
        <w:top w:val="none" w:sz="0" w:space="0" w:color="auto"/>
        <w:left w:val="none" w:sz="0" w:space="0" w:color="auto"/>
        <w:bottom w:val="none" w:sz="0" w:space="0" w:color="auto"/>
        <w:right w:val="none" w:sz="0" w:space="0" w:color="auto"/>
      </w:divBdr>
    </w:div>
    <w:div w:id="1443450499">
      <w:bodyDiv w:val="1"/>
      <w:marLeft w:val="0"/>
      <w:marRight w:val="0"/>
      <w:marTop w:val="0"/>
      <w:marBottom w:val="0"/>
      <w:divBdr>
        <w:top w:val="none" w:sz="0" w:space="0" w:color="auto"/>
        <w:left w:val="none" w:sz="0" w:space="0" w:color="auto"/>
        <w:bottom w:val="none" w:sz="0" w:space="0" w:color="auto"/>
        <w:right w:val="none" w:sz="0" w:space="0" w:color="auto"/>
      </w:divBdr>
    </w:div>
    <w:div w:id="1562863965">
      <w:bodyDiv w:val="1"/>
      <w:marLeft w:val="0"/>
      <w:marRight w:val="0"/>
      <w:marTop w:val="0"/>
      <w:marBottom w:val="0"/>
      <w:divBdr>
        <w:top w:val="none" w:sz="0" w:space="0" w:color="auto"/>
        <w:left w:val="none" w:sz="0" w:space="0" w:color="auto"/>
        <w:bottom w:val="none" w:sz="0" w:space="0" w:color="auto"/>
        <w:right w:val="none" w:sz="0" w:space="0" w:color="auto"/>
      </w:divBdr>
    </w:div>
    <w:div w:id="1592856582">
      <w:bodyDiv w:val="1"/>
      <w:marLeft w:val="0"/>
      <w:marRight w:val="0"/>
      <w:marTop w:val="0"/>
      <w:marBottom w:val="0"/>
      <w:divBdr>
        <w:top w:val="none" w:sz="0" w:space="0" w:color="auto"/>
        <w:left w:val="none" w:sz="0" w:space="0" w:color="auto"/>
        <w:bottom w:val="none" w:sz="0" w:space="0" w:color="auto"/>
        <w:right w:val="none" w:sz="0" w:space="0" w:color="auto"/>
      </w:divBdr>
    </w:div>
    <w:div w:id="1604730586">
      <w:bodyDiv w:val="1"/>
      <w:marLeft w:val="0"/>
      <w:marRight w:val="0"/>
      <w:marTop w:val="0"/>
      <w:marBottom w:val="0"/>
      <w:divBdr>
        <w:top w:val="none" w:sz="0" w:space="0" w:color="auto"/>
        <w:left w:val="none" w:sz="0" w:space="0" w:color="auto"/>
        <w:bottom w:val="none" w:sz="0" w:space="0" w:color="auto"/>
        <w:right w:val="none" w:sz="0" w:space="0" w:color="auto"/>
      </w:divBdr>
    </w:div>
    <w:div w:id="1620259254">
      <w:bodyDiv w:val="1"/>
      <w:marLeft w:val="0"/>
      <w:marRight w:val="0"/>
      <w:marTop w:val="0"/>
      <w:marBottom w:val="0"/>
      <w:divBdr>
        <w:top w:val="none" w:sz="0" w:space="0" w:color="auto"/>
        <w:left w:val="none" w:sz="0" w:space="0" w:color="auto"/>
        <w:bottom w:val="none" w:sz="0" w:space="0" w:color="auto"/>
        <w:right w:val="none" w:sz="0" w:space="0" w:color="auto"/>
      </w:divBdr>
    </w:div>
    <w:div w:id="1624657432">
      <w:bodyDiv w:val="1"/>
      <w:marLeft w:val="0"/>
      <w:marRight w:val="0"/>
      <w:marTop w:val="0"/>
      <w:marBottom w:val="0"/>
      <w:divBdr>
        <w:top w:val="none" w:sz="0" w:space="0" w:color="auto"/>
        <w:left w:val="none" w:sz="0" w:space="0" w:color="auto"/>
        <w:bottom w:val="none" w:sz="0" w:space="0" w:color="auto"/>
        <w:right w:val="none" w:sz="0" w:space="0" w:color="auto"/>
      </w:divBdr>
    </w:div>
    <w:div w:id="1627926284">
      <w:bodyDiv w:val="1"/>
      <w:marLeft w:val="0"/>
      <w:marRight w:val="0"/>
      <w:marTop w:val="0"/>
      <w:marBottom w:val="0"/>
      <w:divBdr>
        <w:top w:val="none" w:sz="0" w:space="0" w:color="auto"/>
        <w:left w:val="none" w:sz="0" w:space="0" w:color="auto"/>
        <w:bottom w:val="none" w:sz="0" w:space="0" w:color="auto"/>
        <w:right w:val="none" w:sz="0" w:space="0" w:color="auto"/>
      </w:divBdr>
    </w:div>
    <w:div w:id="1644233418">
      <w:bodyDiv w:val="1"/>
      <w:marLeft w:val="0"/>
      <w:marRight w:val="0"/>
      <w:marTop w:val="0"/>
      <w:marBottom w:val="0"/>
      <w:divBdr>
        <w:top w:val="none" w:sz="0" w:space="0" w:color="auto"/>
        <w:left w:val="none" w:sz="0" w:space="0" w:color="auto"/>
        <w:bottom w:val="none" w:sz="0" w:space="0" w:color="auto"/>
        <w:right w:val="none" w:sz="0" w:space="0" w:color="auto"/>
      </w:divBdr>
      <w:divsChild>
        <w:div w:id="274870343">
          <w:marLeft w:val="0"/>
          <w:marRight w:val="0"/>
          <w:marTop w:val="0"/>
          <w:marBottom w:val="0"/>
          <w:divBdr>
            <w:top w:val="none" w:sz="0" w:space="0" w:color="auto"/>
            <w:left w:val="none" w:sz="0" w:space="0" w:color="auto"/>
            <w:bottom w:val="none" w:sz="0" w:space="0" w:color="auto"/>
            <w:right w:val="none" w:sz="0" w:space="0" w:color="auto"/>
          </w:divBdr>
        </w:div>
        <w:div w:id="353002608">
          <w:marLeft w:val="0"/>
          <w:marRight w:val="0"/>
          <w:marTop w:val="0"/>
          <w:marBottom w:val="0"/>
          <w:divBdr>
            <w:top w:val="none" w:sz="0" w:space="0" w:color="auto"/>
            <w:left w:val="none" w:sz="0" w:space="0" w:color="auto"/>
            <w:bottom w:val="none" w:sz="0" w:space="0" w:color="auto"/>
            <w:right w:val="none" w:sz="0" w:space="0" w:color="auto"/>
          </w:divBdr>
        </w:div>
        <w:div w:id="393091719">
          <w:marLeft w:val="0"/>
          <w:marRight w:val="0"/>
          <w:marTop w:val="0"/>
          <w:marBottom w:val="0"/>
          <w:divBdr>
            <w:top w:val="none" w:sz="0" w:space="0" w:color="auto"/>
            <w:left w:val="none" w:sz="0" w:space="0" w:color="auto"/>
            <w:bottom w:val="none" w:sz="0" w:space="0" w:color="auto"/>
            <w:right w:val="none" w:sz="0" w:space="0" w:color="auto"/>
          </w:divBdr>
        </w:div>
        <w:div w:id="827207460">
          <w:marLeft w:val="0"/>
          <w:marRight w:val="0"/>
          <w:marTop w:val="0"/>
          <w:marBottom w:val="0"/>
          <w:divBdr>
            <w:top w:val="none" w:sz="0" w:space="0" w:color="auto"/>
            <w:left w:val="none" w:sz="0" w:space="0" w:color="auto"/>
            <w:bottom w:val="none" w:sz="0" w:space="0" w:color="auto"/>
            <w:right w:val="none" w:sz="0" w:space="0" w:color="auto"/>
          </w:divBdr>
        </w:div>
        <w:div w:id="869532158">
          <w:marLeft w:val="0"/>
          <w:marRight w:val="0"/>
          <w:marTop w:val="0"/>
          <w:marBottom w:val="0"/>
          <w:divBdr>
            <w:top w:val="none" w:sz="0" w:space="0" w:color="auto"/>
            <w:left w:val="none" w:sz="0" w:space="0" w:color="auto"/>
            <w:bottom w:val="none" w:sz="0" w:space="0" w:color="auto"/>
            <w:right w:val="none" w:sz="0" w:space="0" w:color="auto"/>
          </w:divBdr>
        </w:div>
        <w:div w:id="907687779">
          <w:marLeft w:val="0"/>
          <w:marRight w:val="0"/>
          <w:marTop w:val="0"/>
          <w:marBottom w:val="0"/>
          <w:divBdr>
            <w:top w:val="none" w:sz="0" w:space="0" w:color="auto"/>
            <w:left w:val="none" w:sz="0" w:space="0" w:color="auto"/>
            <w:bottom w:val="none" w:sz="0" w:space="0" w:color="auto"/>
            <w:right w:val="none" w:sz="0" w:space="0" w:color="auto"/>
          </w:divBdr>
        </w:div>
        <w:div w:id="1183209447">
          <w:marLeft w:val="0"/>
          <w:marRight w:val="0"/>
          <w:marTop w:val="0"/>
          <w:marBottom w:val="0"/>
          <w:divBdr>
            <w:top w:val="none" w:sz="0" w:space="0" w:color="auto"/>
            <w:left w:val="none" w:sz="0" w:space="0" w:color="auto"/>
            <w:bottom w:val="none" w:sz="0" w:space="0" w:color="auto"/>
            <w:right w:val="none" w:sz="0" w:space="0" w:color="auto"/>
          </w:divBdr>
        </w:div>
        <w:div w:id="1320423017">
          <w:marLeft w:val="0"/>
          <w:marRight w:val="0"/>
          <w:marTop w:val="0"/>
          <w:marBottom w:val="0"/>
          <w:divBdr>
            <w:top w:val="none" w:sz="0" w:space="0" w:color="auto"/>
            <w:left w:val="none" w:sz="0" w:space="0" w:color="auto"/>
            <w:bottom w:val="none" w:sz="0" w:space="0" w:color="auto"/>
            <w:right w:val="none" w:sz="0" w:space="0" w:color="auto"/>
          </w:divBdr>
        </w:div>
        <w:div w:id="1704164268">
          <w:marLeft w:val="0"/>
          <w:marRight w:val="0"/>
          <w:marTop w:val="0"/>
          <w:marBottom w:val="0"/>
          <w:divBdr>
            <w:top w:val="none" w:sz="0" w:space="0" w:color="auto"/>
            <w:left w:val="none" w:sz="0" w:space="0" w:color="auto"/>
            <w:bottom w:val="none" w:sz="0" w:space="0" w:color="auto"/>
            <w:right w:val="none" w:sz="0" w:space="0" w:color="auto"/>
          </w:divBdr>
        </w:div>
        <w:div w:id="1990472423">
          <w:marLeft w:val="0"/>
          <w:marRight w:val="0"/>
          <w:marTop w:val="0"/>
          <w:marBottom w:val="0"/>
          <w:divBdr>
            <w:top w:val="none" w:sz="0" w:space="0" w:color="auto"/>
            <w:left w:val="none" w:sz="0" w:space="0" w:color="auto"/>
            <w:bottom w:val="none" w:sz="0" w:space="0" w:color="auto"/>
            <w:right w:val="none" w:sz="0" w:space="0" w:color="auto"/>
          </w:divBdr>
        </w:div>
        <w:div w:id="2006779218">
          <w:marLeft w:val="0"/>
          <w:marRight w:val="0"/>
          <w:marTop w:val="0"/>
          <w:marBottom w:val="0"/>
          <w:divBdr>
            <w:top w:val="none" w:sz="0" w:space="0" w:color="auto"/>
            <w:left w:val="none" w:sz="0" w:space="0" w:color="auto"/>
            <w:bottom w:val="none" w:sz="0" w:space="0" w:color="auto"/>
            <w:right w:val="none" w:sz="0" w:space="0" w:color="auto"/>
          </w:divBdr>
        </w:div>
      </w:divsChild>
    </w:div>
    <w:div w:id="1661688617">
      <w:bodyDiv w:val="1"/>
      <w:marLeft w:val="0"/>
      <w:marRight w:val="0"/>
      <w:marTop w:val="0"/>
      <w:marBottom w:val="0"/>
      <w:divBdr>
        <w:top w:val="none" w:sz="0" w:space="0" w:color="auto"/>
        <w:left w:val="none" w:sz="0" w:space="0" w:color="auto"/>
        <w:bottom w:val="none" w:sz="0" w:space="0" w:color="auto"/>
        <w:right w:val="none" w:sz="0" w:space="0" w:color="auto"/>
      </w:divBdr>
    </w:div>
    <w:div w:id="1701128799">
      <w:bodyDiv w:val="1"/>
      <w:marLeft w:val="0"/>
      <w:marRight w:val="0"/>
      <w:marTop w:val="0"/>
      <w:marBottom w:val="0"/>
      <w:divBdr>
        <w:top w:val="none" w:sz="0" w:space="0" w:color="auto"/>
        <w:left w:val="none" w:sz="0" w:space="0" w:color="auto"/>
        <w:bottom w:val="none" w:sz="0" w:space="0" w:color="auto"/>
        <w:right w:val="none" w:sz="0" w:space="0" w:color="auto"/>
      </w:divBdr>
    </w:div>
    <w:div w:id="1784687979">
      <w:bodyDiv w:val="1"/>
      <w:marLeft w:val="0"/>
      <w:marRight w:val="0"/>
      <w:marTop w:val="0"/>
      <w:marBottom w:val="0"/>
      <w:divBdr>
        <w:top w:val="none" w:sz="0" w:space="0" w:color="auto"/>
        <w:left w:val="none" w:sz="0" w:space="0" w:color="auto"/>
        <w:bottom w:val="none" w:sz="0" w:space="0" w:color="auto"/>
        <w:right w:val="none" w:sz="0" w:space="0" w:color="auto"/>
      </w:divBdr>
    </w:div>
    <w:div w:id="1790734821">
      <w:bodyDiv w:val="1"/>
      <w:marLeft w:val="0"/>
      <w:marRight w:val="0"/>
      <w:marTop w:val="0"/>
      <w:marBottom w:val="0"/>
      <w:divBdr>
        <w:top w:val="none" w:sz="0" w:space="0" w:color="auto"/>
        <w:left w:val="none" w:sz="0" w:space="0" w:color="auto"/>
        <w:bottom w:val="none" w:sz="0" w:space="0" w:color="auto"/>
        <w:right w:val="none" w:sz="0" w:space="0" w:color="auto"/>
      </w:divBdr>
    </w:div>
    <w:div w:id="1833985869">
      <w:bodyDiv w:val="1"/>
      <w:marLeft w:val="0"/>
      <w:marRight w:val="0"/>
      <w:marTop w:val="0"/>
      <w:marBottom w:val="0"/>
      <w:divBdr>
        <w:top w:val="none" w:sz="0" w:space="0" w:color="auto"/>
        <w:left w:val="none" w:sz="0" w:space="0" w:color="auto"/>
        <w:bottom w:val="none" w:sz="0" w:space="0" w:color="auto"/>
        <w:right w:val="none" w:sz="0" w:space="0" w:color="auto"/>
      </w:divBdr>
    </w:div>
    <w:div w:id="1873762298">
      <w:bodyDiv w:val="1"/>
      <w:marLeft w:val="0"/>
      <w:marRight w:val="0"/>
      <w:marTop w:val="0"/>
      <w:marBottom w:val="0"/>
      <w:divBdr>
        <w:top w:val="none" w:sz="0" w:space="0" w:color="auto"/>
        <w:left w:val="none" w:sz="0" w:space="0" w:color="auto"/>
        <w:bottom w:val="none" w:sz="0" w:space="0" w:color="auto"/>
        <w:right w:val="none" w:sz="0" w:space="0" w:color="auto"/>
      </w:divBdr>
      <w:divsChild>
        <w:div w:id="1226179631">
          <w:marLeft w:val="0"/>
          <w:marRight w:val="0"/>
          <w:marTop w:val="0"/>
          <w:marBottom w:val="0"/>
          <w:divBdr>
            <w:top w:val="none" w:sz="0" w:space="0" w:color="auto"/>
            <w:left w:val="none" w:sz="0" w:space="0" w:color="auto"/>
            <w:bottom w:val="none" w:sz="0" w:space="0" w:color="auto"/>
            <w:right w:val="none" w:sz="0" w:space="0" w:color="auto"/>
          </w:divBdr>
          <w:divsChild>
            <w:div w:id="632249314">
              <w:marLeft w:val="0"/>
              <w:marRight w:val="0"/>
              <w:marTop w:val="0"/>
              <w:marBottom w:val="0"/>
              <w:divBdr>
                <w:top w:val="none" w:sz="0" w:space="0" w:color="auto"/>
                <w:left w:val="none" w:sz="0" w:space="0" w:color="auto"/>
                <w:bottom w:val="none" w:sz="0" w:space="0" w:color="auto"/>
                <w:right w:val="none" w:sz="0" w:space="0" w:color="auto"/>
              </w:divBdr>
            </w:div>
            <w:div w:id="894126540">
              <w:marLeft w:val="0"/>
              <w:marRight w:val="0"/>
              <w:marTop w:val="0"/>
              <w:marBottom w:val="0"/>
              <w:divBdr>
                <w:top w:val="none" w:sz="0" w:space="0" w:color="auto"/>
                <w:left w:val="none" w:sz="0" w:space="0" w:color="auto"/>
                <w:bottom w:val="none" w:sz="0" w:space="0" w:color="auto"/>
                <w:right w:val="none" w:sz="0" w:space="0" w:color="auto"/>
              </w:divBdr>
            </w:div>
            <w:div w:id="1102261212">
              <w:marLeft w:val="0"/>
              <w:marRight w:val="0"/>
              <w:marTop w:val="0"/>
              <w:marBottom w:val="0"/>
              <w:divBdr>
                <w:top w:val="none" w:sz="0" w:space="0" w:color="auto"/>
                <w:left w:val="none" w:sz="0" w:space="0" w:color="auto"/>
                <w:bottom w:val="none" w:sz="0" w:space="0" w:color="auto"/>
                <w:right w:val="none" w:sz="0" w:space="0" w:color="auto"/>
              </w:divBdr>
            </w:div>
          </w:divsChild>
        </w:div>
        <w:div w:id="1468089831">
          <w:marLeft w:val="0"/>
          <w:marRight w:val="0"/>
          <w:marTop w:val="0"/>
          <w:marBottom w:val="0"/>
          <w:divBdr>
            <w:top w:val="none" w:sz="0" w:space="0" w:color="auto"/>
            <w:left w:val="none" w:sz="0" w:space="0" w:color="auto"/>
            <w:bottom w:val="none" w:sz="0" w:space="0" w:color="auto"/>
            <w:right w:val="none" w:sz="0" w:space="0" w:color="auto"/>
          </w:divBdr>
          <w:divsChild>
            <w:div w:id="380206903">
              <w:marLeft w:val="0"/>
              <w:marRight w:val="0"/>
              <w:marTop w:val="0"/>
              <w:marBottom w:val="0"/>
              <w:divBdr>
                <w:top w:val="none" w:sz="0" w:space="0" w:color="auto"/>
                <w:left w:val="none" w:sz="0" w:space="0" w:color="auto"/>
                <w:bottom w:val="none" w:sz="0" w:space="0" w:color="auto"/>
                <w:right w:val="none" w:sz="0" w:space="0" w:color="auto"/>
              </w:divBdr>
            </w:div>
            <w:div w:id="1082220182">
              <w:marLeft w:val="0"/>
              <w:marRight w:val="0"/>
              <w:marTop w:val="0"/>
              <w:marBottom w:val="0"/>
              <w:divBdr>
                <w:top w:val="none" w:sz="0" w:space="0" w:color="auto"/>
                <w:left w:val="none" w:sz="0" w:space="0" w:color="auto"/>
                <w:bottom w:val="none" w:sz="0" w:space="0" w:color="auto"/>
                <w:right w:val="none" w:sz="0" w:space="0" w:color="auto"/>
              </w:divBdr>
            </w:div>
          </w:divsChild>
        </w:div>
        <w:div w:id="1558709839">
          <w:marLeft w:val="0"/>
          <w:marRight w:val="0"/>
          <w:marTop w:val="0"/>
          <w:marBottom w:val="0"/>
          <w:divBdr>
            <w:top w:val="none" w:sz="0" w:space="0" w:color="auto"/>
            <w:left w:val="none" w:sz="0" w:space="0" w:color="auto"/>
            <w:bottom w:val="none" w:sz="0" w:space="0" w:color="auto"/>
            <w:right w:val="none" w:sz="0" w:space="0" w:color="auto"/>
          </w:divBdr>
          <w:divsChild>
            <w:div w:id="1152480041">
              <w:marLeft w:val="0"/>
              <w:marRight w:val="0"/>
              <w:marTop w:val="0"/>
              <w:marBottom w:val="0"/>
              <w:divBdr>
                <w:top w:val="none" w:sz="0" w:space="0" w:color="auto"/>
                <w:left w:val="none" w:sz="0" w:space="0" w:color="auto"/>
                <w:bottom w:val="none" w:sz="0" w:space="0" w:color="auto"/>
                <w:right w:val="none" w:sz="0" w:space="0" w:color="auto"/>
              </w:divBdr>
            </w:div>
            <w:div w:id="1460998689">
              <w:marLeft w:val="0"/>
              <w:marRight w:val="0"/>
              <w:marTop w:val="0"/>
              <w:marBottom w:val="0"/>
              <w:divBdr>
                <w:top w:val="none" w:sz="0" w:space="0" w:color="auto"/>
                <w:left w:val="none" w:sz="0" w:space="0" w:color="auto"/>
                <w:bottom w:val="none" w:sz="0" w:space="0" w:color="auto"/>
                <w:right w:val="none" w:sz="0" w:space="0" w:color="auto"/>
              </w:divBdr>
            </w:div>
            <w:div w:id="1773162233">
              <w:marLeft w:val="0"/>
              <w:marRight w:val="0"/>
              <w:marTop w:val="0"/>
              <w:marBottom w:val="0"/>
              <w:divBdr>
                <w:top w:val="none" w:sz="0" w:space="0" w:color="auto"/>
                <w:left w:val="none" w:sz="0" w:space="0" w:color="auto"/>
                <w:bottom w:val="none" w:sz="0" w:space="0" w:color="auto"/>
                <w:right w:val="none" w:sz="0" w:space="0" w:color="auto"/>
              </w:divBdr>
            </w:div>
            <w:div w:id="1780955648">
              <w:marLeft w:val="0"/>
              <w:marRight w:val="0"/>
              <w:marTop w:val="0"/>
              <w:marBottom w:val="0"/>
              <w:divBdr>
                <w:top w:val="none" w:sz="0" w:space="0" w:color="auto"/>
                <w:left w:val="none" w:sz="0" w:space="0" w:color="auto"/>
                <w:bottom w:val="none" w:sz="0" w:space="0" w:color="auto"/>
                <w:right w:val="none" w:sz="0" w:space="0" w:color="auto"/>
              </w:divBdr>
            </w:div>
          </w:divsChild>
        </w:div>
        <w:div w:id="1676616013">
          <w:marLeft w:val="0"/>
          <w:marRight w:val="0"/>
          <w:marTop w:val="0"/>
          <w:marBottom w:val="0"/>
          <w:divBdr>
            <w:top w:val="none" w:sz="0" w:space="0" w:color="auto"/>
            <w:left w:val="none" w:sz="0" w:space="0" w:color="auto"/>
            <w:bottom w:val="none" w:sz="0" w:space="0" w:color="auto"/>
            <w:right w:val="none" w:sz="0" w:space="0" w:color="auto"/>
          </w:divBdr>
          <w:divsChild>
            <w:div w:id="87653529">
              <w:marLeft w:val="0"/>
              <w:marRight w:val="0"/>
              <w:marTop w:val="0"/>
              <w:marBottom w:val="0"/>
              <w:divBdr>
                <w:top w:val="none" w:sz="0" w:space="0" w:color="auto"/>
                <w:left w:val="none" w:sz="0" w:space="0" w:color="auto"/>
                <w:bottom w:val="none" w:sz="0" w:space="0" w:color="auto"/>
                <w:right w:val="none" w:sz="0" w:space="0" w:color="auto"/>
              </w:divBdr>
            </w:div>
            <w:div w:id="1883442386">
              <w:marLeft w:val="0"/>
              <w:marRight w:val="0"/>
              <w:marTop w:val="0"/>
              <w:marBottom w:val="0"/>
              <w:divBdr>
                <w:top w:val="none" w:sz="0" w:space="0" w:color="auto"/>
                <w:left w:val="none" w:sz="0" w:space="0" w:color="auto"/>
                <w:bottom w:val="none" w:sz="0" w:space="0" w:color="auto"/>
                <w:right w:val="none" w:sz="0" w:space="0" w:color="auto"/>
              </w:divBdr>
            </w:div>
          </w:divsChild>
        </w:div>
        <w:div w:id="1885555036">
          <w:marLeft w:val="0"/>
          <w:marRight w:val="0"/>
          <w:marTop w:val="0"/>
          <w:marBottom w:val="0"/>
          <w:divBdr>
            <w:top w:val="none" w:sz="0" w:space="0" w:color="auto"/>
            <w:left w:val="none" w:sz="0" w:space="0" w:color="auto"/>
            <w:bottom w:val="none" w:sz="0" w:space="0" w:color="auto"/>
            <w:right w:val="none" w:sz="0" w:space="0" w:color="auto"/>
          </w:divBdr>
          <w:divsChild>
            <w:div w:id="629475469">
              <w:marLeft w:val="0"/>
              <w:marRight w:val="0"/>
              <w:marTop w:val="0"/>
              <w:marBottom w:val="0"/>
              <w:divBdr>
                <w:top w:val="none" w:sz="0" w:space="0" w:color="auto"/>
                <w:left w:val="none" w:sz="0" w:space="0" w:color="auto"/>
                <w:bottom w:val="none" w:sz="0" w:space="0" w:color="auto"/>
                <w:right w:val="none" w:sz="0" w:space="0" w:color="auto"/>
              </w:divBdr>
            </w:div>
            <w:div w:id="127802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9668">
      <w:bodyDiv w:val="1"/>
      <w:marLeft w:val="0"/>
      <w:marRight w:val="0"/>
      <w:marTop w:val="0"/>
      <w:marBottom w:val="0"/>
      <w:divBdr>
        <w:top w:val="none" w:sz="0" w:space="0" w:color="auto"/>
        <w:left w:val="none" w:sz="0" w:space="0" w:color="auto"/>
        <w:bottom w:val="none" w:sz="0" w:space="0" w:color="auto"/>
        <w:right w:val="none" w:sz="0" w:space="0" w:color="auto"/>
      </w:divBdr>
    </w:div>
    <w:div w:id="1928342550">
      <w:bodyDiv w:val="1"/>
      <w:marLeft w:val="0"/>
      <w:marRight w:val="0"/>
      <w:marTop w:val="0"/>
      <w:marBottom w:val="0"/>
      <w:divBdr>
        <w:top w:val="none" w:sz="0" w:space="0" w:color="auto"/>
        <w:left w:val="none" w:sz="0" w:space="0" w:color="auto"/>
        <w:bottom w:val="none" w:sz="0" w:space="0" w:color="auto"/>
        <w:right w:val="none" w:sz="0" w:space="0" w:color="auto"/>
      </w:divBdr>
      <w:divsChild>
        <w:div w:id="143398970">
          <w:marLeft w:val="0"/>
          <w:marRight w:val="0"/>
          <w:marTop w:val="0"/>
          <w:marBottom w:val="0"/>
          <w:divBdr>
            <w:top w:val="none" w:sz="0" w:space="0" w:color="auto"/>
            <w:left w:val="none" w:sz="0" w:space="0" w:color="auto"/>
            <w:bottom w:val="none" w:sz="0" w:space="0" w:color="auto"/>
            <w:right w:val="none" w:sz="0" w:space="0" w:color="auto"/>
          </w:divBdr>
        </w:div>
        <w:div w:id="313949387">
          <w:marLeft w:val="0"/>
          <w:marRight w:val="0"/>
          <w:marTop w:val="0"/>
          <w:marBottom w:val="0"/>
          <w:divBdr>
            <w:top w:val="none" w:sz="0" w:space="0" w:color="auto"/>
            <w:left w:val="none" w:sz="0" w:space="0" w:color="auto"/>
            <w:bottom w:val="none" w:sz="0" w:space="0" w:color="auto"/>
            <w:right w:val="none" w:sz="0" w:space="0" w:color="auto"/>
          </w:divBdr>
        </w:div>
        <w:div w:id="348525412">
          <w:marLeft w:val="0"/>
          <w:marRight w:val="0"/>
          <w:marTop w:val="0"/>
          <w:marBottom w:val="0"/>
          <w:divBdr>
            <w:top w:val="none" w:sz="0" w:space="0" w:color="auto"/>
            <w:left w:val="none" w:sz="0" w:space="0" w:color="auto"/>
            <w:bottom w:val="none" w:sz="0" w:space="0" w:color="auto"/>
            <w:right w:val="none" w:sz="0" w:space="0" w:color="auto"/>
          </w:divBdr>
        </w:div>
        <w:div w:id="380371804">
          <w:marLeft w:val="0"/>
          <w:marRight w:val="0"/>
          <w:marTop w:val="0"/>
          <w:marBottom w:val="0"/>
          <w:divBdr>
            <w:top w:val="none" w:sz="0" w:space="0" w:color="auto"/>
            <w:left w:val="none" w:sz="0" w:space="0" w:color="auto"/>
            <w:bottom w:val="none" w:sz="0" w:space="0" w:color="auto"/>
            <w:right w:val="none" w:sz="0" w:space="0" w:color="auto"/>
          </w:divBdr>
        </w:div>
        <w:div w:id="403912695">
          <w:marLeft w:val="0"/>
          <w:marRight w:val="0"/>
          <w:marTop w:val="0"/>
          <w:marBottom w:val="0"/>
          <w:divBdr>
            <w:top w:val="none" w:sz="0" w:space="0" w:color="auto"/>
            <w:left w:val="none" w:sz="0" w:space="0" w:color="auto"/>
            <w:bottom w:val="none" w:sz="0" w:space="0" w:color="auto"/>
            <w:right w:val="none" w:sz="0" w:space="0" w:color="auto"/>
          </w:divBdr>
        </w:div>
        <w:div w:id="412698855">
          <w:marLeft w:val="0"/>
          <w:marRight w:val="0"/>
          <w:marTop w:val="0"/>
          <w:marBottom w:val="0"/>
          <w:divBdr>
            <w:top w:val="none" w:sz="0" w:space="0" w:color="auto"/>
            <w:left w:val="none" w:sz="0" w:space="0" w:color="auto"/>
            <w:bottom w:val="none" w:sz="0" w:space="0" w:color="auto"/>
            <w:right w:val="none" w:sz="0" w:space="0" w:color="auto"/>
          </w:divBdr>
        </w:div>
        <w:div w:id="440883382">
          <w:marLeft w:val="0"/>
          <w:marRight w:val="0"/>
          <w:marTop w:val="0"/>
          <w:marBottom w:val="0"/>
          <w:divBdr>
            <w:top w:val="none" w:sz="0" w:space="0" w:color="auto"/>
            <w:left w:val="none" w:sz="0" w:space="0" w:color="auto"/>
            <w:bottom w:val="none" w:sz="0" w:space="0" w:color="auto"/>
            <w:right w:val="none" w:sz="0" w:space="0" w:color="auto"/>
          </w:divBdr>
        </w:div>
        <w:div w:id="603654859">
          <w:marLeft w:val="0"/>
          <w:marRight w:val="0"/>
          <w:marTop w:val="0"/>
          <w:marBottom w:val="0"/>
          <w:divBdr>
            <w:top w:val="none" w:sz="0" w:space="0" w:color="auto"/>
            <w:left w:val="none" w:sz="0" w:space="0" w:color="auto"/>
            <w:bottom w:val="none" w:sz="0" w:space="0" w:color="auto"/>
            <w:right w:val="none" w:sz="0" w:space="0" w:color="auto"/>
          </w:divBdr>
        </w:div>
        <w:div w:id="612203455">
          <w:marLeft w:val="0"/>
          <w:marRight w:val="0"/>
          <w:marTop w:val="0"/>
          <w:marBottom w:val="0"/>
          <w:divBdr>
            <w:top w:val="none" w:sz="0" w:space="0" w:color="auto"/>
            <w:left w:val="none" w:sz="0" w:space="0" w:color="auto"/>
            <w:bottom w:val="none" w:sz="0" w:space="0" w:color="auto"/>
            <w:right w:val="none" w:sz="0" w:space="0" w:color="auto"/>
          </w:divBdr>
        </w:div>
        <w:div w:id="615451939">
          <w:marLeft w:val="0"/>
          <w:marRight w:val="0"/>
          <w:marTop w:val="0"/>
          <w:marBottom w:val="0"/>
          <w:divBdr>
            <w:top w:val="none" w:sz="0" w:space="0" w:color="auto"/>
            <w:left w:val="none" w:sz="0" w:space="0" w:color="auto"/>
            <w:bottom w:val="none" w:sz="0" w:space="0" w:color="auto"/>
            <w:right w:val="none" w:sz="0" w:space="0" w:color="auto"/>
          </w:divBdr>
        </w:div>
        <w:div w:id="664741866">
          <w:marLeft w:val="0"/>
          <w:marRight w:val="0"/>
          <w:marTop w:val="0"/>
          <w:marBottom w:val="0"/>
          <w:divBdr>
            <w:top w:val="none" w:sz="0" w:space="0" w:color="auto"/>
            <w:left w:val="none" w:sz="0" w:space="0" w:color="auto"/>
            <w:bottom w:val="none" w:sz="0" w:space="0" w:color="auto"/>
            <w:right w:val="none" w:sz="0" w:space="0" w:color="auto"/>
          </w:divBdr>
        </w:div>
        <w:div w:id="708065825">
          <w:marLeft w:val="0"/>
          <w:marRight w:val="0"/>
          <w:marTop w:val="0"/>
          <w:marBottom w:val="0"/>
          <w:divBdr>
            <w:top w:val="none" w:sz="0" w:space="0" w:color="auto"/>
            <w:left w:val="none" w:sz="0" w:space="0" w:color="auto"/>
            <w:bottom w:val="none" w:sz="0" w:space="0" w:color="auto"/>
            <w:right w:val="none" w:sz="0" w:space="0" w:color="auto"/>
          </w:divBdr>
        </w:div>
        <w:div w:id="723720408">
          <w:marLeft w:val="0"/>
          <w:marRight w:val="0"/>
          <w:marTop w:val="0"/>
          <w:marBottom w:val="0"/>
          <w:divBdr>
            <w:top w:val="none" w:sz="0" w:space="0" w:color="auto"/>
            <w:left w:val="none" w:sz="0" w:space="0" w:color="auto"/>
            <w:bottom w:val="none" w:sz="0" w:space="0" w:color="auto"/>
            <w:right w:val="none" w:sz="0" w:space="0" w:color="auto"/>
          </w:divBdr>
        </w:div>
        <w:div w:id="938029174">
          <w:marLeft w:val="0"/>
          <w:marRight w:val="0"/>
          <w:marTop w:val="0"/>
          <w:marBottom w:val="0"/>
          <w:divBdr>
            <w:top w:val="none" w:sz="0" w:space="0" w:color="auto"/>
            <w:left w:val="none" w:sz="0" w:space="0" w:color="auto"/>
            <w:bottom w:val="none" w:sz="0" w:space="0" w:color="auto"/>
            <w:right w:val="none" w:sz="0" w:space="0" w:color="auto"/>
          </w:divBdr>
        </w:div>
        <w:div w:id="941107279">
          <w:marLeft w:val="0"/>
          <w:marRight w:val="0"/>
          <w:marTop w:val="0"/>
          <w:marBottom w:val="0"/>
          <w:divBdr>
            <w:top w:val="none" w:sz="0" w:space="0" w:color="auto"/>
            <w:left w:val="none" w:sz="0" w:space="0" w:color="auto"/>
            <w:bottom w:val="none" w:sz="0" w:space="0" w:color="auto"/>
            <w:right w:val="none" w:sz="0" w:space="0" w:color="auto"/>
          </w:divBdr>
        </w:div>
        <w:div w:id="1117407299">
          <w:marLeft w:val="0"/>
          <w:marRight w:val="0"/>
          <w:marTop w:val="0"/>
          <w:marBottom w:val="0"/>
          <w:divBdr>
            <w:top w:val="none" w:sz="0" w:space="0" w:color="auto"/>
            <w:left w:val="none" w:sz="0" w:space="0" w:color="auto"/>
            <w:bottom w:val="none" w:sz="0" w:space="0" w:color="auto"/>
            <w:right w:val="none" w:sz="0" w:space="0" w:color="auto"/>
          </w:divBdr>
        </w:div>
        <w:div w:id="1309480277">
          <w:marLeft w:val="0"/>
          <w:marRight w:val="0"/>
          <w:marTop w:val="0"/>
          <w:marBottom w:val="0"/>
          <w:divBdr>
            <w:top w:val="none" w:sz="0" w:space="0" w:color="auto"/>
            <w:left w:val="none" w:sz="0" w:space="0" w:color="auto"/>
            <w:bottom w:val="none" w:sz="0" w:space="0" w:color="auto"/>
            <w:right w:val="none" w:sz="0" w:space="0" w:color="auto"/>
          </w:divBdr>
        </w:div>
        <w:div w:id="1577864122">
          <w:marLeft w:val="0"/>
          <w:marRight w:val="0"/>
          <w:marTop w:val="0"/>
          <w:marBottom w:val="0"/>
          <w:divBdr>
            <w:top w:val="none" w:sz="0" w:space="0" w:color="auto"/>
            <w:left w:val="none" w:sz="0" w:space="0" w:color="auto"/>
            <w:bottom w:val="none" w:sz="0" w:space="0" w:color="auto"/>
            <w:right w:val="none" w:sz="0" w:space="0" w:color="auto"/>
          </w:divBdr>
        </w:div>
        <w:div w:id="1616054457">
          <w:marLeft w:val="0"/>
          <w:marRight w:val="0"/>
          <w:marTop w:val="0"/>
          <w:marBottom w:val="0"/>
          <w:divBdr>
            <w:top w:val="none" w:sz="0" w:space="0" w:color="auto"/>
            <w:left w:val="none" w:sz="0" w:space="0" w:color="auto"/>
            <w:bottom w:val="none" w:sz="0" w:space="0" w:color="auto"/>
            <w:right w:val="none" w:sz="0" w:space="0" w:color="auto"/>
          </w:divBdr>
        </w:div>
        <w:div w:id="1629240902">
          <w:marLeft w:val="0"/>
          <w:marRight w:val="0"/>
          <w:marTop w:val="0"/>
          <w:marBottom w:val="0"/>
          <w:divBdr>
            <w:top w:val="none" w:sz="0" w:space="0" w:color="auto"/>
            <w:left w:val="none" w:sz="0" w:space="0" w:color="auto"/>
            <w:bottom w:val="none" w:sz="0" w:space="0" w:color="auto"/>
            <w:right w:val="none" w:sz="0" w:space="0" w:color="auto"/>
          </w:divBdr>
        </w:div>
        <w:div w:id="1650480121">
          <w:marLeft w:val="0"/>
          <w:marRight w:val="0"/>
          <w:marTop w:val="0"/>
          <w:marBottom w:val="0"/>
          <w:divBdr>
            <w:top w:val="none" w:sz="0" w:space="0" w:color="auto"/>
            <w:left w:val="none" w:sz="0" w:space="0" w:color="auto"/>
            <w:bottom w:val="none" w:sz="0" w:space="0" w:color="auto"/>
            <w:right w:val="none" w:sz="0" w:space="0" w:color="auto"/>
          </w:divBdr>
        </w:div>
        <w:div w:id="1753431478">
          <w:marLeft w:val="0"/>
          <w:marRight w:val="0"/>
          <w:marTop w:val="0"/>
          <w:marBottom w:val="0"/>
          <w:divBdr>
            <w:top w:val="none" w:sz="0" w:space="0" w:color="auto"/>
            <w:left w:val="none" w:sz="0" w:space="0" w:color="auto"/>
            <w:bottom w:val="none" w:sz="0" w:space="0" w:color="auto"/>
            <w:right w:val="none" w:sz="0" w:space="0" w:color="auto"/>
          </w:divBdr>
        </w:div>
        <w:div w:id="1768038381">
          <w:marLeft w:val="0"/>
          <w:marRight w:val="0"/>
          <w:marTop w:val="0"/>
          <w:marBottom w:val="0"/>
          <w:divBdr>
            <w:top w:val="none" w:sz="0" w:space="0" w:color="auto"/>
            <w:left w:val="none" w:sz="0" w:space="0" w:color="auto"/>
            <w:bottom w:val="none" w:sz="0" w:space="0" w:color="auto"/>
            <w:right w:val="none" w:sz="0" w:space="0" w:color="auto"/>
          </w:divBdr>
        </w:div>
        <w:div w:id="1772504259">
          <w:marLeft w:val="0"/>
          <w:marRight w:val="0"/>
          <w:marTop w:val="0"/>
          <w:marBottom w:val="0"/>
          <w:divBdr>
            <w:top w:val="none" w:sz="0" w:space="0" w:color="auto"/>
            <w:left w:val="none" w:sz="0" w:space="0" w:color="auto"/>
            <w:bottom w:val="none" w:sz="0" w:space="0" w:color="auto"/>
            <w:right w:val="none" w:sz="0" w:space="0" w:color="auto"/>
          </w:divBdr>
        </w:div>
        <w:div w:id="1818105634">
          <w:marLeft w:val="0"/>
          <w:marRight w:val="0"/>
          <w:marTop w:val="0"/>
          <w:marBottom w:val="0"/>
          <w:divBdr>
            <w:top w:val="none" w:sz="0" w:space="0" w:color="auto"/>
            <w:left w:val="none" w:sz="0" w:space="0" w:color="auto"/>
            <w:bottom w:val="none" w:sz="0" w:space="0" w:color="auto"/>
            <w:right w:val="none" w:sz="0" w:space="0" w:color="auto"/>
          </w:divBdr>
        </w:div>
        <w:div w:id="1873565233">
          <w:marLeft w:val="0"/>
          <w:marRight w:val="0"/>
          <w:marTop w:val="0"/>
          <w:marBottom w:val="0"/>
          <w:divBdr>
            <w:top w:val="none" w:sz="0" w:space="0" w:color="auto"/>
            <w:left w:val="none" w:sz="0" w:space="0" w:color="auto"/>
            <w:bottom w:val="none" w:sz="0" w:space="0" w:color="auto"/>
            <w:right w:val="none" w:sz="0" w:space="0" w:color="auto"/>
          </w:divBdr>
        </w:div>
        <w:div w:id="2132742793">
          <w:marLeft w:val="0"/>
          <w:marRight w:val="0"/>
          <w:marTop w:val="0"/>
          <w:marBottom w:val="0"/>
          <w:divBdr>
            <w:top w:val="none" w:sz="0" w:space="0" w:color="auto"/>
            <w:left w:val="none" w:sz="0" w:space="0" w:color="auto"/>
            <w:bottom w:val="none" w:sz="0" w:space="0" w:color="auto"/>
            <w:right w:val="none" w:sz="0" w:space="0" w:color="auto"/>
          </w:divBdr>
        </w:div>
        <w:div w:id="2138835881">
          <w:marLeft w:val="0"/>
          <w:marRight w:val="0"/>
          <w:marTop w:val="0"/>
          <w:marBottom w:val="0"/>
          <w:divBdr>
            <w:top w:val="none" w:sz="0" w:space="0" w:color="auto"/>
            <w:left w:val="none" w:sz="0" w:space="0" w:color="auto"/>
            <w:bottom w:val="none" w:sz="0" w:space="0" w:color="auto"/>
            <w:right w:val="none" w:sz="0" w:space="0" w:color="auto"/>
          </w:divBdr>
        </w:div>
      </w:divsChild>
    </w:div>
    <w:div w:id="1941179867">
      <w:bodyDiv w:val="1"/>
      <w:marLeft w:val="0"/>
      <w:marRight w:val="0"/>
      <w:marTop w:val="0"/>
      <w:marBottom w:val="0"/>
      <w:divBdr>
        <w:top w:val="none" w:sz="0" w:space="0" w:color="auto"/>
        <w:left w:val="none" w:sz="0" w:space="0" w:color="auto"/>
        <w:bottom w:val="none" w:sz="0" w:space="0" w:color="auto"/>
        <w:right w:val="none" w:sz="0" w:space="0" w:color="auto"/>
      </w:divBdr>
    </w:div>
    <w:div w:id="1950700837">
      <w:bodyDiv w:val="1"/>
      <w:marLeft w:val="0"/>
      <w:marRight w:val="0"/>
      <w:marTop w:val="0"/>
      <w:marBottom w:val="0"/>
      <w:divBdr>
        <w:top w:val="none" w:sz="0" w:space="0" w:color="auto"/>
        <w:left w:val="none" w:sz="0" w:space="0" w:color="auto"/>
        <w:bottom w:val="none" w:sz="0" w:space="0" w:color="auto"/>
        <w:right w:val="none" w:sz="0" w:space="0" w:color="auto"/>
      </w:divBdr>
      <w:divsChild>
        <w:div w:id="1798374153">
          <w:marLeft w:val="0"/>
          <w:marRight w:val="0"/>
          <w:marTop w:val="0"/>
          <w:marBottom w:val="0"/>
          <w:divBdr>
            <w:top w:val="none" w:sz="0" w:space="0" w:color="auto"/>
            <w:left w:val="none" w:sz="0" w:space="0" w:color="auto"/>
            <w:bottom w:val="none" w:sz="0" w:space="0" w:color="auto"/>
            <w:right w:val="none" w:sz="0" w:space="0" w:color="auto"/>
          </w:divBdr>
          <w:divsChild>
            <w:div w:id="336229694">
              <w:marLeft w:val="0"/>
              <w:marRight w:val="0"/>
              <w:marTop w:val="0"/>
              <w:marBottom w:val="0"/>
              <w:divBdr>
                <w:top w:val="none" w:sz="0" w:space="0" w:color="auto"/>
                <w:left w:val="none" w:sz="0" w:space="0" w:color="auto"/>
                <w:bottom w:val="none" w:sz="0" w:space="0" w:color="auto"/>
                <w:right w:val="none" w:sz="0" w:space="0" w:color="auto"/>
              </w:divBdr>
            </w:div>
            <w:div w:id="1058557007">
              <w:marLeft w:val="0"/>
              <w:marRight w:val="0"/>
              <w:marTop w:val="0"/>
              <w:marBottom w:val="0"/>
              <w:divBdr>
                <w:top w:val="none" w:sz="0" w:space="0" w:color="auto"/>
                <w:left w:val="none" w:sz="0" w:space="0" w:color="auto"/>
                <w:bottom w:val="none" w:sz="0" w:space="0" w:color="auto"/>
                <w:right w:val="none" w:sz="0" w:space="0" w:color="auto"/>
              </w:divBdr>
            </w:div>
          </w:divsChild>
        </w:div>
        <w:div w:id="1913076627">
          <w:marLeft w:val="0"/>
          <w:marRight w:val="0"/>
          <w:marTop w:val="0"/>
          <w:marBottom w:val="0"/>
          <w:divBdr>
            <w:top w:val="none" w:sz="0" w:space="0" w:color="auto"/>
            <w:left w:val="none" w:sz="0" w:space="0" w:color="auto"/>
            <w:bottom w:val="none" w:sz="0" w:space="0" w:color="auto"/>
            <w:right w:val="none" w:sz="0" w:space="0" w:color="auto"/>
          </w:divBdr>
          <w:divsChild>
            <w:div w:id="906306775">
              <w:marLeft w:val="0"/>
              <w:marRight w:val="0"/>
              <w:marTop w:val="0"/>
              <w:marBottom w:val="0"/>
              <w:divBdr>
                <w:top w:val="none" w:sz="0" w:space="0" w:color="auto"/>
                <w:left w:val="none" w:sz="0" w:space="0" w:color="auto"/>
                <w:bottom w:val="none" w:sz="0" w:space="0" w:color="auto"/>
                <w:right w:val="none" w:sz="0" w:space="0" w:color="auto"/>
              </w:divBdr>
            </w:div>
            <w:div w:id="10851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91377">
      <w:bodyDiv w:val="1"/>
      <w:marLeft w:val="0"/>
      <w:marRight w:val="0"/>
      <w:marTop w:val="0"/>
      <w:marBottom w:val="0"/>
      <w:divBdr>
        <w:top w:val="none" w:sz="0" w:space="0" w:color="auto"/>
        <w:left w:val="none" w:sz="0" w:space="0" w:color="auto"/>
        <w:bottom w:val="none" w:sz="0" w:space="0" w:color="auto"/>
        <w:right w:val="none" w:sz="0" w:space="0" w:color="auto"/>
      </w:divBdr>
    </w:div>
    <w:div w:id="2003967818">
      <w:bodyDiv w:val="1"/>
      <w:marLeft w:val="0"/>
      <w:marRight w:val="0"/>
      <w:marTop w:val="0"/>
      <w:marBottom w:val="0"/>
      <w:divBdr>
        <w:top w:val="none" w:sz="0" w:space="0" w:color="auto"/>
        <w:left w:val="none" w:sz="0" w:space="0" w:color="auto"/>
        <w:bottom w:val="none" w:sz="0" w:space="0" w:color="auto"/>
        <w:right w:val="none" w:sz="0" w:space="0" w:color="auto"/>
      </w:divBdr>
    </w:div>
    <w:div w:id="2004047007">
      <w:bodyDiv w:val="1"/>
      <w:marLeft w:val="0"/>
      <w:marRight w:val="0"/>
      <w:marTop w:val="0"/>
      <w:marBottom w:val="0"/>
      <w:divBdr>
        <w:top w:val="none" w:sz="0" w:space="0" w:color="auto"/>
        <w:left w:val="none" w:sz="0" w:space="0" w:color="auto"/>
        <w:bottom w:val="none" w:sz="0" w:space="0" w:color="auto"/>
        <w:right w:val="none" w:sz="0" w:space="0" w:color="auto"/>
      </w:divBdr>
    </w:div>
    <w:div w:id="2005889290">
      <w:bodyDiv w:val="1"/>
      <w:marLeft w:val="0"/>
      <w:marRight w:val="0"/>
      <w:marTop w:val="0"/>
      <w:marBottom w:val="0"/>
      <w:divBdr>
        <w:top w:val="none" w:sz="0" w:space="0" w:color="auto"/>
        <w:left w:val="none" w:sz="0" w:space="0" w:color="auto"/>
        <w:bottom w:val="none" w:sz="0" w:space="0" w:color="auto"/>
        <w:right w:val="none" w:sz="0" w:space="0" w:color="auto"/>
      </w:divBdr>
    </w:div>
    <w:div w:id="2011904947">
      <w:bodyDiv w:val="1"/>
      <w:marLeft w:val="0"/>
      <w:marRight w:val="0"/>
      <w:marTop w:val="0"/>
      <w:marBottom w:val="0"/>
      <w:divBdr>
        <w:top w:val="none" w:sz="0" w:space="0" w:color="auto"/>
        <w:left w:val="none" w:sz="0" w:space="0" w:color="auto"/>
        <w:bottom w:val="none" w:sz="0" w:space="0" w:color="auto"/>
        <w:right w:val="none" w:sz="0" w:space="0" w:color="auto"/>
      </w:divBdr>
    </w:div>
    <w:div w:id="2013289300">
      <w:bodyDiv w:val="1"/>
      <w:marLeft w:val="0"/>
      <w:marRight w:val="0"/>
      <w:marTop w:val="0"/>
      <w:marBottom w:val="0"/>
      <w:divBdr>
        <w:top w:val="none" w:sz="0" w:space="0" w:color="auto"/>
        <w:left w:val="none" w:sz="0" w:space="0" w:color="auto"/>
        <w:bottom w:val="none" w:sz="0" w:space="0" w:color="auto"/>
        <w:right w:val="none" w:sz="0" w:space="0" w:color="auto"/>
      </w:divBdr>
    </w:div>
    <w:div w:id="2014263821">
      <w:bodyDiv w:val="1"/>
      <w:marLeft w:val="0"/>
      <w:marRight w:val="0"/>
      <w:marTop w:val="0"/>
      <w:marBottom w:val="0"/>
      <w:divBdr>
        <w:top w:val="none" w:sz="0" w:space="0" w:color="auto"/>
        <w:left w:val="none" w:sz="0" w:space="0" w:color="auto"/>
        <w:bottom w:val="none" w:sz="0" w:space="0" w:color="auto"/>
        <w:right w:val="none" w:sz="0" w:space="0" w:color="auto"/>
      </w:divBdr>
    </w:div>
    <w:div w:id="2036072886">
      <w:bodyDiv w:val="1"/>
      <w:marLeft w:val="0"/>
      <w:marRight w:val="0"/>
      <w:marTop w:val="0"/>
      <w:marBottom w:val="0"/>
      <w:divBdr>
        <w:top w:val="none" w:sz="0" w:space="0" w:color="auto"/>
        <w:left w:val="none" w:sz="0" w:space="0" w:color="auto"/>
        <w:bottom w:val="none" w:sz="0" w:space="0" w:color="auto"/>
        <w:right w:val="none" w:sz="0" w:space="0" w:color="auto"/>
      </w:divBdr>
    </w:div>
    <w:div w:id="2081906995">
      <w:bodyDiv w:val="1"/>
      <w:marLeft w:val="0"/>
      <w:marRight w:val="0"/>
      <w:marTop w:val="0"/>
      <w:marBottom w:val="0"/>
      <w:divBdr>
        <w:top w:val="none" w:sz="0" w:space="0" w:color="auto"/>
        <w:left w:val="none" w:sz="0" w:space="0" w:color="auto"/>
        <w:bottom w:val="none" w:sz="0" w:space="0" w:color="auto"/>
        <w:right w:val="none" w:sz="0" w:space="0" w:color="auto"/>
      </w:divBdr>
    </w:div>
    <w:div w:id="2089112216">
      <w:bodyDiv w:val="1"/>
      <w:marLeft w:val="0"/>
      <w:marRight w:val="0"/>
      <w:marTop w:val="0"/>
      <w:marBottom w:val="0"/>
      <w:divBdr>
        <w:top w:val="none" w:sz="0" w:space="0" w:color="auto"/>
        <w:left w:val="none" w:sz="0" w:space="0" w:color="auto"/>
        <w:bottom w:val="none" w:sz="0" w:space="0" w:color="auto"/>
        <w:right w:val="none" w:sz="0" w:space="0" w:color="auto"/>
      </w:divBdr>
    </w:div>
    <w:div w:id="2091344196">
      <w:bodyDiv w:val="1"/>
      <w:marLeft w:val="0"/>
      <w:marRight w:val="0"/>
      <w:marTop w:val="0"/>
      <w:marBottom w:val="0"/>
      <w:divBdr>
        <w:top w:val="none" w:sz="0" w:space="0" w:color="auto"/>
        <w:left w:val="none" w:sz="0" w:space="0" w:color="auto"/>
        <w:bottom w:val="none" w:sz="0" w:space="0" w:color="auto"/>
        <w:right w:val="none" w:sz="0" w:space="0" w:color="auto"/>
      </w:divBdr>
    </w:div>
    <w:div w:id="209781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3.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csrm.cass.anu.edu.au/people/professor-nicholas-bidd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hyperlink" Target="https://www.linkedin.com/in/ralph-mogridge-986583121/"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https://www.karenmilward.com.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linkedin.com/in/jayde-geia-b873118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http://www.socialventures.com.au" TargetMode="External"/><Relationship Id="rId30" Type="http://schemas.openxmlformats.org/officeDocument/2006/relationships/hyperlink" Target="https://www.linkedin.com/in/sorrell-ashby/"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nsulting@socialventures.com.au%2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onsulting@socialventures.com.au%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SVA_Colours">
  <a:themeElements>
    <a:clrScheme name="SVA Consulting Colours">
      <a:dk1>
        <a:srgbClr val="000000"/>
      </a:dk1>
      <a:lt1>
        <a:srgbClr val="FFFFFF"/>
      </a:lt1>
      <a:dk2>
        <a:srgbClr val="000000"/>
      </a:dk2>
      <a:lt2>
        <a:srgbClr val="002D62"/>
      </a:lt2>
      <a:accent1>
        <a:srgbClr val="002D62"/>
      </a:accent1>
      <a:accent2>
        <a:srgbClr val="006FBA"/>
      </a:accent2>
      <a:accent3>
        <a:srgbClr val="58B6E7"/>
      </a:accent3>
      <a:accent4>
        <a:srgbClr val="B9AA79"/>
      </a:accent4>
      <a:accent5>
        <a:srgbClr val="B2B5AB"/>
      </a:accent5>
      <a:accent6>
        <a:srgbClr val="FAA41A"/>
      </a:accent6>
      <a:hlink>
        <a:srgbClr val="6E5023"/>
      </a:hlink>
      <a:folHlink>
        <a:srgbClr val="998542"/>
      </a:folHlink>
    </a:clrScheme>
    <a:fontScheme name="SVA Fonts">
      <a:majorFont>
        <a:latin typeface="Arial"/>
        <a:ea typeface="ＭＳ Ｐゴシック"/>
        <a:cs typeface=""/>
      </a:majorFont>
      <a:minorFont>
        <a:latin typeface="Arial"/>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Grey">
      <a:srgbClr val="B1B3AA"/>
    </a:custClr>
    <a:custClr name="Olive">
      <a:srgbClr val="B1A87A"/>
    </a:custClr>
    <a:custClr name="Green">
      <a:srgbClr val="B2B935"/>
    </a:custClr>
  </a:custClrLst>
  <a:extLst>
    <a:ext uri="{05A4C25C-085E-4340-85A3-A5531E510DB2}">
      <thm15:themeFamily xmlns:thm15="http://schemas.microsoft.com/office/thememl/2012/main" name="Master_SVA.potx" id="{FF92C3A6-D1A4-47C0-BD04-734457185EFA}" vid="{8EA6CDFD-41E1-4B8F-913F-076706CFB1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ShareHubID xmlns="166541c0-0594-4e6a-9105-c24d4b6de6f7">DOC21-320331</ShareHubID>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TaxCatchAll xmlns="166541c0-0594-4e6a-9105-c24d4b6de6f7">
      <Value>30</Value>
      <Value>29</Value>
      <Value>62</Value>
      <Value>57</Value>
      <Value>39</Value>
      <Value>18</Value>
    </TaxCatchAll>
    <jd1c641577414dfdab1686c9d5d0dbd0 xmlns="166541c0-0594-4e6a-9105-c24d4b6de6f7">
      <Terms xmlns="http://schemas.microsoft.com/office/infopath/2007/PartnerControls"/>
    </jd1c641577414dfdab1686c9d5d0dbd0>
    <PMCNotes xmlns="166541c0-0594-4e6a-9105-c24d4b6de6f7" xsi:nil="true"/>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Vul18</b:Tag>
    <b:SourceType>Report</b:SourceType>
    <b:Guid>{AD351454-BB3B-48CA-B41A-AE6366D3B7D7}</b:Guid>
    <b:Title>2018 Report to the CSCB</b:Title>
    <b:Year>2018</b:Year>
    <b:Author>
      <b:Author>
        <b:NameList>
          <b:Person>
            <b:Last>Vulnerable Children's Reform Unit</b:Last>
          </b:Person>
        </b:NameList>
      </b:Author>
    </b:Author>
    <b:RefOrder>1</b:RefOrder>
  </b:Source>
  <b:Source>
    <b:Tag>TWESWeb</b:Tag>
    <b:SourceType>InternetSite</b:SourceType>
    <b:Guid>{BC539971-FFA1-4A32-AA1B-DB5D996E49EC}</b:Guid>
    <b:Title>Time to Work Employment Service</b:Title>
    <b:Year>2020</b:Year>
    <b:Author>
      <b:Author>
        <b:Corporate>Department of Education, Skills and Employment</b:Corporate>
      </b:Author>
    </b:Author>
    <b:Month>January</b:Month>
    <b:YearAccessed>2020</b:YearAccessed>
    <b:MonthAccessed>March</b:MonthAccessed>
    <b:DayAccessed>17</b:DayAccessed>
    <b:URL>https://www.employment.gov.au/time-work-employment-service</b:URL>
    <b:RefOrder>1</b:RefOrder>
  </b:Source>
  <b:Source>
    <b:Tag>Cou16</b:Tag>
    <b:SourceType>Report</b:SourceType>
    <b:Guid>{188BEB8B-E9A6-4AC8-9C3F-C7ED3F7B01C0}</b:Guid>
    <b:Title>Prison to Work Report</b:Title>
    <b:Year>2016</b:Year>
    <b:Author>
      <b:Author>
        <b:Corporate>Council of Australian Governments</b:Corporate>
      </b:Author>
    </b:Author>
    <b:City>Australia</b:City>
    <b:RefOrder>2</b:RefOrder>
  </b:Source>
  <b:Source>
    <b:Tag>Vis11</b:Tag>
    <b:SourceType>JournalArticle</b:SourceType>
    <b:Guid>{0F448927-9B0A-47C7-AA0F-21E2CB1C1EF6}</b:Guid>
    <b:Title>Employment After Prison: A Longitudinal Study of Former Prisoners</b:Title>
    <b:Year>2011</b:Year>
    <b:Author>
      <b:Author>
        <b:NameList>
          <b:Person>
            <b:Last>Visher</b:Last>
            <b:Middle>A.</b:Middle>
            <b:First>Christy</b:First>
          </b:Person>
          <b:Person>
            <b:Last>Debus-Sherrill</b:Last>
            <b:Middle>A.</b:Middle>
            <b:First>Sara</b:First>
          </b:Person>
          <b:Person>
            <b:Last>Yahner</b:Last>
            <b:First>Jennifer</b:First>
          </b:Person>
        </b:NameList>
      </b:Author>
    </b:Author>
    <b:JournalName>Justice Quarterly</b:JournalName>
    <b:Pages>698-718</b:Pages>
    <b:RefOrder>3</b:RefOrder>
  </b:Source>
  <b:Source>
    <b:Tag>Mos12</b:Tag>
    <b:SourceType>JournalArticle</b:SourceType>
    <b:Guid>{2DB82D82-096C-478A-ACAA-AF966CDB1A01}</b:Guid>
    <b:Title>Ex-Offender Job Placement Programs Do Not Reduce Recidivism</b:Title>
    <b:JournalName>Corrections Today</b:JournalName>
    <b:Year>2012</b:Year>
    <b:Pages>106-108</b:Pages>
    <b:Author>
      <b:Author>
        <b:NameList>
          <b:Person>
            <b:Last>Moses</b:Last>
            <b:Middle>C.</b:Middle>
            <b:First>Marilyn</b:First>
          </b:Person>
        </b:NameList>
      </b:Author>
    </b:Author>
    <b:RefOrder>4</b:RefOrder>
  </b:Source>
  <b:Source>
    <b:Tag>PwC17</b:Tag>
    <b:SourceType>Report</b:SourceType>
    <b:Guid>{C8B44AF5-77A8-42A9-A20A-129B543060D1}</b:Guid>
    <b:Title>Indigenous incarceration: Unlock the facts</b:Title>
    <b:Year>2017</b:Year>
    <b:Author>
      <b:Author>
        <b:Corporate>PwC's Indigenous Consulting</b:Corporate>
      </b:Author>
    </b:Author>
    <b:Publisher>PwC</b:Publisher>
    <b:City>Melbourne</b:City>
    <b:RefOrder>5</b:RefOrder>
  </b:Source>
  <b:Source>
    <b:Tag>Que19</b:Tag>
    <b:SourceType>Report</b:SourceType>
    <b:Guid>{9DA14902-7208-4D1E-AEC1-7F274CB7B78E}</b:Guid>
    <b:Author>
      <b:Author>
        <b:Corporate>Queensland Productivity Commission</b:Corporate>
      </b:Author>
    </b:Author>
    <b:Title>Inquiry into Imprisonment and Recidivism - Draft Report</b:Title>
    <b:Year>2019</b:Year>
    <b:City>Brisbane</b:City>
    <b:RefOrder>6</b:RefOrder>
  </b:Source>
  <b:Source>
    <b:Tag>Bar10</b:Tag>
    <b:SourceType>Report</b:SourceType>
    <b:Guid>{E92357A4-E27F-4C61-8CC8-3B22B1FB1B17}</b:Guid>
    <b:Title>Diversion programs for Indigenous Women</b:Title>
    <b:Year>2010</b:Year>
    <b:Publisher>Australian Institute of Criminology</b:Publisher>
    <b:ThesisType>Research in Practice Report</b:ThesisType>
    <b:Author>
      <b:Author>
        <b:NameList>
          <b:Person>
            <b:Last>Bartels</b:Last>
            <b:First>Lorana</b:First>
          </b:Person>
        </b:NameList>
      </b:Author>
    </b:Author>
    <b:JournalName>Criminology Research Council</b:JournalName>
    <b:RefOrder>7</b:RefOrder>
  </b:Source>
  <b:Source>
    <b:Tag>Vis05</b:Tag>
    <b:SourceType>JournalArticle</b:SourceType>
    <b:Guid>{7A96688D-7BFD-468B-A59B-94FE836B25F0}</b:Guid>
    <b:Title>Ex-offender employment programs and recidivism: A meta-analysis</b:Title>
    <b:Year>2005</b:Year>
    <b:Author>
      <b:Author>
        <b:NameList>
          <b:Person>
            <b:Last>Visher</b:Last>
            <b:Middle>A.</b:Middle>
            <b:First>Christy</b:First>
          </b:Person>
          <b:Person>
            <b:Last>Winterfield</b:Last>
            <b:First>Laura</b:First>
          </b:Person>
          <b:Person>
            <b:Last>Coggeshall</b:Last>
            <b:Middle>B.</b:Middle>
            <b:First>Mark</b:First>
          </b:Person>
        </b:NameList>
      </b:Author>
    </b:Author>
    <b:JournalName>Journal of Experimental Criminology</b:JournalName>
    <b:Pages>295-315</b:Pages>
    <b:RefOrder>8</b:RefOrder>
  </b:Source>
  <b:Source>
    <b:Tag>Eva11</b:Tag>
    <b:SourceType>Report</b:SourceType>
    <b:Guid>{2BF3D02C-5B35-477E-9B3B-953FA4A5886F}</b:Guid>
    <b:Title>Aboriginal Justice Strategy Evaluation</b:Title>
    <b:Year>2011</b:Year>
    <b:Author>
      <b:Author>
        <b:Corporate>Evaluation Division, Office of Strategic Planning and Performance Management</b:Corporate>
      </b:Author>
    </b:Author>
    <b:Publisher>Department of Justice Canada</b:Publisher>
    <b:RefOrder>9</b:RefOrder>
  </b:Source>
  <b:Source>
    <b:Tag>Att13</b:Tag>
    <b:SourceType>Report</b:SourceType>
    <b:Guid>{836E0B10-764D-4855-ACF2-8F185717F640}</b:Guid>
    <b:Author>
      <b:Author>
        <b:Corporate>Attorney-General's Department</b:Corporate>
      </b:Author>
    </b:Author>
    <b:Title>Evaluation of Indigenous Justice Programs - Project B: Offender Support and Reintegration</b:Title>
    <b:Year>2013</b:Year>
    <b:Publisher>Cultural &amp; Indigenous Research Centre Australia</b:Publisher>
    <b:City>Sydney</b:City>
    <b:RefOrder>10</b:RefOrder>
  </b:Source>
  <b:Source>
    <b:Tag>Bid18</b:Tag>
    <b:SourceType>Misc</b:SourceType>
    <b:Guid>{209948E8-CE04-4F1A-AB5E-E90B56E13E0B}</b:Guid>
    <b:Title>Evaluation of jobhelp: Analysis of outcomes data</b:Title>
    <b:Year>2018</b:Year>
    <b:Publisher>Australian National University</b:Publisher>
    <b:City>Canberra</b:City>
    <b:PublicationTitle>ANU Centre for Social Research and Methods</b:PublicationTitle>
    <b:Author>
      <b:Author>
        <b:NameList>
          <b:Person>
            <b:Last>Biddle</b:Last>
            <b:First>Nicholas</b:First>
          </b:Person>
          <b:Person>
            <b:Last>Breunig</b:Last>
            <b:First>Robert</b:First>
          </b:Person>
        </b:NameList>
      </b:Author>
    </b:Author>
    <b:RefOrder>11</b:RefOrder>
  </b:Source>
  <b:Source>
    <b:Tag>Wil00</b:Tag>
    <b:SourceType>JournalArticle</b:SourceType>
    <b:Guid>{BDFC21D2-42C7-4311-AE04-C626125C09CA}</b:Guid>
    <b:Title>Meta-analysis of Corrections-Based Education, Vocation, and Work Programs for Adult Offenders</b:Title>
    <b:Year>2000</b:Year>
    <b:JournalName>Journal of Research in Crime and Delinquency</b:JournalName>
    <b:Pages>347-368</b:Pages>
    <b:Author>
      <b:Author>
        <b:NameList>
          <b:Person>
            <b:Last>Wilson</b:Last>
            <b:Middle>B.</b:Middle>
            <b:First>David</b:First>
          </b:Person>
          <b:Person>
            <b:Last>Gallagher</b:Last>
            <b:Middle>A.</b:Middle>
            <b:First>Catherine</b:First>
          </b:Person>
          <b:Person>
            <b:Last>MacKenzie</b:Last>
            <b:Middle>L.</b:Middle>
            <b:First>Doris</b:First>
          </b:Person>
        </b:NameList>
      </b:Author>
    </b:Author>
    <b:RefOrder>12</b:RefOrder>
  </b:Source>
  <b:Source>
    <b:Tag>Bon13</b:Tag>
    <b:SourceType>JournalArticle</b:SourceType>
    <b:Guid>{A23D7A20-BC4A-48C5-AEC4-A9E24087DCA3}</b:Guid>
    <b:Title>The Prediction of Recidivism with Aboriginal Offenders: A Theoretically Informed Meta-Analysis</b:Title>
    <b:JournalName>Canadian Journal of Criminology and Criminal Justice</b:JournalName>
    <b:Year>2013</b:Year>
    <b:Pages>55-99</b:Pages>
    <b:Author>
      <b:Author>
        <b:NameList>
          <b:Person>
            <b:Last>Bonta</b:Last>
            <b:First>James</b:First>
          </b:Person>
        </b:NameList>
      </b:Author>
    </b:Author>
    <b:RefOrder>13</b:RefOrder>
  </b:Source>
  <b:Source>
    <b:Tag>Wea09</b:Tag>
    <b:SourceType>JournalArticle</b:SourceType>
    <b:Guid>{474A99DC-7A5D-4605-84AB-78B9365BD45A}</b:Guid>
    <b:Title>Prison populations and correctional outlays: The effect of reducing re-imprisonment</b:Title>
    <b:JournalName>Crime and Justice</b:JournalName>
    <b:Year>2009</b:Year>
    <b:Author>
      <b:Author>
        <b:NameList>
          <b:Person>
            <b:Last>Weatherburn</b:Last>
            <b:First>Don</b:First>
          </b:Person>
          <b:Person>
            <b:Last>Froyland</b:Last>
            <b:First>Gary</b:First>
          </b:Person>
          <b:Person>
            <b:Last>Moffatt</b:Last>
            <b:First>Steve</b:First>
          </b:Person>
          <b:Person>
            <b:Last>Corben</b:Last>
            <b:First>Simon</b:First>
          </b:Person>
        </b:NameList>
      </b:Author>
    </b:Author>
    <b:RefOrder>14</b:RefOrder>
  </b:Source>
  <b:Source>
    <b:Tag>Off14</b:Tag>
    <b:SourceType>Report</b:SourceType>
    <b:Guid>{E5F14F00-445C-4474-8DD0-F4EB4AFD2032}</b:Guid>
    <b:Title>Recidivism rates and the impact of treatment programs</b:Title>
    <b:Year>2014</b:Year>
    <b:Author>
      <b:Author>
        <b:Corporate>Office of the Inspector of Custodial Services</b:Corporate>
      </b:Author>
    </b:Author>
    <b:Publisher>Government of Western Australia</b:Publisher>
    <b:City>Perth</b:City>
    <b:RefOrder>15</b:RefOrder>
  </b:Source>
  <b:Source>
    <b:Tag>Aus17</b:Tag>
    <b:SourceType>Report</b:SourceType>
    <b:Guid>{08813769-12C5-49EF-9317-C83A20B742A8}</b:Guid>
    <b:Author>
      <b:Author>
        <b:Corporate>Australian Law Reform Commission</b:Corporate>
      </b:Author>
    </b:Author>
    <b:Title>Pathways to Justice - Inquiry into the Incarceration Rate of Aboriginal and Torres Strait Islander Peoples</b:Title>
    <b:Year>2017</b:Year>
    <b:ThesisType>Final Report</b:ThesisType>
    <b:RefOrder>16</b:RefOrder>
  </b:Source>
  <b:Source>
    <b:Tag>Gri17</b:Tag>
    <b:SourceType>Report</b:SourceType>
    <b:Guid>{94C45296-39AA-41CC-A385-BDCEDD16E68F}</b:Guid>
    <b:Title>Evaluation of ACT Extended Throughcare Pilot Program</b:Title>
    <b:Year>2017</b:Year>
    <b:Publisher>Social Policy Research Centre</b:Publisher>
    <b:City>Sydney</b:City>
    <b:Author>
      <b:Author>
        <b:NameList>
          <b:Person>
            <b:Last>Griffiths</b:Last>
            <b:First>Andrew</b:First>
          </b:Person>
          <b:Person>
            <b:Last>Zmudzki</b:Last>
            <b:First>Fredrick</b:First>
          </b:Person>
          <b:Person>
            <b:Last>Bates</b:Last>
            <b:First>Shona</b:First>
          </b:Person>
        </b:NameList>
      </b:Author>
    </b:Author>
    <b:RefOrder>17</b:RefOrder>
  </b:Source>
  <b:Source>
    <b:Tag>Day19</b:Tag>
    <b:SourceType>Report</b:SourceType>
    <b:Guid>{B811A1C4-3E94-44CF-8EA3-2C3E19AEA1EB}</b:Guid>
    <b:Title>Towards effective throughcare approaches for Indigenous people leaving prison in Australia and New Zealand</b:Title>
    <b:Year>2019</b:Year>
    <b:Publisher>Indigenous Justice Clearinghouse</b:Publisher>
    <b:Author>
      <b:Author>
        <b:NameList>
          <b:Person>
            <b:Last>Day</b:Last>
            <b:First>Andrew</b:First>
          </b:Person>
          <b:Person>
            <b:Last>Geia</b:Last>
            <b:First>Lynore</b:First>
          </b:Person>
          <b:Person>
            <b:Last>Tamatea</b:Last>
            <b:First>Armon</b:First>
          </b:Person>
        </b:NameList>
      </b:Author>
    </b:Author>
    <b:JournalName>Indigenous </b:JournalName>
    <b:RefOrder>18</b:RefOrder>
  </b:Source>
  <b:Source>
    <b:Tag>Ugg01</b:Tag>
    <b:SourceType>JournalArticle</b:SourceType>
    <b:Guid>{183B8607-6510-4D59-8050-32144E0B00B6}</b:Guid>
    <b:Title>Work as a Turning Point for Criminal Offenders</b:Title>
    <b:Year>2001</b:Year>
    <b:Publisher>Corrections </b:Publisher>
    <b:Author>
      <b:Author>
        <b:NameList>
          <b:Person>
            <b:Last>Uggen</b:Last>
            <b:First>Christopher</b:First>
          </b:Person>
          <b:Person>
            <b:Last>Staff</b:Last>
            <b:First>Jeremy</b:First>
          </b:Person>
        </b:NameList>
      </b:Author>
    </b:Author>
    <b:JournalName>Corrections Management Quarterly</b:JournalName>
    <b:Pages>1-16</b:Pages>
    <b:RefOrder>19</b:RefOrder>
  </b:Source>
  <b:Source>
    <b:Tag>Bea03</b:Tag>
    <b:SourceType>Report</b:SourceType>
    <b:Guid>{6BD52FE1-6D1A-43A6-A002-6876262DD880}</b:Guid>
    <b:Author>
      <b:Author>
        <b:Corporate>Bearing point</b:Corporate>
      </b:Author>
    </b:Author>
    <b:Title>The review of education and training provision in Victorian prisons - The Way Forward</b:Title>
    <b:Year>2003</b:Year>
    <b:Publisher>BearingPoint</b:Publisher>
    <b:City>Melbourne</b:City>
    <b:ThesisType>Final Report</b:ThesisType>
    <b:RefOrder>20</b:RefOrder>
  </b:Source>
  <b:Source>
    <b:Tag>Gra12</b:Tag>
    <b:SourceType>Report</b:SourceType>
    <b:Guid>{E1E565A7-2F9E-49A6-AA42-6D003AE9413F}</b:Guid>
    <b:Title>Strategies to enhance employment of Indigenous ex-offenders after release from correctional institutions</b:Title>
    <b:JournalName>Closing the gap clearinghouse</b:JournalName>
    <b:Year>2012</b:Year>
    <b:Author>
      <b:Author>
        <b:NameList>
          <b:Person>
            <b:Last>Graffam</b:Last>
            <b:First>Joseph</b:First>
          </b:Person>
          <b:Person>
            <b:Last>Shinkfield</b:Last>
            <b:First>Alison</b:First>
          </b:Person>
        </b:NameList>
      </b:Author>
    </b:Author>
    <b:Publisher>Closing the gap clearinghouse</b:Publisher>
    <b:ThesisType>Resource Sheet no.11</b:ThesisType>
    <b:RefOrder>21</b:RefOrder>
  </b:Source>
  <b:Source>
    <b:Tag>Bid14</b:Tag>
    <b:SourceType>Report</b:SourceType>
    <b:Guid>{C210AEAD-EDC4-46A2-A568-B1D5065AB51D}</b:Guid>
    <b:Title>Effectiveness of traineeships and apprenticeships for the Aboriginal and Torres Strait Islander population</b:Title>
    <b:Year>2014</b:Year>
    <b:Publisher>Closing the gap clearinghouse</b:Publisher>
    <b:ThesisType>Resource Sheet No. 31</b:ThesisType>
    <b:JournalName>Closing the gap Clearinghouse</b:JournalName>
    <b:Author>
      <b:Author>
        <b:NameList>
          <b:Person>
            <b:Last>Biddle</b:Last>
            <b:First>Nicholas</b:First>
          </b:Person>
          <b:Person>
            <b:Last>Brennan</b:Last>
            <b:First>Clare</b:First>
          </b:Person>
          <b:Person>
            <b:Last>Yap</b:Last>
            <b:First>Mandy</b:First>
          </b:Person>
        </b:NameList>
      </b:Author>
    </b:Author>
    <b:RefOrder>22</b:RefOrder>
  </b:Source>
  <b:Source>
    <b:Tag>Ber10</b:Tag>
    <b:SourceType>Report</b:SourceType>
    <b:Guid>{D180FF3F-2441-455C-A0D1-C2BAEF7D6A1D}</b:Guid>
    <b:Title>Reducing Indigenous Contact with the Court System</b:Title>
    <b:Year>2010</b:Year>
    <b:Publisher>Crime and Justice Statistics</b:Publisher>
    <b:ThesisType>Issue paper no. 54</b:ThesisType>
    <b:Author>
      <b:Author>
        <b:NameList>
          <b:Person>
            <b:Last>Beranger</b:Last>
            <b:First>Boris</b:First>
          </b:Person>
          <b:Person>
            <b:Last>Weatherburn</b:Last>
            <b:First>Don</b:First>
          </b:Person>
          <b:Person>
            <b:Last>Moffatt</b:Last>
            <b:First>Steve</b:First>
          </b:Person>
        </b:NameList>
      </b:Author>
    </b:Author>
    <b:RefOrder>23</b:RefOrder>
  </b:Source>
  <b:Source>
    <b:Tag>Roy91</b:Tag>
    <b:SourceType>Report</b:SourceType>
    <b:Guid>{B8F0CDB1-CB85-41F1-BDC9-C363A3E65BBC}</b:Guid>
    <b:Author>
      <b:Author>
        <b:Corporate>Royal Commission into Aboriginal Deaths in Custody</b:Corporate>
      </b:Author>
    </b:Author>
    <b:Title>National Report - Royal Commission into Aboriginal Deaths in Custody</b:Title>
    <b:Year>1991</b:Year>
    <b:RefOrder>24</b:RefOrder>
  </b:Source>
</b:Sources>
</file>

<file path=customXml/itemProps1.xml><?xml version="1.0" encoding="utf-8"?>
<ds:datastoreItem xmlns:ds="http://schemas.openxmlformats.org/officeDocument/2006/customXml" ds:itemID="{FDE9CAA0-28C0-47FD-A68D-90B29B71E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71DF55-9698-4AF6-B23E-5773E2A0647E}">
  <ds:schemaRefs>
    <ds:schemaRef ds:uri="http://schemas.microsoft.com/office/2006/metadata/properties"/>
    <ds:schemaRef ds:uri="http://schemas.microsoft.com/office/infopath/2007/PartnerControls"/>
    <ds:schemaRef ds:uri="685f9fda-bd71-4433-b331-92feb9553089"/>
    <ds:schemaRef ds:uri="166541c0-0594-4e6a-9105-c24d4b6de6f7"/>
  </ds:schemaRefs>
</ds:datastoreItem>
</file>

<file path=customXml/itemProps3.xml><?xml version="1.0" encoding="utf-8"?>
<ds:datastoreItem xmlns:ds="http://schemas.openxmlformats.org/officeDocument/2006/customXml" ds:itemID="{57049B2A-6ADF-4C3B-B25F-95B6A2C540B1}">
  <ds:schemaRefs>
    <ds:schemaRef ds:uri="http://schemas.microsoft.com/sharepoint/v3/contenttype/forms"/>
  </ds:schemaRefs>
</ds:datastoreItem>
</file>

<file path=customXml/itemProps4.xml><?xml version="1.0" encoding="utf-8"?>
<ds:datastoreItem xmlns:ds="http://schemas.openxmlformats.org/officeDocument/2006/customXml" ds:itemID="{E946C0F2-C122-46A9-ACCD-00E006DC8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23161</Words>
  <Characters>132019</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020721 TWES Evaluation Report</vt:lpstr>
    </vt:vector>
  </TitlesOfParts>
  <Company>SVA</Company>
  <LinksUpToDate>false</LinksUpToDate>
  <CharactersWithSpaces>154871</CharactersWithSpaces>
  <SharedDoc>false</SharedDoc>
  <HLinks>
    <vt:vector size="174" baseType="variant">
      <vt:variant>
        <vt:i4>2031645</vt:i4>
      </vt:variant>
      <vt:variant>
        <vt:i4>345</vt:i4>
      </vt:variant>
      <vt:variant>
        <vt:i4>0</vt:i4>
      </vt:variant>
      <vt:variant>
        <vt:i4>5</vt:i4>
      </vt:variant>
      <vt:variant>
        <vt:lpwstr>https://www.linkedin.com/in/ralph-mogridge-986583121/</vt:lpwstr>
      </vt:variant>
      <vt:variant>
        <vt:lpwstr/>
      </vt:variant>
      <vt:variant>
        <vt:i4>5701648</vt:i4>
      </vt:variant>
      <vt:variant>
        <vt:i4>342</vt:i4>
      </vt:variant>
      <vt:variant>
        <vt:i4>0</vt:i4>
      </vt:variant>
      <vt:variant>
        <vt:i4>5</vt:i4>
      </vt:variant>
      <vt:variant>
        <vt:lpwstr>https://www.linkedin.com/in/jayde-geia-b8731181/</vt:lpwstr>
      </vt:variant>
      <vt:variant>
        <vt:lpwstr/>
      </vt:variant>
      <vt:variant>
        <vt:i4>6946870</vt:i4>
      </vt:variant>
      <vt:variant>
        <vt:i4>339</vt:i4>
      </vt:variant>
      <vt:variant>
        <vt:i4>0</vt:i4>
      </vt:variant>
      <vt:variant>
        <vt:i4>5</vt:i4>
      </vt:variant>
      <vt:variant>
        <vt:lpwstr>https://www.linkedin.com/in/sorrell-ashby/</vt:lpwstr>
      </vt:variant>
      <vt:variant>
        <vt:lpwstr/>
      </vt:variant>
      <vt:variant>
        <vt:i4>4390927</vt:i4>
      </vt:variant>
      <vt:variant>
        <vt:i4>336</vt:i4>
      </vt:variant>
      <vt:variant>
        <vt:i4>0</vt:i4>
      </vt:variant>
      <vt:variant>
        <vt:i4>5</vt:i4>
      </vt:variant>
      <vt:variant>
        <vt:lpwstr>https://csrm.cass.anu.edu.au/people/professor-nicholas-biddle</vt:lpwstr>
      </vt:variant>
      <vt:variant>
        <vt:lpwstr/>
      </vt:variant>
      <vt:variant>
        <vt:i4>524353</vt:i4>
      </vt:variant>
      <vt:variant>
        <vt:i4>333</vt:i4>
      </vt:variant>
      <vt:variant>
        <vt:i4>0</vt:i4>
      </vt:variant>
      <vt:variant>
        <vt:i4>5</vt:i4>
      </vt:variant>
      <vt:variant>
        <vt:lpwstr>https://www.karenmilward.com.au/</vt:lpwstr>
      </vt:variant>
      <vt:variant>
        <vt:lpwstr/>
      </vt:variant>
      <vt:variant>
        <vt:i4>4718661</vt:i4>
      </vt:variant>
      <vt:variant>
        <vt:i4>330</vt:i4>
      </vt:variant>
      <vt:variant>
        <vt:i4>0</vt:i4>
      </vt:variant>
      <vt:variant>
        <vt:i4>5</vt:i4>
      </vt:variant>
      <vt:variant>
        <vt:lpwstr>http://www.socialventures.com.au/</vt:lpwstr>
      </vt:variant>
      <vt:variant>
        <vt:lpwstr/>
      </vt:variant>
      <vt:variant>
        <vt:i4>4128800</vt:i4>
      </vt:variant>
      <vt:variant>
        <vt:i4>282</vt:i4>
      </vt:variant>
      <vt:variant>
        <vt:i4>0</vt:i4>
      </vt:variant>
      <vt:variant>
        <vt:i4>5</vt:i4>
      </vt:variant>
      <vt:variant>
        <vt:lpwstr/>
      </vt:variant>
      <vt:variant>
        <vt:lpwstr>bookmark21</vt:lpwstr>
      </vt:variant>
      <vt:variant>
        <vt:i4>3801120</vt:i4>
      </vt:variant>
      <vt:variant>
        <vt:i4>261</vt:i4>
      </vt:variant>
      <vt:variant>
        <vt:i4>0</vt:i4>
      </vt:variant>
      <vt:variant>
        <vt:i4>5</vt:i4>
      </vt:variant>
      <vt:variant>
        <vt:lpwstr/>
      </vt:variant>
      <vt:variant>
        <vt:lpwstr>bookmark24</vt:lpwstr>
      </vt:variant>
      <vt:variant>
        <vt:i4>4128803</vt:i4>
      </vt:variant>
      <vt:variant>
        <vt:i4>129</vt:i4>
      </vt:variant>
      <vt:variant>
        <vt:i4>0</vt:i4>
      </vt:variant>
      <vt:variant>
        <vt:i4>5</vt:i4>
      </vt:variant>
      <vt:variant>
        <vt:lpwstr/>
      </vt:variant>
      <vt:variant>
        <vt:lpwstr>bookmark11</vt:lpwstr>
      </vt:variant>
      <vt:variant>
        <vt:i4>4063267</vt:i4>
      </vt:variant>
      <vt:variant>
        <vt:i4>120</vt:i4>
      </vt:variant>
      <vt:variant>
        <vt:i4>0</vt:i4>
      </vt:variant>
      <vt:variant>
        <vt:i4>5</vt:i4>
      </vt:variant>
      <vt:variant>
        <vt:lpwstr/>
      </vt:variant>
      <vt:variant>
        <vt:lpwstr>bookmark10</vt:lpwstr>
      </vt:variant>
      <vt:variant>
        <vt:i4>1900592</vt:i4>
      </vt:variant>
      <vt:variant>
        <vt:i4>65</vt:i4>
      </vt:variant>
      <vt:variant>
        <vt:i4>0</vt:i4>
      </vt:variant>
      <vt:variant>
        <vt:i4>5</vt:i4>
      </vt:variant>
      <vt:variant>
        <vt:lpwstr/>
      </vt:variant>
      <vt:variant>
        <vt:lpwstr>_Toc74929579</vt:lpwstr>
      </vt:variant>
      <vt:variant>
        <vt:i4>1835056</vt:i4>
      </vt:variant>
      <vt:variant>
        <vt:i4>59</vt:i4>
      </vt:variant>
      <vt:variant>
        <vt:i4>0</vt:i4>
      </vt:variant>
      <vt:variant>
        <vt:i4>5</vt:i4>
      </vt:variant>
      <vt:variant>
        <vt:lpwstr/>
      </vt:variant>
      <vt:variant>
        <vt:lpwstr>_Toc74929578</vt:lpwstr>
      </vt:variant>
      <vt:variant>
        <vt:i4>1245232</vt:i4>
      </vt:variant>
      <vt:variant>
        <vt:i4>53</vt:i4>
      </vt:variant>
      <vt:variant>
        <vt:i4>0</vt:i4>
      </vt:variant>
      <vt:variant>
        <vt:i4>5</vt:i4>
      </vt:variant>
      <vt:variant>
        <vt:lpwstr/>
      </vt:variant>
      <vt:variant>
        <vt:lpwstr>_Toc74929577</vt:lpwstr>
      </vt:variant>
      <vt:variant>
        <vt:i4>1179696</vt:i4>
      </vt:variant>
      <vt:variant>
        <vt:i4>47</vt:i4>
      </vt:variant>
      <vt:variant>
        <vt:i4>0</vt:i4>
      </vt:variant>
      <vt:variant>
        <vt:i4>5</vt:i4>
      </vt:variant>
      <vt:variant>
        <vt:lpwstr/>
      </vt:variant>
      <vt:variant>
        <vt:lpwstr>_Toc74929576</vt:lpwstr>
      </vt:variant>
      <vt:variant>
        <vt:i4>1114160</vt:i4>
      </vt:variant>
      <vt:variant>
        <vt:i4>41</vt:i4>
      </vt:variant>
      <vt:variant>
        <vt:i4>0</vt:i4>
      </vt:variant>
      <vt:variant>
        <vt:i4>5</vt:i4>
      </vt:variant>
      <vt:variant>
        <vt:lpwstr/>
      </vt:variant>
      <vt:variant>
        <vt:lpwstr>_Toc74929575</vt:lpwstr>
      </vt:variant>
      <vt:variant>
        <vt:i4>1048624</vt:i4>
      </vt:variant>
      <vt:variant>
        <vt:i4>35</vt:i4>
      </vt:variant>
      <vt:variant>
        <vt:i4>0</vt:i4>
      </vt:variant>
      <vt:variant>
        <vt:i4>5</vt:i4>
      </vt:variant>
      <vt:variant>
        <vt:lpwstr/>
      </vt:variant>
      <vt:variant>
        <vt:lpwstr>_Toc74929574</vt:lpwstr>
      </vt:variant>
      <vt:variant>
        <vt:i4>1507376</vt:i4>
      </vt:variant>
      <vt:variant>
        <vt:i4>29</vt:i4>
      </vt:variant>
      <vt:variant>
        <vt:i4>0</vt:i4>
      </vt:variant>
      <vt:variant>
        <vt:i4>5</vt:i4>
      </vt:variant>
      <vt:variant>
        <vt:lpwstr/>
      </vt:variant>
      <vt:variant>
        <vt:lpwstr>_Toc74929573</vt:lpwstr>
      </vt:variant>
      <vt:variant>
        <vt:i4>1441840</vt:i4>
      </vt:variant>
      <vt:variant>
        <vt:i4>23</vt:i4>
      </vt:variant>
      <vt:variant>
        <vt:i4>0</vt:i4>
      </vt:variant>
      <vt:variant>
        <vt:i4>5</vt:i4>
      </vt:variant>
      <vt:variant>
        <vt:lpwstr/>
      </vt:variant>
      <vt:variant>
        <vt:lpwstr>_Toc74929572</vt:lpwstr>
      </vt:variant>
      <vt:variant>
        <vt:i4>1376304</vt:i4>
      </vt:variant>
      <vt:variant>
        <vt:i4>17</vt:i4>
      </vt:variant>
      <vt:variant>
        <vt:i4>0</vt:i4>
      </vt:variant>
      <vt:variant>
        <vt:i4>5</vt:i4>
      </vt:variant>
      <vt:variant>
        <vt:lpwstr/>
      </vt:variant>
      <vt:variant>
        <vt:lpwstr>_Toc74929571</vt:lpwstr>
      </vt:variant>
      <vt:variant>
        <vt:i4>1310768</vt:i4>
      </vt:variant>
      <vt:variant>
        <vt:i4>11</vt:i4>
      </vt:variant>
      <vt:variant>
        <vt:i4>0</vt:i4>
      </vt:variant>
      <vt:variant>
        <vt:i4>5</vt:i4>
      </vt:variant>
      <vt:variant>
        <vt:lpwstr/>
      </vt:variant>
      <vt:variant>
        <vt:lpwstr>_Toc74929570</vt:lpwstr>
      </vt:variant>
      <vt:variant>
        <vt:i4>1900593</vt:i4>
      </vt:variant>
      <vt:variant>
        <vt:i4>5</vt:i4>
      </vt:variant>
      <vt:variant>
        <vt:i4>0</vt:i4>
      </vt:variant>
      <vt:variant>
        <vt:i4>5</vt:i4>
      </vt:variant>
      <vt:variant>
        <vt:lpwstr/>
      </vt:variant>
      <vt:variant>
        <vt:lpwstr>_Toc74929569</vt:lpwstr>
      </vt:variant>
      <vt:variant>
        <vt:i4>5570594</vt:i4>
      </vt:variant>
      <vt:variant>
        <vt:i4>12</vt:i4>
      </vt:variant>
      <vt:variant>
        <vt:i4>0</vt:i4>
      </vt:variant>
      <vt:variant>
        <vt:i4>5</vt:i4>
      </vt:variant>
      <vt:variant>
        <vt:lpwstr>mailto:consulting@socialventures.com.au</vt:lpwstr>
      </vt:variant>
      <vt:variant>
        <vt:lpwstr/>
      </vt:variant>
      <vt:variant>
        <vt:i4>5570594</vt:i4>
      </vt:variant>
      <vt:variant>
        <vt:i4>6</vt:i4>
      </vt:variant>
      <vt:variant>
        <vt:i4>0</vt:i4>
      </vt:variant>
      <vt:variant>
        <vt:i4>5</vt:i4>
      </vt:variant>
      <vt:variant>
        <vt:lpwstr>mailto:consulting@socialventures.com.au</vt:lpwstr>
      </vt:variant>
      <vt:variant>
        <vt:lpwstr/>
      </vt:variant>
      <vt:variant>
        <vt:i4>5570594</vt:i4>
      </vt:variant>
      <vt:variant>
        <vt:i4>0</vt:i4>
      </vt:variant>
      <vt:variant>
        <vt:i4>0</vt:i4>
      </vt:variant>
      <vt:variant>
        <vt:i4>5</vt:i4>
      </vt:variant>
      <vt:variant>
        <vt:lpwstr>mailto:consulting@socialventures.com.au</vt:lpwstr>
      </vt:variant>
      <vt:variant>
        <vt:lpwstr/>
      </vt:variant>
      <vt:variant>
        <vt:i4>3932247</vt:i4>
      </vt:variant>
      <vt:variant>
        <vt:i4>12</vt:i4>
      </vt:variant>
      <vt:variant>
        <vt:i4>0</vt:i4>
      </vt:variant>
      <vt:variant>
        <vt:i4>5</vt:i4>
      </vt:variant>
      <vt:variant>
        <vt:lpwstr>mailto:droy@socialventures.com.au</vt:lpwstr>
      </vt:variant>
      <vt:variant>
        <vt:lpwstr/>
      </vt:variant>
      <vt:variant>
        <vt:i4>3932247</vt:i4>
      </vt:variant>
      <vt:variant>
        <vt:i4>9</vt:i4>
      </vt:variant>
      <vt:variant>
        <vt:i4>0</vt:i4>
      </vt:variant>
      <vt:variant>
        <vt:i4>5</vt:i4>
      </vt:variant>
      <vt:variant>
        <vt:lpwstr>mailto:droy@socialventures.com.au</vt:lpwstr>
      </vt:variant>
      <vt:variant>
        <vt:lpwstr/>
      </vt:variant>
      <vt:variant>
        <vt:i4>3932247</vt:i4>
      </vt:variant>
      <vt:variant>
        <vt:i4>6</vt:i4>
      </vt:variant>
      <vt:variant>
        <vt:i4>0</vt:i4>
      </vt:variant>
      <vt:variant>
        <vt:i4>5</vt:i4>
      </vt:variant>
      <vt:variant>
        <vt:lpwstr>mailto:droy@socialventures.com.au</vt:lpwstr>
      </vt:variant>
      <vt:variant>
        <vt:lpwstr/>
      </vt:variant>
      <vt:variant>
        <vt:i4>3932247</vt:i4>
      </vt:variant>
      <vt:variant>
        <vt:i4>3</vt:i4>
      </vt:variant>
      <vt:variant>
        <vt:i4>0</vt:i4>
      </vt:variant>
      <vt:variant>
        <vt:i4>5</vt:i4>
      </vt:variant>
      <vt:variant>
        <vt:lpwstr>mailto:droy@socialventures.com.au</vt:lpwstr>
      </vt:variant>
      <vt:variant>
        <vt:lpwstr/>
      </vt:variant>
      <vt:variant>
        <vt:i4>3932247</vt:i4>
      </vt:variant>
      <vt:variant>
        <vt:i4>0</vt:i4>
      </vt:variant>
      <vt:variant>
        <vt:i4>0</vt:i4>
      </vt:variant>
      <vt:variant>
        <vt:i4>5</vt:i4>
      </vt:variant>
      <vt:variant>
        <vt:lpwstr>mailto:droy@socialventures.com.au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Time to Work Employment Service</dc:title>
  <dc:subject/>
  <dc:creator>jfinighan@socialventures.com.au;jlouden@socialventures.com.au;droy@socialventures.com.au;SFaivel@socialventures.com.au</dc:creator>
  <cp:keywords/>
  <dc:description/>
  <cp:lastModifiedBy>Carnovale, Nick</cp:lastModifiedBy>
  <cp:revision>3</cp:revision>
  <cp:lastPrinted>2021-06-21T13:44:00Z</cp:lastPrinted>
  <dcterms:created xsi:type="dcterms:W3CDTF">2021-12-16T01:24:00Z</dcterms:created>
  <dcterms:modified xsi:type="dcterms:W3CDTF">2021-12-16T01:24:00Z</dcterms:modified>
  <cp:category>Reporting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Name">
    <vt:lpwstr>Company Name</vt:lpwstr>
  </property>
  <property fmtid="{D5CDD505-2E9C-101B-9397-08002B2CF9AE}" pid="3" name="Phone">
    <vt:lpwstr>Telephone</vt:lpwstr>
  </property>
  <property fmtid="{D5CDD505-2E9C-101B-9397-08002B2CF9AE}" pid="4" name="URL">
    <vt:lpwstr>Web address</vt:lpwstr>
  </property>
  <property fmtid="{D5CDD505-2E9C-101B-9397-08002B2CF9AE}" pid="5" name="ContentTypeId">
    <vt:lpwstr>0x0101002825A64A6E1845A99A9D8EE8A5686ECB009B58D7D72C3ED54C851955501673F8AC</vt:lpwstr>
  </property>
  <property fmtid="{D5CDD505-2E9C-101B-9397-08002B2CF9AE}" pid="6" name="Topic">
    <vt:lpwstr>45;#Templates|2aca8c9b-8b19-4796-bff0-42c162b70e5e</vt:lpwstr>
  </property>
  <property fmtid="{D5CDD505-2E9C-101B-9397-08002B2CF9AE}" pid="7" name="Marketing topic">
    <vt:lpwstr/>
  </property>
  <property fmtid="{D5CDD505-2E9C-101B-9397-08002B2CF9AE}" pid="8" name="Department">
    <vt:lpwstr>8;#Marketing Materials|b67e5859-8e34-4a7d-b041-84ecbc8d6000</vt:lpwstr>
  </property>
  <property fmtid="{D5CDD505-2E9C-101B-9397-08002B2CF9AE}" pid="9" name="Sub topic">
    <vt:lpwstr/>
  </property>
  <property fmtid="{D5CDD505-2E9C-101B-9397-08002B2CF9AE}" pid="10" name="Document Type">
    <vt:lpwstr>24;#Template|4a8052d2-41ad-41dd-8c0d-6bf597d4dafa</vt:lpwstr>
  </property>
  <property fmtid="{D5CDD505-2E9C-101B-9397-08002B2CF9AE}" pid="11" name="AuthorIds_UIVersion_13">
    <vt:lpwstr>28353</vt:lpwstr>
  </property>
  <property fmtid="{D5CDD505-2E9C-101B-9397-08002B2CF9AE}" pid="12" name="AuthorIds_UIVersion_2">
    <vt:lpwstr>28353</vt:lpwstr>
  </property>
  <property fmtid="{D5CDD505-2E9C-101B-9397-08002B2CF9AE}" pid="13" name="ESearchTags">
    <vt:lpwstr>29;#Training|2f396fb6-baad-479d-8254-1550153bbe31;#30;#Meeting Minute|ad799f49-bdf8-4ec2-bcb1-44d38b617948;#39;#Election|4090d51f-fccc-4f41-80dd-86270166a8a3;#62;#COVID-19|c1da604a-829f-435b-844b-fd97e09d1455;#18;#Cabinet|84cba657-17c1-4642-9e59-a0df180c2</vt:lpwstr>
  </property>
  <property fmtid="{D5CDD505-2E9C-101B-9397-08002B2CF9AE}" pid="14" name="HPRMSecurityCaveat">
    <vt:lpwstr/>
  </property>
  <property fmtid="{D5CDD505-2E9C-101B-9397-08002B2CF9AE}" pid="15" name="HPRMSecurityLevel">
    <vt:lpwstr>57;#OFFICIAL|11463c70-78df-4e3b-b0ff-f66cd3cb26ec</vt:lpwstr>
  </property>
  <property fmtid="{D5CDD505-2E9C-101B-9397-08002B2CF9AE}" pid="16" name="PMC.ESearch.TagGeneratedTime">
    <vt:lpwstr>2021-11-10T15:13:59</vt:lpwstr>
  </property>
</Properties>
</file>