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2C" w:rsidRPr="00345364" w:rsidRDefault="00CF572C" w:rsidP="003C27D8">
      <w:pPr>
        <w:pStyle w:val="Title"/>
      </w:pPr>
      <w:bookmarkStart w:id="0" w:name="_Toc305675524"/>
      <w:bookmarkStart w:id="1" w:name="_GoBack"/>
      <w:bookmarkEnd w:id="1"/>
      <w:r w:rsidRPr="00345364">
        <w:t>Data Collection</w:t>
      </w:r>
      <w:r w:rsidR="007D02CD">
        <w:t xml:space="preserve"> </w:t>
      </w:r>
      <w:r w:rsidR="007D02CD" w:rsidRPr="00345364">
        <w:t>(</w:t>
      </w:r>
      <w:r w:rsidR="007D02CD">
        <w:t>2005</w:t>
      </w:r>
      <w:r w:rsidR="007D02CD">
        <w:noBreakHyphen/>
      </w:r>
      <w:r w:rsidR="007D02CD" w:rsidRPr="00345364">
        <w:t>2007)</w:t>
      </w:r>
      <w:r w:rsidRPr="00345364">
        <w:t xml:space="preserve"> for the Petrol Sniffing Prevention Program: A Report for the Commonwealth Department of Health and Ageing: Report Summary</w:t>
      </w:r>
      <w:bookmarkEnd w:id="0"/>
    </w:p>
    <w:p w:rsidR="00CF572C" w:rsidRPr="003A028B" w:rsidRDefault="00CF572C" w:rsidP="00CF572C"/>
    <w:p w:rsidR="00CF572C" w:rsidRPr="00345364" w:rsidRDefault="00CF572C" w:rsidP="003C27D8">
      <w:pPr>
        <w:pStyle w:val="Heading1"/>
        <w:numPr>
          <w:ilvl w:val="0"/>
          <w:numId w:val="0"/>
        </w:numPr>
      </w:pPr>
      <w:r w:rsidRPr="00345364">
        <w:t xml:space="preserve">Introduction </w:t>
      </w:r>
    </w:p>
    <w:p w:rsidR="00CF572C" w:rsidRPr="00345364" w:rsidRDefault="00CF572C" w:rsidP="00CF572C">
      <w:r w:rsidRPr="00345364">
        <w:t xml:space="preserve">The Data Collection for the Petrol Sniffing Prevention Program report undertaken by James Cook University intended to meet the following objectives: </w:t>
      </w:r>
    </w:p>
    <w:p w:rsidR="00CF572C" w:rsidRPr="00345364" w:rsidRDefault="00CF572C" w:rsidP="00CF572C">
      <w:pPr>
        <w:pStyle w:val="ListParagraph"/>
        <w:numPr>
          <w:ilvl w:val="0"/>
          <w:numId w:val="1"/>
        </w:numPr>
        <w:spacing w:before="0"/>
      </w:pPr>
      <w:r w:rsidRPr="00345364">
        <w:t xml:space="preserve">formulate a set of indicators for use as a minimum dataset in monitoring petrol sniffing prevalence and effects; </w:t>
      </w:r>
    </w:p>
    <w:p w:rsidR="00CF572C" w:rsidRPr="00345364" w:rsidRDefault="00CF572C" w:rsidP="00CF572C">
      <w:pPr>
        <w:pStyle w:val="ListParagraph"/>
        <w:numPr>
          <w:ilvl w:val="0"/>
          <w:numId w:val="1"/>
        </w:numPr>
        <w:spacing w:before="0"/>
      </w:pPr>
      <w:r w:rsidRPr="00345364">
        <w:t xml:space="preserve">to use these indicators to collect ‘baseline’ health and social outcomes data relating to petrol sniffing in 74 remote Indigenous communities throughout Australia that have begun using Opal fuel; and </w:t>
      </w:r>
    </w:p>
    <w:p w:rsidR="00CF572C" w:rsidRPr="00345364" w:rsidRDefault="00CF572C" w:rsidP="00CF572C">
      <w:pPr>
        <w:pStyle w:val="ListParagraph"/>
        <w:numPr>
          <w:ilvl w:val="0"/>
          <w:numId w:val="1"/>
        </w:numPr>
        <w:spacing w:before="0"/>
      </w:pPr>
      <w:r w:rsidRPr="00345364">
        <w:t xml:space="preserve">make recommendations relating to ongoing future monitoring of the impact of Opal fuel. </w:t>
      </w:r>
    </w:p>
    <w:p w:rsidR="00CF572C" w:rsidRPr="000F1D1C" w:rsidRDefault="00CF572C" w:rsidP="00CF572C">
      <w:pPr>
        <w:autoSpaceDE w:val="0"/>
        <w:autoSpaceDN w:val="0"/>
        <w:adjustRightInd w:val="0"/>
        <w:spacing w:before="0"/>
        <w:rPr>
          <w:color w:val="000000"/>
          <w:szCs w:val="24"/>
        </w:rPr>
      </w:pPr>
    </w:p>
    <w:p w:rsidR="00CF572C" w:rsidRPr="00345364" w:rsidRDefault="00CF572C" w:rsidP="003C27D8">
      <w:pPr>
        <w:pStyle w:val="Heading1"/>
        <w:numPr>
          <w:ilvl w:val="0"/>
          <w:numId w:val="0"/>
        </w:numPr>
      </w:pPr>
      <w:r w:rsidRPr="00345364">
        <w:t xml:space="preserve">Background </w:t>
      </w:r>
    </w:p>
    <w:p w:rsidR="00CF572C" w:rsidRPr="000F1D1C" w:rsidRDefault="00CF572C" w:rsidP="00CF572C">
      <w:pPr>
        <w:autoSpaceDE w:val="0"/>
        <w:autoSpaceDN w:val="0"/>
        <w:adjustRightInd w:val="0"/>
        <w:rPr>
          <w:color w:val="000000"/>
          <w:szCs w:val="24"/>
        </w:rPr>
      </w:pPr>
      <w:r w:rsidRPr="000F1D1C">
        <w:rPr>
          <w:color w:val="000000"/>
          <w:szCs w:val="24"/>
        </w:rPr>
        <w:t xml:space="preserve">The Petrol Sniffing Prevention Program (PSPP) administered by the Department of Health and Ageing (DoHA) includes the provision of subsidised </w:t>
      </w:r>
      <w:r w:rsidRPr="000F1D1C">
        <w:rPr>
          <w:i/>
          <w:iCs/>
          <w:color w:val="000000"/>
          <w:szCs w:val="24"/>
        </w:rPr>
        <w:t>Opal</w:t>
      </w:r>
      <w:r w:rsidRPr="000F1D1C">
        <w:rPr>
          <w:color w:val="000000"/>
          <w:szCs w:val="24"/>
        </w:rPr>
        <w:t xml:space="preserve">, an unleaded fuel that contains lower levels of aromatics than regular unleaded petrol. The lower aromatic content reduces the long term effect of petrol sniffing on an individual. </w:t>
      </w:r>
    </w:p>
    <w:p w:rsidR="00CF572C" w:rsidRPr="000F1D1C" w:rsidRDefault="00CF572C" w:rsidP="00CF572C">
      <w:pPr>
        <w:autoSpaceDE w:val="0"/>
        <w:autoSpaceDN w:val="0"/>
        <w:adjustRightInd w:val="0"/>
        <w:spacing w:before="0"/>
        <w:rPr>
          <w:color w:val="000000"/>
          <w:szCs w:val="24"/>
        </w:rPr>
      </w:pPr>
    </w:p>
    <w:p w:rsidR="00CF572C" w:rsidRPr="000F1D1C" w:rsidRDefault="00CF572C" w:rsidP="00CF572C">
      <w:pPr>
        <w:autoSpaceDE w:val="0"/>
        <w:autoSpaceDN w:val="0"/>
        <w:adjustRightInd w:val="0"/>
        <w:spacing w:before="0"/>
        <w:rPr>
          <w:color w:val="000000"/>
          <w:szCs w:val="24"/>
        </w:rPr>
      </w:pPr>
      <w:r w:rsidRPr="000F1D1C">
        <w:rPr>
          <w:color w:val="000000"/>
          <w:szCs w:val="24"/>
        </w:rPr>
        <w:t xml:space="preserve">The evaluation of the Comgas Scheme in 2004 recommended the need for improved data on petrol sniffing and more broadly substance use among Indigenous Australians. </w:t>
      </w:r>
    </w:p>
    <w:p w:rsidR="00CF572C" w:rsidRPr="000F1D1C" w:rsidRDefault="00CF572C" w:rsidP="00CF572C">
      <w:pPr>
        <w:autoSpaceDE w:val="0"/>
        <w:autoSpaceDN w:val="0"/>
        <w:adjustRightInd w:val="0"/>
        <w:spacing w:before="0"/>
        <w:rPr>
          <w:color w:val="000000"/>
          <w:szCs w:val="24"/>
        </w:rPr>
      </w:pPr>
    </w:p>
    <w:p w:rsidR="00CF572C" w:rsidRPr="00345364" w:rsidRDefault="00CF572C" w:rsidP="003C27D8">
      <w:pPr>
        <w:pStyle w:val="Heading1"/>
        <w:numPr>
          <w:ilvl w:val="0"/>
          <w:numId w:val="0"/>
        </w:numPr>
      </w:pPr>
      <w:r w:rsidRPr="00345364">
        <w:t xml:space="preserve">Methodology </w:t>
      </w:r>
    </w:p>
    <w:p w:rsidR="00CF572C" w:rsidRPr="000F1D1C" w:rsidRDefault="00CF572C" w:rsidP="00CF572C">
      <w:pPr>
        <w:autoSpaceDE w:val="0"/>
        <w:autoSpaceDN w:val="0"/>
        <w:adjustRightInd w:val="0"/>
        <w:rPr>
          <w:color w:val="000000"/>
          <w:szCs w:val="24"/>
        </w:rPr>
      </w:pPr>
      <w:r w:rsidRPr="000F1D1C">
        <w:rPr>
          <w:color w:val="000000"/>
          <w:szCs w:val="24"/>
        </w:rPr>
        <w:t xml:space="preserve">The data collection instrument, used to measure prevalence, utilised community population lists from clinical registers and included all residents aged between 5-40 yrs </w:t>
      </w:r>
      <w:r w:rsidRPr="000F1D1C">
        <w:rPr>
          <w:color w:val="000000"/>
          <w:szCs w:val="24"/>
        </w:rPr>
        <w:lastRenderedPageBreak/>
        <w:t xml:space="preserve">inclusive. People in the population lists were categorised by gender, quinquennial age-group, and categories of use shown below: </w:t>
      </w:r>
    </w:p>
    <w:p w:rsidR="00CF572C" w:rsidRPr="000F1D1C" w:rsidRDefault="00CF572C" w:rsidP="00CF572C">
      <w:pPr>
        <w:autoSpaceDE w:val="0"/>
        <w:autoSpaceDN w:val="0"/>
        <w:adjustRightInd w:val="0"/>
        <w:spacing w:before="0"/>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5328"/>
      </w:tblGrid>
      <w:tr w:rsidR="00CF572C" w:rsidRPr="000F1D1C" w:rsidTr="003C27D8">
        <w:trPr>
          <w:tblHeader/>
        </w:trPr>
        <w:tc>
          <w:tcPr>
            <w:tcW w:w="1728" w:type="dxa"/>
            <w:shd w:val="clear" w:color="auto" w:fill="auto"/>
          </w:tcPr>
          <w:p w:rsidR="00CF572C" w:rsidRPr="000F1D1C" w:rsidRDefault="00CF572C" w:rsidP="00345364">
            <w:pPr>
              <w:keepNext/>
              <w:keepLines/>
              <w:spacing w:before="0"/>
              <w:rPr>
                <w:b/>
                <w:szCs w:val="24"/>
              </w:rPr>
            </w:pPr>
            <w:r w:rsidRPr="000F1D1C">
              <w:rPr>
                <w:b/>
                <w:szCs w:val="24"/>
              </w:rPr>
              <w:t>Category</w:t>
            </w:r>
          </w:p>
        </w:tc>
        <w:tc>
          <w:tcPr>
            <w:tcW w:w="1800" w:type="dxa"/>
            <w:shd w:val="clear" w:color="auto" w:fill="auto"/>
          </w:tcPr>
          <w:p w:rsidR="00CF572C" w:rsidRPr="000F1D1C" w:rsidRDefault="00CF572C" w:rsidP="00345364">
            <w:pPr>
              <w:keepNext/>
              <w:keepLines/>
              <w:spacing w:before="0"/>
              <w:rPr>
                <w:b/>
                <w:szCs w:val="24"/>
              </w:rPr>
            </w:pPr>
          </w:p>
        </w:tc>
        <w:tc>
          <w:tcPr>
            <w:tcW w:w="5328" w:type="dxa"/>
            <w:shd w:val="clear" w:color="auto" w:fill="auto"/>
          </w:tcPr>
          <w:p w:rsidR="00CF572C" w:rsidRPr="000F1D1C" w:rsidRDefault="00CF572C" w:rsidP="00345364">
            <w:pPr>
              <w:keepNext/>
              <w:keepLines/>
              <w:spacing w:before="0"/>
              <w:rPr>
                <w:b/>
                <w:szCs w:val="24"/>
              </w:rPr>
            </w:pPr>
            <w:r w:rsidRPr="000F1D1C">
              <w:rPr>
                <w:b/>
                <w:szCs w:val="24"/>
              </w:rPr>
              <w:t>Definition</w:t>
            </w:r>
          </w:p>
        </w:tc>
      </w:tr>
      <w:tr w:rsidR="00CF572C" w:rsidRPr="000F1D1C" w:rsidTr="00345364">
        <w:tc>
          <w:tcPr>
            <w:tcW w:w="1728" w:type="dxa"/>
            <w:tcBorders>
              <w:bottom w:val="single" w:sz="4" w:space="0" w:color="auto"/>
            </w:tcBorders>
            <w:shd w:val="clear" w:color="auto" w:fill="auto"/>
          </w:tcPr>
          <w:p w:rsidR="00CF572C" w:rsidRPr="000F1D1C" w:rsidRDefault="00CF572C" w:rsidP="00345364">
            <w:pPr>
              <w:keepNext/>
              <w:keepLines/>
              <w:spacing w:before="0"/>
              <w:rPr>
                <w:szCs w:val="24"/>
              </w:rPr>
            </w:pPr>
            <w:r w:rsidRPr="000F1D1C">
              <w:rPr>
                <w:szCs w:val="24"/>
              </w:rPr>
              <w:t>Non sniffer</w:t>
            </w:r>
          </w:p>
        </w:tc>
        <w:tc>
          <w:tcPr>
            <w:tcW w:w="1800" w:type="dxa"/>
            <w:shd w:val="clear" w:color="auto" w:fill="auto"/>
          </w:tcPr>
          <w:p w:rsidR="00CF572C" w:rsidRPr="000F1D1C" w:rsidRDefault="00CF572C" w:rsidP="00345364">
            <w:pPr>
              <w:keepNext/>
              <w:keepLines/>
              <w:spacing w:before="0"/>
              <w:rPr>
                <w:szCs w:val="24"/>
              </w:rPr>
            </w:pPr>
          </w:p>
        </w:tc>
        <w:tc>
          <w:tcPr>
            <w:tcW w:w="5328" w:type="dxa"/>
            <w:shd w:val="clear" w:color="auto" w:fill="auto"/>
          </w:tcPr>
          <w:p w:rsidR="00CF572C" w:rsidRPr="000F1D1C" w:rsidRDefault="00CF572C" w:rsidP="00345364">
            <w:pPr>
              <w:keepNext/>
              <w:keepLines/>
              <w:autoSpaceDE w:val="0"/>
              <w:autoSpaceDN w:val="0"/>
              <w:adjustRightInd w:val="0"/>
              <w:spacing w:before="0"/>
              <w:rPr>
                <w:rFonts w:cs="Arial"/>
                <w:color w:val="000000"/>
                <w:szCs w:val="24"/>
              </w:rPr>
            </w:pPr>
            <w:r w:rsidRPr="000F1D1C">
              <w:rPr>
                <w:rFonts w:cs="Arial"/>
                <w:color w:val="000000"/>
                <w:szCs w:val="24"/>
              </w:rPr>
              <w:t xml:space="preserve">Not known to have sniffed petrol or any other inhalant in past 6 months. </w:t>
            </w:r>
          </w:p>
        </w:tc>
      </w:tr>
      <w:tr w:rsidR="00CF572C" w:rsidRPr="000F1D1C" w:rsidTr="00345364">
        <w:tc>
          <w:tcPr>
            <w:tcW w:w="1728" w:type="dxa"/>
            <w:tcBorders>
              <w:bottom w:val="nil"/>
            </w:tcBorders>
            <w:shd w:val="clear" w:color="auto" w:fill="auto"/>
          </w:tcPr>
          <w:p w:rsidR="00CF572C" w:rsidRPr="000F1D1C" w:rsidRDefault="00CF572C" w:rsidP="00345364">
            <w:pPr>
              <w:keepNext/>
              <w:keepLines/>
              <w:spacing w:before="0"/>
              <w:rPr>
                <w:szCs w:val="24"/>
              </w:rPr>
            </w:pPr>
            <w:r w:rsidRPr="000F1D1C">
              <w:rPr>
                <w:szCs w:val="24"/>
              </w:rPr>
              <w:t>Current sniffer</w:t>
            </w:r>
          </w:p>
        </w:tc>
        <w:tc>
          <w:tcPr>
            <w:tcW w:w="1800" w:type="dxa"/>
            <w:shd w:val="clear" w:color="auto" w:fill="auto"/>
          </w:tcPr>
          <w:p w:rsidR="00CF572C" w:rsidRPr="000F1D1C" w:rsidRDefault="00CF572C" w:rsidP="00345364">
            <w:pPr>
              <w:keepNext/>
              <w:keepLines/>
              <w:spacing w:before="0"/>
              <w:rPr>
                <w:szCs w:val="24"/>
              </w:rPr>
            </w:pPr>
            <w:r w:rsidRPr="000F1D1C">
              <w:rPr>
                <w:szCs w:val="24"/>
              </w:rPr>
              <w:t>Experimental</w:t>
            </w:r>
          </w:p>
        </w:tc>
        <w:tc>
          <w:tcPr>
            <w:tcW w:w="5328" w:type="dxa"/>
            <w:shd w:val="clear" w:color="auto" w:fill="auto"/>
          </w:tcPr>
          <w:p w:rsidR="00CF572C" w:rsidRPr="000F1D1C" w:rsidRDefault="00CF572C" w:rsidP="00345364">
            <w:pPr>
              <w:keepNext/>
              <w:keepLines/>
              <w:autoSpaceDE w:val="0"/>
              <w:autoSpaceDN w:val="0"/>
              <w:adjustRightInd w:val="0"/>
              <w:spacing w:before="0"/>
              <w:rPr>
                <w:rFonts w:cs="Arial"/>
                <w:color w:val="000000"/>
                <w:szCs w:val="24"/>
              </w:rPr>
            </w:pPr>
            <w:r w:rsidRPr="000F1D1C">
              <w:rPr>
                <w:rFonts w:cs="Arial"/>
                <w:color w:val="000000"/>
                <w:szCs w:val="24"/>
              </w:rPr>
              <w:t xml:space="preserve">Believed to have sniffed petrol or other inhalant in past 6 months, but no evidence of regular use. </w:t>
            </w:r>
          </w:p>
        </w:tc>
      </w:tr>
      <w:tr w:rsidR="00CF572C" w:rsidRPr="000F1D1C" w:rsidTr="00345364">
        <w:tc>
          <w:tcPr>
            <w:tcW w:w="1728" w:type="dxa"/>
            <w:tcBorders>
              <w:top w:val="nil"/>
              <w:bottom w:val="nil"/>
            </w:tcBorders>
            <w:shd w:val="clear" w:color="auto" w:fill="auto"/>
          </w:tcPr>
          <w:p w:rsidR="00CF572C" w:rsidRPr="000F1D1C" w:rsidRDefault="00CF572C" w:rsidP="00345364">
            <w:pPr>
              <w:keepNext/>
              <w:keepLines/>
              <w:spacing w:before="0"/>
              <w:rPr>
                <w:szCs w:val="24"/>
              </w:rPr>
            </w:pPr>
          </w:p>
        </w:tc>
        <w:tc>
          <w:tcPr>
            <w:tcW w:w="1800" w:type="dxa"/>
            <w:shd w:val="clear" w:color="auto" w:fill="auto"/>
          </w:tcPr>
          <w:p w:rsidR="00CF572C" w:rsidRPr="000F1D1C" w:rsidRDefault="00CF572C" w:rsidP="00345364">
            <w:pPr>
              <w:keepNext/>
              <w:keepLines/>
              <w:spacing w:before="0"/>
              <w:rPr>
                <w:szCs w:val="24"/>
              </w:rPr>
            </w:pPr>
            <w:r w:rsidRPr="000F1D1C">
              <w:rPr>
                <w:szCs w:val="24"/>
              </w:rPr>
              <w:t>Regular</w:t>
            </w:r>
          </w:p>
        </w:tc>
        <w:tc>
          <w:tcPr>
            <w:tcW w:w="5328" w:type="dxa"/>
            <w:shd w:val="clear" w:color="auto" w:fill="auto"/>
          </w:tcPr>
          <w:p w:rsidR="00CF572C" w:rsidRPr="000F1D1C" w:rsidRDefault="00CF572C" w:rsidP="00345364">
            <w:pPr>
              <w:keepNext/>
              <w:keepLines/>
              <w:autoSpaceDE w:val="0"/>
              <w:autoSpaceDN w:val="0"/>
              <w:adjustRightInd w:val="0"/>
              <w:spacing w:before="0"/>
              <w:rPr>
                <w:rFonts w:cs="Arial"/>
                <w:color w:val="000000"/>
                <w:szCs w:val="24"/>
              </w:rPr>
            </w:pPr>
            <w:r w:rsidRPr="000F1D1C">
              <w:rPr>
                <w:rFonts w:cs="Arial"/>
                <w:color w:val="000000"/>
                <w:szCs w:val="24"/>
              </w:rPr>
              <w:t xml:space="preserve">Believed to have sniffed petrol or other inhalant regularly over past 6 months, but does not meet criterion of heavy use (i.e. at least once a week). </w:t>
            </w:r>
          </w:p>
        </w:tc>
      </w:tr>
      <w:tr w:rsidR="00CF572C" w:rsidRPr="000F1D1C" w:rsidTr="00345364">
        <w:tc>
          <w:tcPr>
            <w:tcW w:w="1728" w:type="dxa"/>
            <w:tcBorders>
              <w:top w:val="nil"/>
            </w:tcBorders>
            <w:shd w:val="clear" w:color="auto" w:fill="auto"/>
          </w:tcPr>
          <w:p w:rsidR="00CF572C" w:rsidRPr="000F1D1C" w:rsidRDefault="00CF572C" w:rsidP="00345364">
            <w:pPr>
              <w:keepNext/>
              <w:keepLines/>
              <w:spacing w:before="0"/>
              <w:rPr>
                <w:szCs w:val="24"/>
              </w:rPr>
            </w:pPr>
          </w:p>
        </w:tc>
        <w:tc>
          <w:tcPr>
            <w:tcW w:w="1800" w:type="dxa"/>
            <w:shd w:val="clear" w:color="auto" w:fill="auto"/>
          </w:tcPr>
          <w:p w:rsidR="00CF572C" w:rsidRPr="000F1D1C" w:rsidRDefault="00CF572C" w:rsidP="00345364">
            <w:pPr>
              <w:keepNext/>
              <w:keepLines/>
              <w:spacing w:before="0"/>
              <w:rPr>
                <w:szCs w:val="24"/>
              </w:rPr>
            </w:pPr>
            <w:r w:rsidRPr="000F1D1C">
              <w:rPr>
                <w:szCs w:val="24"/>
              </w:rPr>
              <w:t>Heavy</w:t>
            </w:r>
          </w:p>
        </w:tc>
        <w:tc>
          <w:tcPr>
            <w:tcW w:w="5328" w:type="dxa"/>
            <w:shd w:val="clear" w:color="auto" w:fill="auto"/>
          </w:tcPr>
          <w:p w:rsidR="00CF572C" w:rsidRPr="000F1D1C" w:rsidRDefault="00CF572C" w:rsidP="00345364">
            <w:pPr>
              <w:keepNext/>
              <w:keepLines/>
              <w:autoSpaceDE w:val="0"/>
              <w:autoSpaceDN w:val="0"/>
              <w:adjustRightInd w:val="0"/>
              <w:spacing w:before="0"/>
              <w:rPr>
                <w:rFonts w:cs="Arial"/>
                <w:color w:val="000000"/>
                <w:szCs w:val="24"/>
              </w:rPr>
            </w:pPr>
            <w:r w:rsidRPr="000F1D1C">
              <w:rPr>
                <w:rFonts w:cs="Arial"/>
                <w:color w:val="000000"/>
                <w:szCs w:val="24"/>
              </w:rPr>
              <w:t xml:space="preserve">Has sniffed petrol or other inhalants at least weekly (whenever inhalants are available), over past 6 months. </w:t>
            </w:r>
          </w:p>
        </w:tc>
      </w:tr>
    </w:tbl>
    <w:p w:rsidR="00CF572C" w:rsidRPr="000F1D1C" w:rsidRDefault="00CF572C" w:rsidP="00CF572C">
      <w:pPr>
        <w:spacing w:before="0"/>
        <w:rPr>
          <w:szCs w:val="24"/>
        </w:rPr>
      </w:pPr>
    </w:p>
    <w:p w:rsidR="00CF572C" w:rsidRPr="000F1D1C" w:rsidRDefault="00CF572C" w:rsidP="00CF572C">
      <w:pPr>
        <w:autoSpaceDE w:val="0"/>
        <w:autoSpaceDN w:val="0"/>
        <w:adjustRightInd w:val="0"/>
        <w:spacing w:before="0"/>
        <w:rPr>
          <w:color w:val="000000"/>
          <w:szCs w:val="24"/>
        </w:rPr>
      </w:pPr>
      <w:r w:rsidRPr="000F1D1C">
        <w:rPr>
          <w:color w:val="000000"/>
          <w:szCs w:val="24"/>
        </w:rPr>
        <w:t xml:space="preserve">The instrument used in this study was based on one developed by Nganampa Health Service used for conducting annual surveys of petrol sniffing in communities in the Anangu Pitjantjatjara Yankunytyjatjara (APY) Lands of South Australia. </w:t>
      </w:r>
    </w:p>
    <w:p w:rsidR="00CF572C" w:rsidRPr="000F1D1C" w:rsidRDefault="00CF572C" w:rsidP="00CF572C">
      <w:pPr>
        <w:autoSpaceDE w:val="0"/>
        <w:autoSpaceDN w:val="0"/>
        <w:adjustRightInd w:val="0"/>
        <w:spacing w:before="0"/>
        <w:rPr>
          <w:color w:val="000000"/>
          <w:szCs w:val="24"/>
        </w:rPr>
      </w:pPr>
    </w:p>
    <w:p w:rsidR="00CF572C" w:rsidRPr="000F1D1C" w:rsidRDefault="00CF572C" w:rsidP="00CF572C">
      <w:pPr>
        <w:autoSpaceDE w:val="0"/>
        <w:autoSpaceDN w:val="0"/>
        <w:adjustRightInd w:val="0"/>
        <w:spacing w:before="0"/>
        <w:rPr>
          <w:color w:val="000000"/>
          <w:szCs w:val="24"/>
        </w:rPr>
      </w:pPr>
      <w:r w:rsidRPr="000F1D1C">
        <w:rPr>
          <w:color w:val="000000"/>
          <w:szCs w:val="24"/>
        </w:rPr>
        <w:t xml:space="preserve">The project was approved by the James Cook University Human Research Ethics Committee. Permission was sought from each community in the study prior to visits taking place. Wherever possible, data collection was carried out by fieldworkers already known in the community concerned. </w:t>
      </w:r>
    </w:p>
    <w:p w:rsidR="00CF572C" w:rsidRPr="000F1D1C" w:rsidRDefault="00CF572C" w:rsidP="00CF572C">
      <w:pPr>
        <w:autoSpaceDE w:val="0"/>
        <w:autoSpaceDN w:val="0"/>
        <w:adjustRightInd w:val="0"/>
        <w:spacing w:before="0"/>
        <w:rPr>
          <w:color w:val="000000"/>
          <w:szCs w:val="24"/>
        </w:rPr>
      </w:pPr>
    </w:p>
    <w:p w:rsidR="00CF572C" w:rsidRPr="000F1D1C" w:rsidRDefault="00CF572C" w:rsidP="00CF572C">
      <w:pPr>
        <w:spacing w:before="0"/>
        <w:rPr>
          <w:color w:val="000000"/>
          <w:szCs w:val="24"/>
        </w:rPr>
      </w:pPr>
      <w:r w:rsidRPr="000F1D1C">
        <w:rPr>
          <w:color w:val="000000"/>
          <w:szCs w:val="24"/>
        </w:rPr>
        <w:t xml:space="preserve">The fact that individual communities switched to using </w:t>
      </w:r>
      <w:r w:rsidRPr="000F1D1C">
        <w:rPr>
          <w:i/>
          <w:iCs/>
          <w:color w:val="000000"/>
          <w:szCs w:val="24"/>
        </w:rPr>
        <w:t xml:space="preserve">Opal </w:t>
      </w:r>
      <w:r w:rsidRPr="000F1D1C">
        <w:rPr>
          <w:color w:val="000000"/>
          <w:szCs w:val="24"/>
        </w:rPr>
        <w:t>at different times, and that some communities had previously been supplying Comgas (subsidised Avgas), means that the data collected for this project should not be viewed as true baseline (that is pre-</w:t>
      </w:r>
      <w:r w:rsidRPr="000F1D1C">
        <w:rPr>
          <w:i/>
          <w:iCs/>
          <w:color w:val="000000"/>
          <w:szCs w:val="24"/>
        </w:rPr>
        <w:t>Opal</w:t>
      </w:r>
      <w:r w:rsidRPr="000F1D1C">
        <w:rPr>
          <w:color w:val="000000"/>
          <w:szCs w:val="24"/>
        </w:rPr>
        <w:t>) data. It should be instead viewed as a series of snapshots in time that provide a reference point for future comparisons.</w:t>
      </w:r>
    </w:p>
    <w:p w:rsidR="00CF572C" w:rsidRPr="000F1D1C" w:rsidRDefault="00CF572C" w:rsidP="00CF572C">
      <w:pPr>
        <w:spacing w:before="0"/>
        <w:rPr>
          <w:szCs w:val="24"/>
        </w:rPr>
      </w:pPr>
    </w:p>
    <w:p w:rsidR="00CF572C" w:rsidRPr="00345364" w:rsidRDefault="00CF572C" w:rsidP="003C27D8">
      <w:pPr>
        <w:pStyle w:val="Heading1"/>
        <w:numPr>
          <w:ilvl w:val="0"/>
          <w:numId w:val="0"/>
        </w:numPr>
      </w:pPr>
      <w:r w:rsidRPr="00345364">
        <w:t xml:space="preserve">Results </w:t>
      </w:r>
    </w:p>
    <w:p w:rsidR="00CF572C" w:rsidRPr="000F1D1C" w:rsidRDefault="00CF572C" w:rsidP="00CF572C">
      <w:pPr>
        <w:autoSpaceDE w:val="0"/>
        <w:autoSpaceDN w:val="0"/>
        <w:adjustRightInd w:val="0"/>
        <w:rPr>
          <w:color w:val="000000"/>
          <w:szCs w:val="24"/>
        </w:rPr>
      </w:pPr>
      <w:r w:rsidRPr="000F1D1C">
        <w:rPr>
          <w:i/>
          <w:iCs/>
          <w:color w:val="000000"/>
          <w:szCs w:val="24"/>
        </w:rPr>
        <w:t xml:space="preserve">Prevalence </w:t>
      </w:r>
    </w:p>
    <w:p w:rsidR="00CF572C" w:rsidRPr="00345364" w:rsidRDefault="00CF572C" w:rsidP="00CF572C">
      <w:pPr>
        <w:pStyle w:val="ListParagraph"/>
        <w:numPr>
          <w:ilvl w:val="0"/>
          <w:numId w:val="1"/>
        </w:numPr>
        <w:spacing w:before="0"/>
      </w:pPr>
      <w:r w:rsidRPr="00345364">
        <w:t xml:space="preserve">74 communities were approached to participate in the data collection activities: </w:t>
      </w:r>
    </w:p>
    <w:p w:rsidR="00CF572C" w:rsidRPr="00345364" w:rsidRDefault="00CF572C" w:rsidP="00CF572C">
      <w:pPr>
        <w:pStyle w:val="ListParagraph"/>
        <w:numPr>
          <w:ilvl w:val="0"/>
          <w:numId w:val="1"/>
        </w:numPr>
        <w:spacing w:before="0"/>
      </w:pPr>
      <w:r w:rsidRPr="00345364">
        <w:t xml:space="preserve">in 47 cases the consultants were given direct access to the communities and relevant data; </w:t>
      </w:r>
    </w:p>
    <w:p w:rsidR="00CF572C" w:rsidRPr="00345364" w:rsidRDefault="00CF572C" w:rsidP="00CF572C">
      <w:pPr>
        <w:pStyle w:val="ListParagraph"/>
        <w:numPr>
          <w:ilvl w:val="0"/>
          <w:numId w:val="1"/>
        </w:numPr>
        <w:spacing w:before="0"/>
      </w:pPr>
      <w:r w:rsidRPr="00345364">
        <w:t>in 8 cases the consultants utilised alternative sources of data, these included utilising the Nganampa Health Survey for 7 communities on the APY Lands and the other case was where the Central Australian Youth Link Up Service (CAYLUS) had just completed data collection;</w:t>
      </w:r>
    </w:p>
    <w:p w:rsidR="00CF572C" w:rsidRPr="00345364" w:rsidRDefault="00CF572C" w:rsidP="00CF572C">
      <w:pPr>
        <w:pStyle w:val="ListParagraph"/>
        <w:numPr>
          <w:ilvl w:val="0"/>
          <w:numId w:val="1"/>
        </w:numPr>
        <w:spacing w:before="0"/>
      </w:pPr>
      <w:r w:rsidRPr="00345364">
        <w:lastRenderedPageBreak/>
        <w:t xml:space="preserve">in 12 cases, communities denied access on the grounds of no petrol sniffing in the community. In these cases, the consultants spoke to at least two key informants via phone to confirm the no sniffing status; </w:t>
      </w:r>
    </w:p>
    <w:p w:rsidR="00CF572C" w:rsidRPr="00345364" w:rsidRDefault="00CF572C" w:rsidP="00CF572C">
      <w:pPr>
        <w:pStyle w:val="ListParagraph"/>
        <w:numPr>
          <w:ilvl w:val="0"/>
          <w:numId w:val="1"/>
        </w:numPr>
        <w:spacing w:before="0"/>
      </w:pPr>
      <w:r w:rsidRPr="00345364">
        <w:t xml:space="preserve">in one case the community identified 1 sniffer but would not allow further access to the community; </w:t>
      </w:r>
    </w:p>
    <w:p w:rsidR="00CF572C" w:rsidRPr="00345364" w:rsidRDefault="00CF572C" w:rsidP="00CF572C">
      <w:pPr>
        <w:pStyle w:val="ListParagraph"/>
        <w:numPr>
          <w:ilvl w:val="0"/>
          <w:numId w:val="1"/>
        </w:numPr>
        <w:spacing w:before="0"/>
      </w:pPr>
      <w:r w:rsidRPr="00345364">
        <w:t xml:space="preserve">in two cases, the regional health board would not allow access to the population lists; </w:t>
      </w:r>
    </w:p>
    <w:p w:rsidR="00CF572C" w:rsidRPr="00345364" w:rsidRDefault="00CF572C" w:rsidP="00CF572C">
      <w:pPr>
        <w:pStyle w:val="ListParagraph"/>
        <w:numPr>
          <w:ilvl w:val="0"/>
          <w:numId w:val="1"/>
        </w:numPr>
        <w:spacing w:before="0"/>
      </w:pPr>
      <w:r w:rsidRPr="00345364">
        <w:t xml:space="preserve">in two cases the consultants were unable to make contact with the communities due to remoteness and very small populations; and </w:t>
      </w:r>
    </w:p>
    <w:p w:rsidR="00CF572C" w:rsidRPr="00345364" w:rsidRDefault="00CF572C" w:rsidP="00CF572C">
      <w:pPr>
        <w:pStyle w:val="ListParagraph"/>
        <w:numPr>
          <w:ilvl w:val="0"/>
          <w:numId w:val="1"/>
        </w:numPr>
        <w:spacing w:before="0"/>
      </w:pPr>
      <w:r w:rsidRPr="00345364">
        <w:t xml:space="preserve">in the remaining two cases the consultants were unable to make arrangements to visit the communities. </w:t>
      </w:r>
    </w:p>
    <w:p w:rsidR="00CF572C" w:rsidRPr="000F1D1C" w:rsidRDefault="00CF572C" w:rsidP="00CF572C">
      <w:pPr>
        <w:autoSpaceDE w:val="0"/>
        <w:autoSpaceDN w:val="0"/>
        <w:adjustRightInd w:val="0"/>
        <w:spacing w:before="0"/>
        <w:rPr>
          <w:color w:val="000000"/>
          <w:szCs w:val="24"/>
        </w:rPr>
      </w:pPr>
    </w:p>
    <w:p w:rsidR="00CF572C" w:rsidRPr="000F1D1C" w:rsidRDefault="00CF572C" w:rsidP="00CF572C">
      <w:pPr>
        <w:autoSpaceDE w:val="0"/>
        <w:autoSpaceDN w:val="0"/>
        <w:adjustRightInd w:val="0"/>
        <w:spacing w:before="0"/>
        <w:rPr>
          <w:color w:val="000000"/>
          <w:szCs w:val="24"/>
        </w:rPr>
      </w:pPr>
      <w:r w:rsidRPr="000F1D1C">
        <w:rPr>
          <w:color w:val="000000"/>
          <w:szCs w:val="24"/>
        </w:rPr>
        <w:t xml:space="preserve">The following table provides a snapshot of the prevalence and the frequency of petrol sniffing across regions in Australia where baseline data has been collected. For the purpose of this summary, data has been reported at the regional level only. This is due to the sensitive nature of data relating to petrol sniffing and ensures the privacy of individual communities is maintained. </w:t>
      </w:r>
    </w:p>
    <w:p w:rsidR="00CF572C" w:rsidRPr="000F1D1C" w:rsidRDefault="00CF572C" w:rsidP="00CF572C">
      <w:pPr>
        <w:autoSpaceDE w:val="0"/>
        <w:autoSpaceDN w:val="0"/>
        <w:adjustRightInd w:val="0"/>
        <w:spacing w:before="0"/>
        <w:rPr>
          <w:color w:val="000000"/>
          <w:szCs w:val="24"/>
        </w:rPr>
      </w:pPr>
    </w:p>
    <w:p w:rsidR="00CF572C" w:rsidRPr="000F1D1C" w:rsidRDefault="00CF572C" w:rsidP="00CF572C">
      <w:pPr>
        <w:autoSpaceDE w:val="0"/>
        <w:autoSpaceDN w:val="0"/>
        <w:adjustRightInd w:val="0"/>
        <w:spacing w:before="0"/>
        <w:rPr>
          <w:rFonts w:cs="Arial"/>
          <w:b/>
          <w:bCs/>
          <w:color w:val="000000"/>
          <w:szCs w:val="24"/>
        </w:rPr>
      </w:pPr>
      <w:r w:rsidRPr="000F1D1C">
        <w:rPr>
          <w:rFonts w:cs="Arial"/>
          <w:b/>
          <w:bCs/>
          <w:color w:val="000000"/>
          <w:szCs w:val="24"/>
        </w:rPr>
        <w:t xml:space="preserve">Table 1: Prevalence of sniffing in communities at the time of data collection, by region </w:t>
      </w:r>
    </w:p>
    <w:p w:rsidR="00CF572C" w:rsidRPr="000F1D1C" w:rsidRDefault="00CF572C" w:rsidP="00CF572C">
      <w:pPr>
        <w:autoSpaceDE w:val="0"/>
        <w:autoSpaceDN w:val="0"/>
        <w:adjustRightInd w:val="0"/>
        <w:spacing w:before="0"/>
        <w:rPr>
          <w:rFonts w:cs="Arial"/>
          <w:color w:val="000000"/>
          <w:szCs w:val="24"/>
        </w:rPr>
      </w:pPr>
    </w:p>
    <w:tbl>
      <w:tblPr>
        <w:tblW w:w="8748" w:type="dxa"/>
        <w:tblBorders>
          <w:top w:val="nil"/>
          <w:left w:val="nil"/>
          <w:bottom w:val="nil"/>
          <w:right w:val="nil"/>
        </w:tblBorders>
        <w:tblLayout w:type="fixed"/>
        <w:tblLook w:val="0000" w:firstRow="0" w:lastRow="0" w:firstColumn="0" w:lastColumn="0" w:noHBand="0" w:noVBand="0"/>
      </w:tblPr>
      <w:tblGrid>
        <w:gridCol w:w="2109"/>
        <w:gridCol w:w="1599"/>
        <w:gridCol w:w="1440"/>
        <w:gridCol w:w="1620"/>
        <w:gridCol w:w="1980"/>
      </w:tblGrid>
      <w:tr w:rsidR="00CF572C" w:rsidRPr="000F1D1C" w:rsidTr="003C27D8">
        <w:trPr>
          <w:trHeight w:val="508"/>
          <w:tblHeader/>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b/>
                <w:bCs/>
                <w:color w:val="000000"/>
                <w:szCs w:val="24"/>
              </w:rPr>
              <w:t xml:space="preserve">Region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b/>
                <w:bCs/>
                <w:color w:val="000000"/>
                <w:szCs w:val="24"/>
              </w:rPr>
              <w:t>Pop. 5 – 40 yrs</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b/>
                <w:bCs/>
                <w:color w:val="000000"/>
                <w:szCs w:val="24"/>
              </w:rPr>
              <w:t>No. of users</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b/>
                <w:bCs/>
                <w:color w:val="000000"/>
                <w:szCs w:val="24"/>
              </w:rPr>
              <w:t xml:space="preserve">% users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b/>
                <w:bCs/>
                <w:color w:val="000000"/>
                <w:szCs w:val="24"/>
              </w:rPr>
              <w:t>Date of collection</w:t>
            </w:r>
          </w:p>
        </w:tc>
      </w:tr>
      <w:tr w:rsidR="00CF572C" w:rsidRPr="000F1D1C" w:rsidTr="00345364">
        <w:trPr>
          <w:trHeight w:val="495"/>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APY Lands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1969 (10 – 40 yrs)</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219</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11.1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Sept 05</w:t>
            </w:r>
          </w:p>
        </w:tc>
      </w:tr>
      <w:tr w:rsidR="00CF572C" w:rsidRPr="000F1D1C" w:rsidTr="00345364">
        <w:trPr>
          <w:trHeight w:val="72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Central Australia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4418</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244</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5.5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Nov 05 – Feb 06</w:t>
            </w:r>
          </w:p>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 community Feb 07)</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East Kimberley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547</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32</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5.8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Jan 06</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Eastern Goldfields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92</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5</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5.4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Nov 06</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Far North Queensland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1861</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96</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5.2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Feb – May 06</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Ngaanyatjarra Lands (WA)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1035</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145</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13.9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Nov 05 - 06</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Northern Central Australia sub region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2188</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.05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Oct 06</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Southern Central Australia sub region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619</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102</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16.4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Nov – Dec 05</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Top End*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12985</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266</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2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Sept 06 –Feb 07</w:t>
            </w:r>
          </w:p>
        </w:tc>
      </w:tr>
      <w:tr w:rsidR="00CF572C" w:rsidRPr="000F1D1C" w:rsidTr="00345364">
        <w:trPr>
          <w:trHeight w:val="266"/>
        </w:trPr>
        <w:tc>
          <w:tcPr>
            <w:tcW w:w="210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rPr>
                <w:rFonts w:cs="Arial"/>
                <w:color w:val="000000"/>
                <w:szCs w:val="24"/>
              </w:rPr>
            </w:pPr>
            <w:r w:rsidRPr="000F1D1C">
              <w:rPr>
                <w:rFonts w:cs="Arial"/>
                <w:color w:val="000000"/>
                <w:szCs w:val="24"/>
              </w:rPr>
              <w:t xml:space="preserve">Western Central </w:t>
            </w:r>
            <w:r w:rsidRPr="000F1D1C">
              <w:rPr>
                <w:rFonts w:cs="Arial"/>
                <w:color w:val="000000"/>
                <w:szCs w:val="24"/>
              </w:rPr>
              <w:lastRenderedPageBreak/>
              <w:t xml:space="preserve">Australia sub region </w:t>
            </w:r>
          </w:p>
        </w:tc>
        <w:tc>
          <w:tcPr>
            <w:tcW w:w="1599"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lastRenderedPageBreak/>
              <w:t>1195</w:t>
            </w:r>
          </w:p>
        </w:tc>
        <w:tc>
          <w:tcPr>
            <w:tcW w:w="144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141</w:t>
            </w:r>
          </w:p>
        </w:tc>
        <w:tc>
          <w:tcPr>
            <w:tcW w:w="162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 xml:space="preserve">11.8 </w:t>
            </w:r>
          </w:p>
        </w:tc>
        <w:tc>
          <w:tcPr>
            <w:tcW w:w="1980" w:type="dxa"/>
            <w:tcBorders>
              <w:top w:val="single" w:sz="4" w:space="0" w:color="000000"/>
              <w:left w:val="single" w:sz="4" w:space="0" w:color="000000"/>
              <w:bottom w:val="single" w:sz="4" w:space="0" w:color="000000"/>
              <w:right w:val="single" w:sz="4" w:space="0" w:color="000000"/>
            </w:tcBorders>
          </w:tcPr>
          <w:p w:rsidR="00CF572C" w:rsidRPr="000F1D1C" w:rsidRDefault="00CF572C" w:rsidP="00345364">
            <w:pPr>
              <w:autoSpaceDE w:val="0"/>
              <w:autoSpaceDN w:val="0"/>
              <w:adjustRightInd w:val="0"/>
              <w:spacing w:before="0"/>
              <w:jc w:val="right"/>
              <w:rPr>
                <w:rFonts w:cs="Arial"/>
                <w:color w:val="000000"/>
                <w:szCs w:val="24"/>
              </w:rPr>
            </w:pPr>
            <w:r w:rsidRPr="000F1D1C">
              <w:rPr>
                <w:rFonts w:cs="Arial"/>
                <w:color w:val="000000"/>
                <w:szCs w:val="24"/>
              </w:rPr>
              <w:t>Dec 05 – Feb 06</w:t>
            </w:r>
          </w:p>
        </w:tc>
      </w:tr>
    </w:tbl>
    <w:p w:rsidR="00CF572C" w:rsidRPr="000F1D1C" w:rsidRDefault="00CF572C" w:rsidP="00CF572C">
      <w:pPr>
        <w:autoSpaceDE w:val="0"/>
        <w:autoSpaceDN w:val="0"/>
        <w:adjustRightInd w:val="0"/>
        <w:spacing w:before="0"/>
        <w:rPr>
          <w:rFonts w:cs="Arial"/>
          <w:color w:val="000000"/>
          <w:szCs w:val="24"/>
        </w:rPr>
      </w:pPr>
      <w:r w:rsidRPr="000F1D1C">
        <w:rPr>
          <w:rFonts w:cs="Arial"/>
          <w:color w:val="000000"/>
          <w:szCs w:val="24"/>
        </w:rPr>
        <w:lastRenderedPageBreak/>
        <w:t xml:space="preserve">*This figure may be artificially low due to a lack of data from 4 communities. </w:t>
      </w:r>
    </w:p>
    <w:p w:rsidR="00CF572C" w:rsidRPr="007C4615" w:rsidRDefault="00CF572C" w:rsidP="00CF572C">
      <w:pPr>
        <w:spacing w:before="0"/>
        <w:rPr>
          <w:rFonts w:cs="Arial"/>
          <w:bCs/>
          <w:i/>
          <w:color w:val="000000"/>
          <w:szCs w:val="24"/>
        </w:rPr>
      </w:pPr>
      <w:r w:rsidRPr="007C4615">
        <w:rPr>
          <w:rFonts w:cs="Arial"/>
          <w:bCs/>
          <w:i/>
          <w:color w:val="000000"/>
          <w:szCs w:val="24"/>
        </w:rPr>
        <w:t>Note: The Central Australian region has been broken down into three distinct sub regions – Northern Central Australia, Southern Central Australia and Western Central Australia – in order to highlight more local variations. Alice Springs is not included in this data.</w:t>
      </w:r>
    </w:p>
    <w:p w:rsidR="00CF572C" w:rsidRPr="000F1D1C" w:rsidRDefault="00CF572C" w:rsidP="00CF572C">
      <w:pPr>
        <w:spacing w:before="0"/>
        <w:rPr>
          <w:rFonts w:cs="Arial"/>
          <w:b/>
          <w:bCs/>
          <w:color w:val="000000"/>
          <w:szCs w:val="24"/>
        </w:rPr>
      </w:pPr>
    </w:p>
    <w:p w:rsidR="00CF572C" w:rsidRPr="000F1D1C" w:rsidRDefault="00CF572C" w:rsidP="00CF572C">
      <w:pPr>
        <w:autoSpaceDE w:val="0"/>
        <w:autoSpaceDN w:val="0"/>
        <w:adjustRightInd w:val="0"/>
        <w:spacing w:before="0"/>
        <w:rPr>
          <w:color w:val="000000"/>
          <w:szCs w:val="24"/>
        </w:rPr>
      </w:pPr>
      <w:r w:rsidRPr="000F1D1C">
        <w:rPr>
          <w:i/>
          <w:iCs/>
          <w:color w:val="000000"/>
          <w:szCs w:val="24"/>
        </w:rPr>
        <w:t xml:space="preserve">Health and social effect data </w:t>
      </w:r>
    </w:p>
    <w:p w:rsidR="00CF572C" w:rsidRPr="000F1D1C" w:rsidRDefault="00CF572C" w:rsidP="00CF572C">
      <w:pPr>
        <w:autoSpaceDE w:val="0"/>
        <w:autoSpaceDN w:val="0"/>
        <w:adjustRightInd w:val="0"/>
        <w:spacing w:before="0"/>
        <w:rPr>
          <w:color w:val="000000"/>
          <w:szCs w:val="24"/>
        </w:rPr>
      </w:pPr>
      <w:r w:rsidRPr="000F1D1C">
        <w:rPr>
          <w:color w:val="000000"/>
          <w:szCs w:val="24"/>
        </w:rPr>
        <w:t xml:space="preserve">To measure the health effect indicator, data was collected on the number of presentations to a health clinic as a result of petrol sniffing. The low rate of presentations confirmed the observations of many health centre staff that sniffers tend not to present at the clinic. </w:t>
      </w:r>
    </w:p>
    <w:p w:rsidR="00CF572C" w:rsidRPr="000F1D1C" w:rsidRDefault="00CF572C" w:rsidP="00CF572C">
      <w:pPr>
        <w:autoSpaceDE w:val="0"/>
        <w:autoSpaceDN w:val="0"/>
        <w:adjustRightInd w:val="0"/>
        <w:spacing w:before="0"/>
        <w:rPr>
          <w:color w:val="000000"/>
          <w:szCs w:val="24"/>
        </w:rPr>
      </w:pPr>
    </w:p>
    <w:p w:rsidR="00CF572C" w:rsidRDefault="00CF572C" w:rsidP="00CF572C">
      <w:pPr>
        <w:autoSpaceDE w:val="0"/>
        <w:autoSpaceDN w:val="0"/>
        <w:adjustRightInd w:val="0"/>
        <w:spacing w:before="0"/>
        <w:rPr>
          <w:color w:val="000000"/>
          <w:szCs w:val="24"/>
        </w:rPr>
      </w:pPr>
      <w:r w:rsidRPr="000F1D1C">
        <w:rPr>
          <w:color w:val="000000"/>
          <w:szCs w:val="24"/>
        </w:rPr>
        <w:t>The indicator chosen for social impact was juvenile charges by community. Data was only able to be obtained for communities in South Australia. The results of the South</w:t>
      </w:r>
      <w:r>
        <w:rPr>
          <w:color w:val="000000"/>
          <w:szCs w:val="24"/>
        </w:rPr>
        <w:t> </w:t>
      </w:r>
      <w:r w:rsidRPr="000F1D1C">
        <w:rPr>
          <w:color w:val="000000"/>
          <w:szCs w:val="24"/>
        </w:rPr>
        <w:t xml:space="preserve">Australian data indicated no direct relationship between the number of offences and the number of inhalant users. The most sensitive indicator of the social impact of inhalant use appears to be, not the overall prevalence rate, but the rate of regular heavy use. </w:t>
      </w:r>
    </w:p>
    <w:p w:rsidR="00CF572C" w:rsidRPr="000F1D1C" w:rsidRDefault="00CF572C" w:rsidP="00CF572C">
      <w:pPr>
        <w:autoSpaceDE w:val="0"/>
        <w:autoSpaceDN w:val="0"/>
        <w:adjustRightInd w:val="0"/>
        <w:spacing w:before="0"/>
        <w:rPr>
          <w:color w:val="000000"/>
          <w:szCs w:val="24"/>
        </w:rPr>
      </w:pPr>
    </w:p>
    <w:p w:rsidR="00CF572C" w:rsidRPr="00345364" w:rsidRDefault="00CF572C" w:rsidP="003C27D8">
      <w:pPr>
        <w:pStyle w:val="Heading1"/>
        <w:numPr>
          <w:ilvl w:val="0"/>
          <w:numId w:val="0"/>
        </w:numPr>
      </w:pPr>
      <w:r w:rsidRPr="00345364">
        <w:t xml:space="preserve">Recommendations </w:t>
      </w:r>
    </w:p>
    <w:p w:rsidR="00CF572C" w:rsidRPr="000F1D1C" w:rsidRDefault="00CF572C" w:rsidP="00CF572C">
      <w:pPr>
        <w:autoSpaceDE w:val="0"/>
        <w:autoSpaceDN w:val="0"/>
        <w:adjustRightInd w:val="0"/>
        <w:rPr>
          <w:color w:val="000000"/>
          <w:szCs w:val="24"/>
        </w:rPr>
      </w:pPr>
      <w:r w:rsidRPr="000F1D1C">
        <w:rPr>
          <w:color w:val="000000"/>
          <w:szCs w:val="24"/>
        </w:rPr>
        <w:t xml:space="preserve">The report outlined the following recommendations: </w:t>
      </w:r>
    </w:p>
    <w:p w:rsidR="00CF572C" w:rsidRPr="000F1D1C" w:rsidRDefault="00CF572C" w:rsidP="00CF572C">
      <w:pPr>
        <w:autoSpaceDE w:val="0"/>
        <w:autoSpaceDN w:val="0"/>
        <w:adjustRightInd w:val="0"/>
        <w:spacing w:before="0"/>
        <w:rPr>
          <w:color w:val="000000"/>
          <w:szCs w:val="24"/>
        </w:rPr>
      </w:pPr>
    </w:p>
    <w:p w:rsidR="00CF572C" w:rsidRPr="00345364" w:rsidRDefault="00CF572C" w:rsidP="00CF572C">
      <w:pPr>
        <w:pStyle w:val="ListParagraph"/>
        <w:numPr>
          <w:ilvl w:val="0"/>
          <w:numId w:val="1"/>
        </w:numPr>
        <w:spacing w:before="0"/>
      </w:pPr>
      <w:r w:rsidRPr="00345364">
        <w:t xml:space="preserve">The population list’ method for data collection worked well and should be used where the following conditions were met: fieldworker was known in the community, and had pre-existing relationships there; an accurate population list was available; and community population size did not exceed 700 people. </w:t>
      </w:r>
    </w:p>
    <w:p w:rsidR="00CF572C" w:rsidRPr="00345364" w:rsidRDefault="00CF572C" w:rsidP="00CF572C">
      <w:pPr>
        <w:pStyle w:val="ListParagraph"/>
        <w:numPr>
          <w:ilvl w:val="0"/>
          <w:numId w:val="1"/>
        </w:numPr>
        <w:spacing w:before="0"/>
      </w:pPr>
      <w:r w:rsidRPr="00345364">
        <w:t xml:space="preserve">In communities of 1000+, data should be collected from key informant estimates rather than population lists to maximise the quality of data. </w:t>
      </w:r>
    </w:p>
    <w:p w:rsidR="00CF572C" w:rsidRPr="00345364" w:rsidRDefault="00CF572C" w:rsidP="00CF572C">
      <w:pPr>
        <w:pStyle w:val="ListParagraph"/>
        <w:numPr>
          <w:ilvl w:val="0"/>
          <w:numId w:val="1"/>
        </w:numPr>
        <w:spacing w:before="0"/>
      </w:pPr>
      <w:r w:rsidRPr="00345364">
        <w:t xml:space="preserve">Due to the limited reliability of the data collected for the health effect and public-order indicators, it is suggested that future data is collected for the prevalence of petrol sniffing indicator only. </w:t>
      </w:r>
    </w:p>
    <w:p w:rsidR="00CF572C" w:rsidRPr="00345364" w:rsidRDefault="00CF572C" w:rsidP="00CF572C">
      <w:pPr>
        <w:pStyle w:val="ListParagraph"/>
        <w:numPr>
          <w:ilvl w:val="0"/>
          <w:numId w:val="1"/>
        </w:numPr>
        <w:spacing w:before="0"/>
      </w:pPr>
      <w:r w:rsidRPr="00345364">
        <w:t xml:space="preserve">For future data collection, the regions used for the study should be consistent with those identified in this report. </w:t>
      </w:r>
    </w:p>
    <w:p w:rsidR="00CF572C" w:rsidRPr="00345364" w:rsidRDefault="00CF572C" w:rsidP="00CF572C">
      <w:pPr>
        <w:pStyle w:val="ListParagraph"/>
        <w:numPr>
          <w:ilvl w:val="0"/>
          <w:numId w:val="1"/>
        </w:numPr>
        <w:spacing w:before="0"/>
      </w:pPr>
      <w:r w:rsidRPr="00345364">
        <w:t xml:space="preserve">A lower cost alternative to monitoring all communities where Opal fuel is present is to select sentinel sites for monitoring. </w:t>
      </w:r>
    </w:p>
    <w:p w:rsidR="00CF572C" w:rsidRPr="00345364" w:rsidRDefault="00CF572C" w:rsidP="00CF572C">
      <w:pPr>
        <w:spacing w:before="0"/>
        <w:ind w:left="360"/>
      </w:pPr>
    </w:p>
    <w:p w:rsidR="00CF572C" w:rsidRPr="00345364" w:rsidRDefault="00CF572C" w:rsidP="003C27D8">
      <w:pPr>
        <w:pStyle w:val="Heading1"/>
        <w:numPr>
          <w:ilvl w:val="0"/>
          <w:numId w:val="0"/>
        </w:numPr>
      </w:pPr>
      <w:r w:rsidRPr="00345364">
        <w:lastRenderedPageBreak/>
        <w:t xml:space="preserve">Conclusion </w:t>
      </w:r>
    </w:p>
    <w:p w:rsidR="00CF572C" w:rsidRPr="000F1D1C" w:rsidRDefault="00CF572C" w:rsidP="00CF572C">
      <w:pPr>
        <w:autoSpaceDE w:val="0"/>
        <w:autoSpaceDN w:val="0"/>
        <w:adjustRightInd w:val="0"/>
        <w:rPr>
          <w:color w:val="000000"/>
          <w:szCs w:val="24"/>
        </w:rPr>
      </w:pPr>
      <w:r w:rsidRPr="000F1D1C">
        <w:rPr>
          <w:color w:val="000000"/>
          <w:szCs w:val="24"/>
        </w:rPr>
        <w:t xml:space="preserve">The Department of Health and Ageing is currently conducting an impact evaluation of </w:t>
      </w:r>
      <w:r w:rsidRPr="000F1D1C">
        <w:rPr>
          <w:i/>
          <w:iCs/>
          <w:color w:val="000000"/>
          <w:szCs w:val="24"/>
        </w:rPr>
        <w:t xml:space="preserve">Opal </w:t>
      </w:r>
      <w:r w:rsidRPr="000F1D1C">
        <w:rPr>
          <w:color w:val="000000"/>
          <w:szCs w:val="24"/>
        </w:rPr>
        <w:t xml:space="preserve">fuel with the final report expected in October 2008. This evaluation will assess the impact of the roll-out of </w:t>
      </w:r>
      <w:r w:rsidRPr="000F1D1C">
        <w:rPr>
          <w:i/>
          <w:iCs/>
          <w:color w:val="000000"/>
          <w:szCs w:val="24"/>
        </w:rPr>
        <w:t xml:space="preserve">Opal </w:t>
      </w:r>
      <w:r w:rsidRPr="000F1D1C">
        <w:rPr>
          <w:color w:val="000000"/>
          <w:szCs w:val="24"/>
        </w:rPr>
        <w:t xml:space="preserve">fuel in contributing to the changes in prevalence of petrol sniffing by comparing a second round of data collection to the baseline data presented in this report. </w:t>
      </w:r>
    </w:p>
    <w:p w:rsidR="00CF572C" w:rsidRPr="000F1D1C" w:rsidRDefault="00CF572C" w:rsidP="00CF572C">
      <w:pPr>
        <w:autoSpaceDE w:val="0"/>
        <w:autoSpaceDN w:val="0"/>
        <w:adjustRightInd w:val="0"/>
        <w:spacing w:before="0"/>
        <w:rPr>
          <w:color w:val="000000"/>
          <w:szCs w:val="24"/>
        </w:rPr>
      </w:pPr>
    </w:p>
    <w:p w:rsidR="00CF572C" w:rsidRPr="000F1D1C" w:rsidRDefault="00CF572C" w:rsidP="00CF572C">
      <w:pPr>
        <w:autoSpaceDE w:val="0"/>
        <w:autoSpaceDN w:val="0"/>
        <w:adjustRightInd w:val="0"/>
        <w:spacing w:before="0"/>
        <w:rPr>
          <w:color w:val="000000"/>
          <w:szCs w:val="24"/>
        </w:rPr>
      </w:pPr>
      <w:r w:rsidRPr="000F1D1C">
        <w:rPr>
          <w:color w:val="000000"/>
          <w:szCs w:val="24"/>
        </w:rPr>
        <w:t xml:space="preserve">The recommendations that have been made in the baseline data collection report will be included in the </w:t>
      </w:r>
      <w:r w:rsidRPr="000F1D1C">
        <w:rPr>
          <w:i/>
          <w:iCs/>
          <w:color w:val="000000"/>
          <w:szCs w:val="24"/>
        </w:rPr>
        <w:t xml:space="preserve">Opal </w:t>
      </w:r>
      <w:r w:rsidRPr="000F1D1C">
        <w:rPr>
          <w:color w:val="000000"/>
          <w:szCs w:val="24"/>
        </w:rPr>
        <w:t xml:space="preserve">Impact Evaluation. </w:t>
      </w:r>
    </w:p>
    <w:p w:rsidR="00CF572C" w:rsidRPr="000F1D1C" w:rsidRDefault="00CF572C" w:rsidP="00CF572C">
      <w:pPr>
        <w:autoSpaceDE w:val="0"/>
        <w:autoSpaceDN w:val="0"/>
        <w:adjustRightInd w:val="0"/>
        <w:spacing w:before="0"/>
        <w:rPr>
          <w:color w:val="000000"/>
          <w:szCs w:val="24"/>
        </w:rPr>
      </w:pPr>
    </w:p>
    <w:p w:rsidR="00CF572C" w:rsidRDefault="00CF572C" w:rsidP="00CF572C">
      <w:pPr>
        <w:autoSpaceDE w:val="0"/>
        <w:autoSpaceDN w:val="0"/>
        <w:adjustRightInd w:val="0"/>
        <w:spacing w:before="0"/>
        <w:rPr>
          <w:color w:val="000000"/>
          <w:szCs w:val="24"/>
        </w:rPr>
      </w:pPr>
      <w:r w:rsidRPr="000F1D1C">
        <w:rPr>
          <w:color w:val="000000"/>
          <w:szCs w:val="24"/>
        </w:rPr>
        <w:t xml:space="preserve">The outcomes of the </w:t>
      </w:r>
      <w:r w:rsidRPr="000F1D1C">
        <w:rPr>
          <w:i/>
          <w:iCs/>
          <w:color w:val="000000"/>
          <w:szCs w:val="24"/>
        </w:rPr>
        <w:t xml:space="preserve">Opal </w:t>
      </w:r>
      <w:r w:rsidRPr="000F1D1C">
        <w:rPr>
          <w:color w:val="000000"/>
          <w:szCs w:val="24"/>
        </w:rPr>
        <w:t xml:space="preserve">fuel impact evaluation will link closely to an overall evaluation of the Petrol Sniffing Strategy (Eight Point Plan) being conducted by the Department of Families, Housing, Community Services and Indigenous Affairs. </w:t>
      </w:r>
    </w:p>
    <w:p w:rsidR="00CF572C" w:rsidRPr="000F1D1C" w:rsidRDefault="00CF572C" w:rsidP="00CF572C">
      <w:pPr>
        <w:autoSpaceDE w:val="0"/>
        <w:autoSpaceDN w:val="0"/>
        <w:adjustRightInd w:val="0"/>
        <w:spacing w:before="0"/>
        <w:rPr>
          <w:color w:val="000000"/>
          <w:szCs w:val="24"/>
        </w:rPr>
      </w:pPr>
    </w:p>
    <w:p w:rsidR="00CF572C" w:rsidRPr="000F1D1C" w:rsidRDefault="00CF572C" w:rsidP="00CF572C">
      <w:pPr>
        <w:spacing w:before="0"/>
        <w:jc w:val="center"/>
        <w:rPr>
          <w:b/>
          <w:bCs/>
          <w:i/>
          <w:iCs/>
          <w:color w:val="000000"/>
          <w:szCs w:val="24"/>
        </w:rPr>
      </w:pPr>
      <w:r>
        <w:rPr>
          <w:b/>
          <w:bCs/>
          <w:i/>
          <w:iCs/>
          <w:color w:val="000000"/>
          <w:szCs w:val="24"/>
        </w:rPr>
        <w:t>-----------------------------------------------------------------------------</w:t>
      </w:r>
    </w:p>
    <w:p w:rsidR="00CF572C" w:rsidRDefault="00CF572C" w:rsidP="00CF572C">
      <w:pPr>
        <w:spacing w:before="0"/>
        <w:rPr>
          <w:b/>
          <w:bCs/>
          <w:i/>
          <w:iCs/>
          <w:color w:val="000000"/>
          <w:szCs w:val="24"/>
        </w:rPr>
      </w:pPr>
    </w:p>
    <w:p w:rsidR="00CF572C" w:rsidRDefault="00CF572C" w:rsidP="00912FEC">
      <w:pPr>
        <w:spacing w:before="0"/>
        <w:jc w:val="center"/>
        <w:rPr>
          <w:b/>
          <w:bCs/>
          <w:i/>
          <w:iCs/>
          <w:color w:val="000000"/>
          <w:sz w:val="20"/>
          <w:szCs w:val="20"/>
        </w:rPr>
      </w:pPr>
      <w:r w:rsidRPr="00345364">
        <w:rPr>
          <w:b/>
          <w:bCs/>
          <w:i/>
          <w:iCs/>
          <w:color w:val="000000"/>
          <w:sz w:val="20"/>
          <w:szCs w:val="20"/>
        </w:rPr>
        <w:t>This is a summary of a report written by Peter d’Abbs (James Cook University) and Gillian Shaw (Bowchung Pty Ltd) for the Commonwealth Department of Health and Ageing</w:t>
      </w:r>
      <w:r w:rsidR="007D02CD">
        <w:rPr>
          <w:b/>
          <w:bCs/>
          <w:i/>
          <w:iCs/>
          <w:color w:val="000000"/>
          <w:sz w:val="20"/>
          <w:szCs w:val="20"/>
        </w:rPr>
        <w:t xml:space="preserve"> in 2007</w:t>
      </w:r>
      <w:r w:rsidRPr="00345364">
        <w:rPr>
          <w:b/>
          <w:bCs/>
          <w:i/>
          <w:iCs/>
          <w:color w:val="000000"/>
          <w:sz w:val="20"/>
          <w:szCs w:val="20"/>
        </w:rPr>
        <w:t>.</w:t>
      </w:r>
    </w:p>
    <w:p w:rsidR="007D02CD" w:rsidRDefault="007D02CD" w:rsidP="00912FEC">
      <w:pPr>
        <w:spacing w:before="0"/>
        <w:jc w:val="center"/>
        <w:rPr>
          <w:b/>
          <w:bCs/>
          <w:i/>
          <w:iCs/>
          <w:color w:val="000000"/>
          <w:sz w:val="20"/>
          <w:szCs w:val="20"/>
        </w:rPr>
      </w:pPr>
    </w:p>
    <w:p w:rsidR="007D02CD" w:rsidRPr="00912FEC" w:rsidRDefault="007D02CD" w:rsidP="00912FEC">
      <w:pPr>
        <w:spacing w:before="0"/>
        <w:jc w:val="center"/>
        <w:rPr>
          <w:b/>
          <w:bCs/>
          <w:i/>
          <w:iCs/>
          <w:color w:val="000000"/>
          <w:sz w:val="20"/>
          <w:szCs w:val="20"/>
        </w:rPr>
      </w:pPr>
    </w:p>
    <w:sectPr w:rsidR="007D02CD" w:rsidRPr="00912F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D8" w:rsidRDefault="003C27D8" w:rsidP="003C27D8">
      <w:pPr>
        <w:spacing w:before="0" w:line="240" w:lineRule="auto"/>
      </w:pPr>
      <w:r>
        <w:separator/>
      </w:r>
    </w:p>
  </w:endnote>
  <w:endnote w:type="continuationSeparator" w:id="0">
    <w:p w:rsidR="003C27D8" w:rsidRDefault="003C27D8" w:rsidP="003C27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D8" w:rsidRDefault="003C2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D8" w:rsidRDefault="003C27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D8" w:rsidRDefault="003C2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D8" w:rsidRDefault="003C27D8" w:rsidP="003C27D8">
      <w:pPr>
        <w:spacing w:before="0" w:line="240" w:lineRule="auto"/>
      </w:pPr>
      <w:r>
        <w:separator/>
      </w:r>
    </w:p>
  </w:footnote>
  <w:footnote w:type="continuationSeparator" w:id="0">
    <w:p w:rsidR="003C27D8" w:rsidRDefault="003C27D8" w:rsidP="003C27D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D8" w:rsidRDefault="003C2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D8" w:rsidRDefault="003C27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D8" w:rsidRDefault="003C2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171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30867B8"/>
    <w:multiLevelType w:val="hybridMultilevel"/>
    <w:tmpl w:val="849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2C"/>
    <w:rsid w:val="000E7A87"/>
    <w:rsid w:val="003C27D8"/>
    <w:rsid w:val="006A1109"/>
    <w:rsid w:val="00736608"/>
    <w:rsid w:val="007D02CD"/>
    <w:rsid w:val="00912FEC"/>
    <w:rsid w:val="00B27550"/>
    <w:rsid w:val="00CA40FF"/>
    <w:rsid w:val="00C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2C"/>
    <w:pPr>
      <w:spacing w:before="200" w:after="0"/>
    </w:pPr>
    <w:rPr>
      <w:rFonts w:asciiTheme="majorHAnsi" w:hAnsiTheme="majorHAnsi"/>
      <w:sz w:val="24"/>
    </w:rPr>
  </w:style>
  <w:style w:type="paragraph" w:styleId="Heading1">
    <w:name w:val="heading 1"/>
    <w:basedOn w:val="Normal"/>
    <w:next w:val="Normal"/>
    <w:link w:val="Heading1Char"/>
    <w:uiPriority w:val="9"/>
    <w:qFormat/>
    <w:rsid w:val="00CF572C"/>
    <w:pPr>
      <w:keepNext/>
      <w:keepLines/>
      <w:numPr>
        <w:numId w:val="2"/>
      </w:numPr>
      <w:spacing w:before="480"/>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9"/>
    <w:unhideWhenUsed/>
    <w:qFormat/>
    <w:rsid w:val="00CF572C"/>
    <w:pPr>
      <w:keepNext/>
      <w:keepLines/>
      <w:numPr>
        <w:ilvl w:val="1"/>
        <w:numId w:val="2"/>
      </w:numPr>
      <w:outlineLvl w:val="1"/>
    </w:pPr>
    <w:rPr>
      <w:rFonts w:eastAsiaTheme="majorEastAsia" w:cstheme="majorBidi"/>
      <w:b/>
      <w:bCs/>
      <w:noProof/>
      <w:color w:val="4F81BD" w:themeColor="accent1"/>
      <w:sz w:val="26"/>
      <w:szCs w:val="26"/>
    </w:rPr>
  </w:style>
  <w:style w:type="paragraph" w:styleId="Heading3">
    <w:name w:val="heading 3"/>
    <w:basedOn w:val="Normal"/>
    <w:next w:val="Normal"/>
    <w:link w:val="Heading3Char"/>
    <w:uiPriority w:val="9"/>
    <w:unhideWhenUsed/>
    <w:qFormat/>
    <w:rsid w:val="00CF572C"/>
    <w:pPr>
      <w:keepNext/>
      <w:keepLines/>
      <w:numPr>
        <w:ilvl w:val="2"/>
        <w:numId w:val="2"/>
      </w:numPr>
      <w:outlineLvl w:val="2"/>
    </w:pPr>
    <w:rPr>
      <w:rFonts w:eastAsiaTheme="majorEastAsia" w:cstheme="majorBidi"/>
      <w:b/>
      <w:bCs/>
      <w:color w:val="4F81BD" w:themeColor="accent1"/>
      <w:szCs w:val="24"/>
    </w:rPr>
  </w:style>
  <w:style w:type="paragraph" w:styleId="Heading4">
    <w:name w:val="heading 4"/>
    <w:basedOn w:val="Normal"/>
    <w:next w:val="Normal"/>
    <w:link w:val="Heading4Char"/>
    <w:uiPriority w:val="9"/>
    <w:unhideWhenUsed/>
    <w:qFormat/>
    <w:rsid w:val="00CF572C"/>
    <w:pPr>
      <w:keepNext/>
      <w:keepLines/>
      <w:numPr>
        <w:ilvl w:val="3"/>
        <w:numId w:val="2"/>
      </w:numPr>
      <w:outlineLvl w:val="3"/>
    </w:pPr>
    <w:rPr>
      <w:rFonts w:eastAsiaTheme="majorEastAsia" w:cstheme="majorBidi"/>
      <w:b/>
      <w:bCs/>
      <w:i/>
      <w:iCs/>
      <w:color w:val="76923C" w:themeColor="accent3" w:themeShade="BF"/>
    </w:rPr>
  </w:style>
  <w:style w:type="paragraph" w:styleId="Heading5">
    <w:name w:val="heading 5"/>
    <w:basedOn w:val="Normal"/>
    <w:next w:val="Normal"/>
    <w:link w:val="Heading5Char"/>
    <w:uiPriority w:val="9"/>
    <w:semiHidden/>
    <w:unhideWhenUsed/>
    <w:qFormat/>
    <w:rsid w:val="00CF572C"/>
    <w:pPr>
      <w:keepNext/>
      <w:keepLines/>
      <w:numPr>
        <w:ilvl w:val="4"/>
        <w:numId w:val="2"/>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F572C"/>
    <w:pPr>
      <w:keepNext/>
      <w:keepLines/>
      <w:numPr>
        <w:ilvl w:val="5"/>
        <w:numId w:val="2"/>
      </w:numPr>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CF572C"/>
    <w:pPr>
      <w:keepNext/>
      <w:keepLines/>
      <w:numPr>
        <w:ilvl w:val="6"/>
        <w:numId w:val="2"/>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F572C"/>
    <w:pPr>
      <w:keepNext/>
      <w:keepLines/>
      <w:numPr>
        <w:ilvl w:val="7"/>
        <w:numId w:val="2"/>
      </w:numPr>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572C"/>
    <w:pPr>
      <w:keepNext/>
      <w:keepLines/>
      <w:numPr>
        <w:ilvl w:val="8"/>
        <w:numId w:val="2"/>
      </w:numPr>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C"/>
    <w:rPr>
      <w:rFonts w:asciiTheme="majorHAnsi" w:eastAsiaTheme="majorEastAsia" w:hAnsiTheme="majorHAnsi" w:cstheme="majorBidi"/>
      <w:b/>
      <w:bCs/>
      <w:color w:val="4F81BD" w:themeColor="accent1"/>
      <w:sz w:val="28"/>
      <w:szCs w:val="28"/>
    </w:rPr>
  </w:style>
  <w:style w:type="character" w:customStyle="1" w:styleId="Heading2Char">
    <w:name w:val="Heading 2 Char"/>
    <w:basedOn w:val="DefaultParagraphFont"/>
    <w:link w:val="Heading2"/>
    <w:uiPriority w:val="9"/>
    <w:rsid w:val="00CF572C"/>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CF572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F572C"/>
    <w:rPr>
      <w:rFonts w:asciiTheme="majorHAnsi" w:eastAsiaTheme="majorEastAsia" w:hAnsiTheme="majorHAnsi" w:cstheme="majorBidi"/>
      <w:b/>
      <w:bCs/>
      <w:i/>
      <w:iCs/>
      <w:color w:val="76923C" w:themeColor="accent3" w:themeShade="BF"/>
      <w:sz w:val="24"/>
    </w:rPr>
  </w:style>
  <w:style w:type="character" w:customStyle="1" w:styleId="Heading5Char">
    <w:name w:val="Heading 5 Char"/>
    <w:basedOn w:val="DefaultParagraphFont"/>
    <w:link w:val="Heading5"/>
    <w:uiPriority w:val="9"/>
    <w:semiHidden/>
    <w:rsid w:val="00CF572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F572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F572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F57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572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F572C"/>
    <w:pPr>
      <w:ind w:left="720"/>
      <w:contextualSpacing/>
    </w:pPr>
  </w:style>
  <w:style w:type="paragraph" w:styleId="Header">
    <w:name w:val="header"/>
    <w:basedOn w:val="Normal"/>
    <w:link w:val="HeaderChar"/>
    <w:uiPriority w:val="99"/>
    <w:unhideWhenUsed/>
    <w:rsid w:val="003C27D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C27D8"/>
    <w:rPr>
      <w:rFonts w:asciiTheme="majorHAnsi" w:hAnsiTheme="majorHAnsi"/>
      <w:sz w:val="24"/>
    </w:rPr>
  </w:style>
  <w:style w:type="paragraph" w:styleId="Footer">
    <w:name w:val="footer"/>
    <w:basedOn w:val="Normal"/>
    <w:link w:val="FooterChar"/>
    <w:uiPriority w:val="99"/>
    <w:unhideWhenUsed/>
    <w:rsid w:val="003C27D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C27D8"/>
    <w:rPr>
      <w:rFonts w:asciiTheme="majorHAnsi" w:hAnsiTheme="majorHAnsi"/>
      <w:sz w:val="24"/>
    </w:rPr>
  </w:style>
  <w:style w:type="paragraph" w:styleId="Title">
    <w:name w:val="Title"/>
    <w:basedOn w:val="Normal"/>
    <w:next w:val="Normal"/>
    <w:link w:val="TitleChar"/>
    <w:uiPriority w:val="10"/>
    <w:qFormat/>
    <w:rsid w:val="003C27D8"/>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7D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2C"/>
    <w:pPr>
      <w:spacing w:before="200" w:after="0"/>
    </w:pPr>
    <w:rPr>
      <w:rFonts w:asciiTheme="majorHAnsi" w:hAnsiTheme="majorHAnsi"/>
      <w:sz w:val="24"/>
    </w:rPr>
  </w:style>
  <w:style w:type="paragraph" w:styleId="Heading1">
    <w:name w:val="heading 1"/>
    <w:basedOn w:val="Normal"/>
    <w:next w:val="Normal"/>
    <w:link w:val="Heading1Char"/>
    <w:uiPriority w:val="9"/>
    <w:qFormat/>
    <w:rsid w:val="00CF572C"/>
    <w:pPr>
      <w:keepNext/>
      <w:keepLines/>
      <w:numPr>
        <w:numId w:val="2"/>
      </w:numPr>
      <w:spacing w:before="480"/>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9"/>
    <w:unhideWhenUsed/>
    <w:qFormat/>
    <w:rsid w:val="00CF572C"/>
    <w:pPr>
      <w:keepNext/>
      <w:keepLines/>
      <w:numPr>
        <w:ilvl w:val="1"/>
        <w:numId w:val="2"/>
      </w:numPr>
      <w:outlineLvl w:val="1"/>
    </w:pPr>
    <w:rPr>
      <w:rFonts w:eastAsiaTheme="majorEastAsia" w:cstheme="majorBidi"/>
      <w:b/>
      <w:bCs/>
      <w:noProof/>
      <w:color w:val="4F81BD" w:themeColor="accent1"/>
      <w:sz w:val="26"/>
      <w:szCs w:val="26"/>
    </w:rPr>
  </w:style>
  <w:style w:type="paragraph" w:styleId="Heading3">
    <w:name w:val="heading 3"/>
    <w:basedOn w:val="Normal"/>
    <w:next w:val="Normal"/>
    <w:link w:val="Heading3Char"/>
    <w:uiPriority w:val="9"/>
    <w:unhideWhenUsed/>
    <w:qFormat/>
    <w:rsid w:val="00CF572C"/>
    <w:pPr>
      <w:keepNext/>
      <w:keepLines/>
      <w:numPr>
        <w:ilvl w:val="2"/>
        <w:numId w:val="2"/>
      </w:numPr>
      <w:outlineLvl w:val="2"/>
    </w:pPr>
    <w:rPr>
      <w:rFonts w:eastAsiaTheme="majorEastAsia" w:cstheme="majorBidi"/>
      <w:b/>
      <w:bCs/>
      <w:color w:val="4F81BD" w:themeColor="accent1"/>
      <w:szCs w:val="24"/>
    </w:rPr>
  </w:style>
  <w:style w:type="paragraph" w:styleId="Heading4">
    <w:name w:val="heading 4"/>
    <w:basedOn w:val="Normal"/>
    <w:next w:val="Normal"/>
    <w:link w:val="Heading4Char"/>
    <w:uiPriority w:val="9"/>
    <w:unhideWhenUsed/>
    <w:qFormat/>
    <w:rsid w:val="00CF572C"/>
    <w:pPr>
      <w:keepNext/>
      <w:keepLines/>
      <w:numPr>
        <w:ilvl w:val="3"/>
        <w:numId w:val="2"/>
      </w:numPr>
      <w:outlineLvl w:val="3"/>
    </w:pPr>
    <w:rPr>
      <w:rFonts w:eastAsiaTheme="majorEastAsia" w:cstheme="majorBidi"/>
      <w:b/>
      <w:bCs/>
      <w:i/>
      <w:iCs/>
      <w:color w:val="76923C" w:themeColor="accent3" w:themeShade="BF"/>
    </w:rPr>
  </w:style>
  <w:style w:type="paragraph" w:styleId="Heading5">
    <w:name w:val="heading 5"/>
    <w:basedOn w:val="Normal"/>
    <w:next w:val="Normal"/>
    <w:link w:val="Heading5Char"/>
    <w:uiPriority w:val="9"/>
    <w:semiHidden/>
    <w:unhideWhenUsed/>
    <w:qFormat/>
    <w:rsid w:val="00CF572C"/>
    <w:pPr>
      <w:keepNext/>
      <w:keepLines/>
      <w:numPr>
        <w:ilvl w:val="4"/>
        <w:numId w:val="2"/>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F572C"/>
    <w:pPr>
      <w:keepNext/>
      <w:keepLines/>
      <w:numPr>
        <w:ilvl w:val="5"/>
        <w:numId w:val="2"/>
      </w:numPr>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CF572C"/>
    <w:pPr>
      <w:keepNext/>
      <w:keepLines/>
      <w:numPr>
        <w:ilvl w:val="6"/>
        <w:numId w:val="2"/>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F572C"/>
    <w:pPr>
      <w:keepNext/>
      <w:keepLines/>
      <w:numPr>
        <w:ilvl w:val="7"/>
        <w:numId w:val="2"/>
      </w:numPr>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572C"/>
    <w:pPr>
      <w:keepNext/>
      <w:keepLines/>
      <w:numPr>
        <w:ilvl w:val="8"/>
        <w:numId w:val="2"/>
      </w:numPr>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C"/>
    <w:rPr>
      <w:rFonts w:asciiTheme="majorHAnsi" w:eastAsiaTheme="majorEastAsia" w:hAnsiTheme="majorHAnsi" w:cstheme="majorBidi"/>
      <w:b/>
      <w:bCs/>
      <w:color w:val="4F81BD" w:themeColor="accent1"/>
      <w:sz w:val="28"/>
      <w:szCs w:val="28"/>
    </w:rPr>
  </w:style>
  <w:style w:type="character" w:customStyle="1" w:styleId="Heading2Char">
    <w:name w:val="Heading 2 Char"/>
    <w:basedOn w:val="DefaultParagraphFont"/>
    <w:link w:val="Heading2"/>
    <w:uiPriority w:val="9"/>
    <w:rsid w:val="00CF572C"/>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CF572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F572C"/>
    <w:rPr>
      <w:rFonts w:asciiTheme="majorHAnsi" w:eastAsiaTheme="majorEastAsia" w:hAnsiTheme="majorHAnsi" w:cstheme="majorBidi"/>
      <w:b/>
      <w:bCs/>
      <w:i/>
      <w:iCs/>
      <w:color w:val="76923C" w:themeColor="accent3" w:themeShade="BF"/>
      <w:sz w:val="24"/>
    </w:rPr>
  </w:style>
  <w:style w:type="character" w:customStyle="1" w:styleId="Heading5Char">
    <w:name w:val="Heading 5 Char"/>
    <w:basedOn w:val="DefaultParagraphFont"/>
    <w:link w:val="Heading5"/>
    <w:uiPriority w:val="9"/>
    <w:semiHidden/>
    <w:rsid w:val="00CF572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F572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F572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F57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572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F572C"/>
    <w:pPr>
      <w:ind w:left="720"/>
      <w:contextualSpacing/>
    </w:pPr>
  </w:style>
  <w:style w:type="paragraph" w:styleId="Header">
    <w:name w:val="header"/>
    <w:basedOn w:val="Normal"/>
    <w:link w:val="HeaderChar"/>
    <w:uiPriority w:val="99"/>
    <w:unhideWhenUsed/>
    <w:rsid w:val="003C27D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C27D8"/>
    <w:rPr>
      <w:rFonts w:asciiTheme="majorHAnsi" w:hAnsiTheme="majorHAnsi"/>
      <w:sz w:val="24"/>
    </w:rPr>
  </w:style>
  <w:style w:type="paragraph" w:styleId="Footer">
    <w:name w:val="footer"/>
    <w:basedOn w:val="Normal"/>
    <w:link w:val="FooterChar"/>
    <w:uiPriority w:val="99"/>
    <w:unhideWhenUsed/>
    <w:rsid w:val="003C27D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C27D8"/>
    <w:rPr>
      <w:rFonts w:asciiTheme="majorHAnsi" w:hAnsiTheme="majorHAnsi"/>
      <w:sz w:val="24"/>
    </w:rPr>
  </w:style>
  <w:style w:type="paragraph" w:styleId="Title">
    <w:name w:val="Title"/>
    <w:basedOn w:val="Normal"/>
    <w:next w:val="Normal"/>
    <w:link w:val="TitleChar"/>
    <w:uiPriority w:val="10"/>
    <w:qFormat/>
    <w:rsid w:val="003C27D8"/>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7D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2016-04-10T23:52:00Z</dcterms:created>
  <dcterms:modified xsi:type="dcterms:W3CDTF">2016-04-10T23:52:00Z</dcterms:modified>
</cp:coreProperties>
</file>