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497" w:rsidRDefault="0016055B">
      <w:bookmarkStart w:id="0" w:name="_GoBack"/>
      <w:bookmarkEnd w:id="0"/>
      <w:r>
        <w:rPr>
          <w:noProof/>
          <w:lang w:eastAsia="en-AU"/>
        </w:rPr>
        <w:drawing>
          <wp:anchor distT="0" distB="0" distL="114300" distR="114300" simplePos="0" relativeHeight="251658242" behindDoc="0" locked="0" layoutInCell="1" allowOverlap="1" wp14:anchorId="7A1AE0C6" wp14:editId="7A1AE0C7">
            <wp:simplePos x="0" y="0"/>
            <wp:positionH relativeFrom="column">
              <wp:posOffset>-972507</wp:posOffset>
            </wp:positionH>
            <wp:positionV relativeFrom="paragraph">
              <wp:posOffset>-1248815</wp:posOffset>
            </wp:positionV>
            <wp:extent cx="7560000" cy="10681200"/>
            <wp:effectExtent l="0" t="0" r="3175" b="6350"/>
            <wp:wrapNone/>
            <wp:docPr id="16" name="Picture 16" descr="A review of the National Partnership Agreement on Remote Indigenous Housing and the Remote Housing Strategy (2008-2018)" title="Remote Hous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6424\AppData\Local\Microsoft\Windows\Temporary Internet Files\Content.Outlook\01ZEL300\NPRH Review Cover P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497" w:rsidRDefault="00D85497">
      <w:r>
        <w:br w:type="page"/>
      </w:r>
    </w:p>
    <w:p w:rsidR="00D85497" w:rsidRPr="00A53387" w:rsidRDefault="00F5153D" w:rsidP="00C65A29">
      <w:pPr>
        <w:pStyle w:val="Header1"/>
        <w:rPr>
          <w:color w:val="FFFFFF" w:themeColor="background1"/>
        </w:rPr>
      </w:pPr>
      <w:bookmarkStart w:id="1" w:name="_Toc482350673"/>
      <w:bookmarkStart w:id="2" w:name="_Toc490218676"/>
      <w:r w:rsidRPr="00A53387">
        <w:rPr>
          <w:color w:val="FFFFFF" w:themeColor="background1"/>
        </w:rPr>
        <w:lastRenderedPageBreak/>
        <w:t>Remote Housing Review</w:t>
      </w:r>
      <w:bookmarkEnd w:id="1"/>
      <w:bookmarkEnd w:id="2"/>
    </w:p>
    <w:p w:rsidR="00F5153D" w:rsidRPr="00A53387" w:rsidRDefault="00F5153D">
      <w:pPr>
        <w:rPr>
          <w:color w:val="FFFFFF" w:themeColor="background1"/>
        </w:rPr>
      </w:pPr>
      <w:r w:rsidRPr="00A53387">
        <w:rPr>
          <w:color w:val="FFFFFF" w:themeColor="background1"/>
        </w:rPr>
        <w:t>A review of the National Partnership Agreement on Remote Indigenous Housing and the Remote Housing Strategy (2008-2018)</w:t>
      </w:r>
    </w:p>
    <w:p w:rsidR="00C111EA" w:rsidRDefault="00B170D1" w:rsidP="00F5153D">
      <w:pPr>
        <w:spacing w:before="3240"/>
      </w:pPr>
      <w:r>
        <w:t>Artwork by Ashlee Burns who is a proud descendant of the Gungg</w:t>
      </w:r>
      <w:r w:rsidR="00134980">
        <w:t xml:space="preserve">andji and Kuku Djungan people. </w:t>
      </w:r>
    </w:p>
    <w:p w:rsidR="00D85497" w:rsidRPr="00C111EA" w:rsidRDefault="00134980" w:rsidP="00B170D1">
      <w:pPr>
        <w:rPr>
          <w:i/>
        </w:rPr>
      </w:pPr>
      <w:r w:rsidRPr="00C111EA">
        <w:rPr>
          <w:i/>
        </w:rPr>
        <w:t>‘</w:t>
      </w:r>
      <w:r w:rsidR="00D85497" w:rsidRPr="00C111EA">
        <w:rPr>
          <w:i/>
        </w:rPr>
        <w:t xml:space="preserve">The artwork was influenced strongly by the nature and land of Australia. The curved parallel lines, also known as stratum, were inspired by sedimentary layers of rock that can be found deep within the earth.  </w:t>
      </w:r>
    </w:p>
    <w:p w:rsidR="00D85497" w:rsidRPr="00C111EA" w:rsidRDefault="00D85497" w:rsidP="00D85497">
      <w:pPr>
        <w:rPr>
          <w:i/>
        </w:rPr>
      </w:pPr>
      <w:r w:rsidRPr="00C111EA">
        <w:rPr>
          <w:i/>
        </w:rPr>
        <w:t xml:space="preserve">All the colours used throughout are representative of the beautiful Australian landscape and the diversity of the earth found across our nation. </w:t>
      </w:r>
    </w:p>
    <w:p w:rsidR="00F5153D" w:rsidRDefault="00D85497">
      <w:pPr>
        <w:rPr>
          <w:i/>
        </w:rPr>
      </w:pPr>
      <w:r w:rsidRPr="00C111EA">
        <w:rPr>
          <w:i/>
        </w:rPr>
        <w:t>The use of a stratum lines is meant to represent the many layers found within Aboriginal and Torres Strait Islander history. While the blue symbolises oceans and rivers, the green, orange and the yellow represents the land. Together these elements encapsulate all the differing communities of Australia.</w:t>
      </w:r>
      <w:r w:rsidR="00134980" w:rsidRPr="00C111EA">
        <w:rPr>
          <w:i/>
        </w:rPr>
        <w:t>’</w:t>
      </w:r>
      <w:r w:rsidRPr="00C111EA">
        <w:rPr>
          <w:i/>
        </w:rPr>
        <w:t xml:space="preserve"> </w:t>
      </w:r>
    </w:p>
    <w:p w:rsidR="00F5153D" w:rsidRDefault="00F5153D">
      <w:pPr>
        <w:rPr>
          <w:i/>
        </w:rPr>
      </w:pPr>
      <w:r>
        <w:rPr>
          <w:i/>
        </w:rPr>
        <w:br w:type="page"/>
      </w:r>
    </w:p>
    <w:p w:rsidR="00530D3D" w:rsidRDefault="00530D3D" w:rsidP="00530D3D">
      <w:pPr>
        <w:pStyle w:val="Heading4"/>
        <w:numPr>
          <w:ilvl w:val="0"/>
          <w:numId w:val="0"/>
        </w:numPr>
        <w:shd w:val="clear" w:color="auto" w:fill="FFFFFF" w:themeFill="background1"/>
        <w:spacing w:line="270" w:lineRule="atLeast"/>
        <w:ind w:left="864" w:hanging="864"/>
        <w:rPr>
          <w:rFonts w:ascii="Arial" w:eastAsia="Times New Roman" w:hAnsi="Arial" w:cs="Arial"/>
          <w:color w:val="2C2B2B"/>
          <w:lang w:val="en-US"/>
        </w:rPr>
      </w:pPr>
      <w:bookmarkStart w:id="3" w:name="_Toc482350674"/>
      <w:r>
        <w:rPr>
          <w:rStyle w:val="Strong"/>
          <w:rFonts w:ascii="Arial" w:eastAsia="Times New Roman" w:hAnsi="Arial" w:cs="Arial"/>
          <w:b w:val="0"/>
          <w:bCs w:val="0"/>
          <w:color w:val="2C2B2B"/>
          <w:lang w:val="en-US"/>
        </w:rPr>
        <w:lastRenderedPageBreak/>
        <w:t>Copyright Statement</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________________________________________________________________________________________</w:t>
      </w:r>
    </w:p>
    <w:p w:rsidR="00530D3D" w:rsidRDefault="00A25EC5" w:rsidP="00530D3D">
      <w:pPr>
        <w:pStyle w:val="NormalWeb"/>
        <w:shd w:val="clear" w:color="auto" w:fill="FFFFFF" w:themeFill="background1"/>
        <w:spacing w:line="270" w:lineRule="atLeast"/>
        <w:rPr>
          <w:lang w:eastAsia="en-AU"/>
        </w:rPr>
      </w:pPr>
      <w:r>
        <w:rPr>
          <w:lang w:eastAsia="en-AU"/>
        </w:rPr>
        <w:t>Remote Housing Review</w:t>
      </w:r>
      <w:r w:rsidR="00530D3D">
        <w:rPr>
          <w:lang w:eastAsia="en-AU"/>
        </w:rPr>
        <w:t xml:space="preserve">: A review of the National Partnership Agreement on Remote Indigenous Housing and the Remote Housing Strategy (2008-2018) </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2017</w:t>
      </w:r>
    </w:p>
    <w:p w:rsidR="00530D3D" w:rsidRPr="00530D3D" w:rsidRDefault="00530D3D" w:rsidP="00530D3D">
      <w:pPr>
        <w:shd w:val="clear" w:color="auto" w:fill="FFFFFF" w:themeFill="background1"/>
        <w:spacing w:after="0"/>
        <w:rPr>
          <w:rFonts w:cstheme="minorHAnsi"/>
          <w:lang w:eastAsia="en-AU"/>
        </w:rPr>
      </w:pPr>
      <w:r w:rsidRPr="00530D3D">
        <w:rPr>
          <w:rFonts w:cstheme="minorHAnsi"/>
          <w:lang w:val="en-US"/>
        </w:rPr>
        <w:t xml:space="preserve">ISBN </w:t>
      </w:r>
      <w:r w:rsidRPr="00530D3D">
        <w:rPr>
          <w:rFonts w:cstheme="minorHAnsi"/>
          <w:lang w:eastAsia="en-AU"/>
        </w:rPr>
        <w:t>978-1-925362-68-8</w:t>
      </w:r>
      <w:r w:rsidRPr="00530D3D">
        <w:rPr>
          <w:rFonts w:cstheme="minorHAnsi"/>
          <w:lang w:val="en-US"/>
        </w:rPr>
        <w:t xml:space="preserve"> </w:t>
      </w:r>
      <w:r w:rsidR="00A25EC5">
        <w:rPr>
          <w:rFonts w:cstheme="minorHAnsi"/>
          <w:i/>
          <w:lang w:eastAsia="en-AU"/>
        </w:rPr>
        <w:t>Remote Housing Review</w:t>
      </w:r>
      <w:r w:rsidRPr="00A25EC5">
        <w:rPr>
          <w:rFonts w:cstheme="minorHAnsi"/>
          <w:i/>
          <w:lang w:eastAsia="en-AU"/>
        </w:rPr>
        <w:t>: A review of the National Partnership Agreement on Remote Indigenous Housing and the Remote Housing Strategy (2008-2018)</w:t>
      </w:r>
      <w:r w:rsidRPr="00530D3D">
        <w:rPr>
          <w:rFonts w:cstheme="minorHAnsi"/>
          <w:lang w:eastAsia="en-AU"/>
        </w:rPr>
        <w:t xml:space="preserve"> (PDF) </w:t>
      </w:r>
    </w:p>
    <w:p w:rsidR="00530D3D" w:rsidRPr="00530D3D" w:rsidRDefault="00530D3D" w:rsidP="00530D3D">
      <w:pPr>
        <w:shd w:val="clear" w:color="auto" w:fill="FFFFFF" w:themeFill="background1"/>
        <w:spacing w:after="0"/>
        <w:rPr>
          <w:rFonts w:cstheme="minorHAnsi"/>
          <w:lang w:eastAsia="en-AU"/>
        </w:rPr>
      </w:pPr>
    </w:p>
    <w:p w:rsidR="00530D3D" w:rsidRDefault="00530D3D" w:rsidP="00530D3D">
      <w:pPr>
        <w:shd w:val="clear" w:color="auto" w:fill="FFFFFF" w:themeFill="background1"/>
        <w:spacing w:after="0"/>
        <w:rPr>
          <w:rFonts w:cstheme="minorHAnsi"/>
          <w:lang w:val="en-US"/>
        </w:rPr>
      </w:pPr>
      <w:r w:rsidRPr="00530D3D">
        <w:rPr>
          <w:rFonts w:cstheme="minorHAnsi"/>
          <w:lang w:val="en-US"/>
        </w:rPr>
        <w:t xml:space="preserve">ISBN 978-1-925362-69 </w:t>
      </w:r>
      <w:r w:rsidR="00A25EC5">
        <w:rPr>
          <w:rFonts w:cstheme="minorHAnsi"/>
          <w:i/>
          <w:lang w:eastAsia="en-AU"/>
        </w:rPr>
        <w:t>Remote Housing Review</w:t>
      </w:r>
      <w:r w:rsidRPr="00A25EC5">
        <w:rPr>
          <w:rFonts w:cstheme="minorHAnsi"/>
          <w:i/>
          <w:lang w:eastAsia="en-AU"/>
        </w:rPr>
        <w:t>: A review of the National Partnership Agreement on Remote Indigenous Housing and the Remote Housing Strategy (2008-2018)</w:t>
      </w:r>
      <w:r w:rsidRPr="00530D3D">
        <w:rPr>
          <w:rFonts w:cstheme="minorHAnsi"/>
          <w:lang w:val="en-US"/>
        </w:rPr>
        <w:t xml:space="preserve"> (DOCX)</w:t>
      </w:r>
    </w:p>
    <w:p w:rsidR="003627CC" w:rsidRPr="00530D3D" w:rsidRDefault="003627CC" w:rsidP="00530D3D">
      <w:pPr>
        <w:shd w:val="clear" w:color="auto" w:fill="FFFFFF" w:themeFill="background1"/>
        <w:spacing w:after="0"/>
        <w:rPr>
          <w:rFonts w:cstheme="minorHAnsi"/>
          <w:lang w:val="en-US"/>
        </w:rPr>
      </w:pPr>
    </w:p>
    <w:p w:rsidR="003627CC" w:rsidRPr="00A438E8" w:rsidRDefault="00530D3D" w:rsidP="003627CC">
      <w:pPr>
        <w:pStyle w:val="NormalWeb"/>
        <w:shd w:val="clear" w:color="auto" w:fill="FFFFFF" w:themeFill="background1"/>
        <w:spacing w:line="270" w:lineRule="atLeast"/>
        <w:rPr>
          <w:rFonts w:asciiTheme="minorHAnsi" w:hAnsiTheme="minorHAnsi" w:cstheme="minorHAnsi"/>
          <w:sz w:val="22"/>
          <w:szCs w:val="22"/>
          <w:lang w:val="en-US"/>
        </w:rPr>
      </w:pPr>
      <w:r>
        <w:rPr>
          <w:rFonts w:ascii="Arial" w:hAnsi="Arial" w:cs="Arial"/>
          <w:color w:val="2C2B2B"/>
          <w:sz w:val="18"/>
          <w:szCs w:val="18"/>
          <w:lang w:val="en-US"/>
        </w:rPr>
        <w:t> </w:t>
      </w:r>
      <w:r w:rsidR="003627CC" w:rsidRPr="00A438E8">
        <w:rPr>
          <w:rFonts w:asciiTheme="minorHAnsi" w:hAnsiTheme="minorHAnsi" w:cstheme="minorHAnsi"/>
          <w:sz w:val="22"/>
          <w:szCs w:val="22"/>
          <w:lang w:val="en-US"/>
        </w:rPr>
        <w:t xml:space="preserve">ISBN 978-1-925362-70-1 </w:t>
      </w:r>
      <w:r w:rsidR="003627CC" w:rsidRPr="00A438E8">
        <w:rPr>
          <w:rFonts w:asciiTheme="minorHAnsi" w:hAnsiTheme="minorHAnsi" w:cstheme="minorHAnsi"/>
          <w:i/>
          <w:sz w:val="22"/>
          <w:szCs w:val="22"/>
          <w:lang w:val="en-US"/>
        </w:rPr>
        <w:t>Remote Housing Review: A review of the National Partnership Agreement on Remote Indigenous Housing and the Remote Housing Strategy (2008-2018)</w:t>
      </w:r>
      <w:r w:rsidR="003627CC" w:rsidRPr="00A438E8">
        <w:rPr>
          <w:rFonts w:asciiTheme="minorHAnsi" w:hAnsiTheme="minorHAnsi" w:cstheme="minorHAnsi"/>
          <w:sz w:val="22"/>
          <w:szCs w:val="22"/>
          <w:lang w:val="en-US"/>
        </w:rPr>
        <w:t xml:space="preserve"> Print Version</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Copyright Notice</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xml:space="preserve">With the exception of the Commonwealth Coat of Arms, this work is licensed under a Creative Commons Attribution 4.0 International licence (CC BY 4.0)( </w:t>
      </w:r>
      <w:hyperlink r:id="rId12" w:history="1">
        <w:r>
          <w:rPr>
            <w:rStyle w:val="Hyperlink"/>
            <w:rFonts w:ascii="Arial" w:hAnsi="Arial" w:cs="Arial"/>
            <w:sz w:val="18"/>
            <w:szCs w:val="18"/>
            <w:lang w:val="en-US"/>
          </w:rPr>
          <w:t>https://creativecommons.org/licenses/by/4.0/</w:t>
        </w:r>
      </w:hyperlink>
      <w:r>
        <w:rPr>
          <w:rFonts w:ascii="Arial" w:hAnsi="Arial" w:cs="Arial"/>
          <w:color w:val="2C2B2B"/>
          <w:sz w:val="18"/>
          <w:szCs w:val="18"/>
          <w:lang w:val="en-US"/>
        </w:rPr>
        <w:t xml:space="preserve"> ).</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noProof/>
          <w:color w:val="1772AF"/>
          <w:sz w:val="18"/>
          <w:szCs w:val="18"/>
          <w:lang w:eastAsia="en-AU"/>
        </w:rPr>
        <w:drawing>
          <wp:inline distT="0" distB="0" distL="0" distR="0" wp14:anchorId="57B3EC0E" wp14:editId="0ABE835B">
            <wp:extent cx="662940" cy="228600"/>
            <wp:effectExtent l="0" t="0" r="3810" b="0"/>
            <wp:docPr id="8" name="Picture 8" descr="ccb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by"/>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Third party copyright</w:t>
      </w:r>
      <w:r>
        <w:rPr>
          <w:rFonts w:ascii="Arial" w:hAnsi="Arial" w:cs="Arial"/>
          <w:b/>
          <w:bCs/>
          <w:color w:val="2C2B2B"/>
          <w:sz w:val="18"/>
          <w:szCs w:val="18"/>
          <w:lang w:val="en-US"/>
        </w:rPr>
        <w:br/>
      </w: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Attribution</w:t>
      </w:r>
      <w:r>
        <w:rPr>
          <w:rFonts w:ascii="Arial" w:hAnsi="Arial" w:cs="Arial"/>
          <w:b/>
          <w:bCs/>
          <w:color w:val="2C2B2B"/>
          <w:sz w:val="18"/>
          <w:szCs w:val="18"/>
          <w:lang w:val="en-US"/>
        </w:rPr>
        <w:br/>
      </w:r>
      <w:r>
        <w:rPr>
          <w:rFonts w:ascii="Arial" w:hAnsi="Arial" w:cs="Arial"/>
          <w:color w:val="2C2B2B"/>
          <w:sz w:val="18"/>
          <w:szCs w:val="18"/>
          <w:lang w:val="en-US"/>
        </w:rPr>
        <w:t>This publication should be attributed as follows:</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w:t>
      </w:r>
      <w:r w:rsidR="00A25EC5">
        <w:rPr>
          <w:rStyle w:val="Emphasis"/>
          <w:rFonts w:ascii="Arial" w:hAnsi="Arial" w:cs="Arial"/>
          <w:color w:val="2C2B2B"/>
          <w:sz w:val="18"/>
          <w:szCs w:val="18"/>
          <w:lang w:val="en-US"/>
        </w:rPr>
        <w:t>Remote Housing Review:</w:t>
      </w:r>
      <w:r w:rsidRPr="00530D3D">
        <w:rPr>
          <w:rStyle w:val="Emphasis"/>
          <w:rFonts w:ascii="Arial" w:hAnsi="Arial" w:cs="Arial"/>
          <w:color w:val="2C2B2B"/>
          <w:sz w:val="18"/>
          <w:szCs w:val="18"/>
          <w:lang w:val="en-US"/>
        </w:rPr>
        <w:t xml:space="preserve"> A review of the National Partnership Agreement on Remote Indigenous Housing and the Remote Housing Strategy (2008-2018)</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Use of the Coat of Arms</w:t>
      </w:r>
      <w:r>
        <w:rPr>
          <w:rFonts w:ascii="Arial" w:hAnsi="Arial" w:cs="Arial"/>
          <w:b/>
          <w:bCs/>
          <w:color w:val="2C2B2B"/>
          <w:sz w:val="18"/>
          <w:szCs w:val="18"/>
          <w:lang w:val="en-US"/>
        </w:rPr>
        <w:br/>
      </w:r>
      <w:r>
        <w:rPr>
          <w:rFonts w:ascii="Arial" w:hAnsi="Arial" w:cs="Arial"/>
          <w:color w:val="2C2B2B"/>
          <w:sz w:val="18"/>
          <w:szCs w:val="18"/>
          <w:lang w:val="en-US"/>
        </w:rPr>
        <w:t xml:space="preserve">The terms under which the Coat of Arms can be used are detailed on the following website: </w:t>
      </w:r>
      <w:hyperlink r:id="rId16" w:history="1">
        <w:r>
          <w:rPr>
            <w:rStyle w:val="Hyperlink"/>
            <w:rFonts w:ascii="Arial" w:hAnsi="Arial" w:cs="Arial"/>
            <w:sz w:val="18"/>
            <w:szCs w:val="18"/>
            <w:lang w:val="en-US"/>
          </w:rPr>
          <w:t>http://www.pmc.gov.au/government/its-honour</w:t>
        </w:r>
      </w:hyperlink>
      <w:r>
        <w:rPr>
          <w:rFonts w:ascii="Arial" w:hAnsi="Arial" w:cs="Arial"/>
          <w:color w:val="2C2B2B"/>
          <w:sz w:val="18"/>
          <w:szCs w:val="18"/>
          <w:lang w:val="en-US"/>
        </w:rPr>
        <w:t>.</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Other uses</w:t>
      </w:r>
      <w:r>
        <w:rPr>
          <w:rFonts w:ascii="Arial" w:hAnsi="Arial" w:cs="Arial"/>
          <w:b/>
          <w:bCs/>
          <w:color w:val="2C2B2B"/>
          <w:sz w:val="18"/>
          <w:szCs w:val="18"/>
          <w:lang w:val="en-US"/>
        </w:rPr>
        <w:br/>
      </w:r>
      <w:r>
        <w:rPr>
          <w:rFonts w:ascii="Arial" w:hAnsi="Arial" w:cs="Arial"/>
          <w:color w:val="2C2B2B"/>
          <w:sz w:val="18"/>
          <w:szCs w:val="18"/>
          <w:lang w:val="en-US"/>
        </w:rPr>
        <w:t>Enquiries regarding this licence and any other use of this document are welcome at:</w:t>
      </w:r>
    </w:p>
    <w:p w:rsidR="00530D3D" w:rsidRDefault="00530D3D" w:rsidP="00530D3D">
      <w:pPr>
        <w:pStyle w:val="NormalWeb"/>
        <w:shd w:val="clear" w:color="auto" w:fill="FFFFFF" w:themeFill="background1"/>
        <w:spacing w:after="0" w:line="270" w:lineRule="atLeast"/>
        <w:rPr>
          <w:rStyle w:val="Emphasis"/>
          <w:rFonts w:ascii="Arial" w:hAnsi="Arial" w:cs="Arial"/>
          <w:color w:val="2C2B2B"/>
          <w:sz w:val="18"/>
          <w:szCs w:val="18"/>
          <w:lang w:val="en-US"/>
        </w:rPr>
      </w:pPr>
      <w:r>
        <w:rPr>
          <w:rStyle w:val="Emphasis"/>
          <w:rFonts w:ascii="Arial" w:hAnsi="Arial" w:cs="Arial"/>
          <w:color w:val="2C2B2B"/>
          <w:sz w:val="18"/>
          <w:szCs w:val="18"/>
          <w:lang w:val="en-US"/>
        </w:rPr>
        <w:t>The Department of the Prime Minister and Cabinet</w:t>
      </w:r>
    </w:p>
    <w:p w:rsidR="00530D3D" w:rsidRDefault="00530D3D" w:rsidP="00530D3D">
      <w:pPr>
        <w:pStyle w:val="NormalWeb"/>
        <w:shd w:val="clear" w:color="auto" w:fill="FFFFFF" w:themeFill="background1"/>
        <w:spacing w:after="0" w:line="270" w:lineRule="atLeast"/>
        <w:rPr>
          <w:rStyle w:val="Emphasis"/>
          <w:rFonts w:ascii="Arial" w:hAnsi="Arial" w:cs="Arial"/>
          <w:color w:val="2C2B2B"/>
          <w:sz w:val="18"/>
          <w:szCs w:val="18"/>
          <w:lang w:val="en-US"/>
        </w:rPr>
      </w:pPr>
      <w:r>
        <w:rPr>
          <w:rStyle w:val="Emphasis"/>
          <w:rFonts w:ascii="Arial" w:hAnsi="Arial" w:cs="Arial"/>
          <w:color w:val="2C2B2B"/>
          <w:sz w:val="18"/>
          <w:szCs w:val="18"/>
          <w:lang w:val="en-US"/>
        </w:rPr>
        <w:t>PO Box 6500</w:t>
      </w:r>
    </w:p>
    <w:p w:rsidR="00530D3D" w:rsidRDefault="00530D3D" w:rsidP="00530D3D">
      <w:pPr>
        <w:pStyle w:val="NormalWeb"/>
        <w:shd w:val="clear" w:color="auto" w:fill="FFFFFF" w:themeFill="background1"/>
        <w:spacing w:line="270" w:lineRule="atLeast"/>
        <w:rPr>
          <w:rFonts w:ascii="Arial" w:hAnsi="Arial" w:cs="Arial"/>
          <w:color w:val="2C2B2B"/>
          <w:sz w:val="18"/>
          <w:szCs w:val="18"/>
          <w:lang w:val="en-US"/>
        </w:rPr>
      </w:pPr>
      <w:r>
        <w:rPr>
          <w:rStyle w:val="Emphasis"/>
          <w:rFonts w:ascii="Arial" w:hAnsi="Arial" w:cs="Arial"/>
          <w:color w:val="2C2B2B"/>
          <w:sz w:val="18"/>
          <w:szCs w:val="18"/>
          <w:lang w:val="en-US"/>
        </w:rPr>
        <w:t>CANBERRA  ACT  2600</w:t>
      </w:r>
    </w:p>
    <w:p w:rsidR="00530D3D" w:rsidRDefault="00530D3D" w:rsidP="00530D3D">
      <w:pPr>
        <w:rPr>
          <w:rFonts w:ascii="Calibri" w:hAnsi="Calibri" w:cs="Calibri"/>
          <w:color w:val="1F497D"/>
        </w:rPr>
      </w:pPr>
    </w:p>
    <w:p w:rsidR="00F5153D" w:rsidRPr="00F5153D" w:rsidRDefault="00F5153D" w:rsidP="00F5153D">
      <w:pPr>
        <w:pStyle w:val="TOCHeading"/>
        <w:spacing w:before="0" w:after="120"/>
        <w:outlineLvl w:val="1"/>
        <w:rPr>
          <w:color w:val="009DDC" w:themeColor="accent4"/>
        </w:rPr>
      </w:pPr>
      <w:bookmarkStart w:id="4" w:name="_Toc490218677"/>
      <w:r w:rsidRPr="000E394F">
        <w:rPr>
          <w:color w:val="009DDC" w:themeColor="accent4"/>
        </w:rPr>
        <w:t>Contents</w:t>
      </w:r>
      <w:bookmarkEnd w:id="3"/>
      <w:bookmarkEnd w:id="4"/>
    </w:p>
    <w:sdt>
      <w:sdtPr>
        <w:rPr>
          <w:rFonts w:asciiTheme="minorHAnsi" w:hAnsiTheme="minorHAnsi"/>
          <w:b/>
          <w:bCs/>
        </w:rPr>
        <w:id w:val="1015188865"/>
        <w:docPartObj>
          <w:docPartGallery w:val="Table of Contents"/>
          <w:docPartUnique/>
        </w:docPartObj>
      </w:sdtPr>
      <w:sdtEndPr>
        <w:rPr>
          <w:b w:val="0"/>
          <w:bCs w:val="0"/>
          <w:noProof/>
        </w:rPr>
      </w:sdtEndPr>
      <w:sdtContent>
        <w:p w:rsidR="00597C51" w:rsidRDefault="00042574">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490218676" w:history="1">
            <w:r w:rsidR="00597C51" w:rsidRPr="00AB74F0">
              <w:rPr>
                <w:rStyle w:val="Hyperlink"/>
                <w:noProof/>
              </w:rPr>
              <w:t>Remote Housing Review</w:t>
            </w:r>
            <w:r w:rsidR="00597C51">
              <w:rPr>
                <w:noProof/>
                <w:webHidden/>
              </w:rPr>
              <w:tab/>
            </w:r>
            <w:r w:rsidR="00597C51">
              <w:rPr>
                <w:noProof/>
                <w:webHidden/>
              </w:rPr>
              <w:fldChar w:fldCharType="begin"/>
            </w:r>
            <w:r w:rsidR="00597C51">
              <w:rPr>
                <w:noProof/>
                <w:webHidden/>
              </w:rPr>
              <w:instrText xml:space="preserve"> PAGEREF _Toc490218676 \h </w:instrText>
            </w:r>
            <w:r w:rsidR="00597C51">
              <w:rPr>
                <w:noProof/>
                <w:webHidden/>
              </w:rPr>
            </w:r>
            <w:r w:rsidR="00597C51">
              <w:rPr>
                <w:noProof/>
                <w:webHidden/>
              </w:rPr>
              <w:fldChar w:fldCharType="separate"/>
            </w:r>
            <w:r w:rsidR="00597C51">
              <w:rPr>
                <w:noProof/>
                <w:webHidden/>
              </w:rPr>
              <w:t>2</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77" w:history="1">
            <w:r w:rsidR="00597C51" w:rsidRPr="00AB74F0">
              <w:rPr>
                <w:rStyle w:val="Hyperlink"/>
                <w:noProof/>
              </w:rPr>
              <w:t>Contents</w:t>
            </w:r>
            <w:r w:rsidR="00597C51">
              <w:rPr>
                <w:noProof/>
                <w:webHidden/>
              </w:rPr>
              <w:tab/>
            </w:r>
            <w:r w:rsidR="00597C51">
              <w:rPr>
                <w:noProof/>
                <w:webHidden/>
              </w:rPr>
              <w:fldChar w:fldCharType="begin"/>
            </w:r>
            <w:r w:rsidR="00597C51">
              <w:rPr>
                <w:noProof/>
                <w:webHidden/>
              </w:rPr>
              <w:instrText xml:space="preserve"> PAGEREF _Toc490218677 \h </w:instrText>
            </w:r>
            <w:r w:rsidR="00597C51">
              <w:rPr>
                <w:noProof/>
                <w:webHidden/>
              </w:rPr>
            </w:r>
            <w:r w:rsidR="00597C51">
              <w:rPr>
                <w:noProof/>
                <w:webHidden/>
              </w:rPr>
              <w:fldChar w:fldCharType="separate"/>
            </w:r>
            <w:r w:rsidR="00597C51">
              <w:rPr>
                <w:noProof/>
                <w:webHidden/>
              </w:rPr>
              <w:t>4</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78" w:history="1">
            <w:r w:rsidR="00597C51" w:rsidRPr="00AB74F0">
              <w:rPr>
                <w:rStyle w:val="Hyperlink"/>
                <w:noProof/>
              </w:rPr>
              <w:t>Executive summary</w:t>
            </w:r>
            <w:r w:rsidR="00597C51">
              <w:rPr>
                <w:noProof/>
                <w:webHidden/>
              </w:rPr>
              <w:tab/>
            </w:r>
            <w:r w:rsidR="00597C51">
              <w:rPr>
                <w:noProof/>
                <w:webHidden/>
              </w:rPr>
              <w:fldChar w:fldCharType="begin"/>
            </w:r>
            <w:r w:rsidR="00597C51">
              <w:rPr>
                <w:noProof/>
                <w:webHidden/>
              </w:rPr>
              <w:instrText xml:space="preserve"> PAGEREF _Toc490218678 \h </w:instrText>
            </w:r>
            <w:r w:rsidR="00597C51">
              <w:rPr>
                <w:noProof/>
                <w:webHidden/>
              </w:rPr>
            </w:r>
            <w:r w:rsidR="00597C51">
              <w:rPr>
                <w:noProof/>
                <w:webHidden/>
              </w:rPr>
              <w:fldChar w:fldCharType="separate"/>
            </w:r>
            <w:r w:rsidR="00597C51">
              <w:rPr>
                <w:noProof/>
                <w:webHidden/>
              </w:rPr>
              <w:t>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79" w:history="1">
            <w:r w:rsidR="00597C51" w:rsidRPr="00AB74F0">
              <w:rPr>
                <w:rStyle w:val="Hyperlink"/>
                <w:noProof/>
              </w:rPr>
              <w:t>Good progress has been made against the Strategy’s objectives</w:t>
            </w:r>
            <w:r w:rsidR="00597C51">
              <w:rPr>
                <w:noProof/>
                <w:webHidden/>
              </w:rPr>
              <w:tab/>
            </w:r>
            <w:r w:rsidR="00597C51">
              <w:rPr>
                <w:noProof/>
                <w:webHidden/>
              </w:rPr>
              <w:fldChar w:fldCharType="begin"/>
            </w:r>
            <w:r w:rsidR="00597C51">
              <w:rPr>
                <w:noProof/>
                <w:webHidden/>
              </w:rPr>
              <w:instrText xml:space="preserve"> PAGEREF _Toc490218679 \h </w:instrText>
            </w:r>
            <w:r w:rsidR="00597C51">
              <w:rPr>
                <w:noProof/>
                <w:webHidden/>
              </w:rPr>
            </w:r>
            <w:r w:rsidR="00597C51">
              <w:rPr>
                <w:noProof/>
                <w:webHidden/>
              </w:rPr>
              <w:fldChar w:fldCharType="separate"/>
            </w:r>
            <w:r w:rsidR="00597C51">
              <w:rPr>
                <w:noProof/>
                <w:webHidden/>
              </w:rPr>
              <w:t>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0" w:history="1">
            <w:r w:rsidR="00597C51" w:rsidRPr="00AB74F0">
              <w:rPr>
                <w:rStyle w:val="Hyperlink"/>
                <w:noProof/>
              </w:rPr>
              <w:t>More needs to be done to meet future demand and to protect the existing housing stock</w:t>
            </w:r>
            <w:r w:rsidR="00597C51">
              <w:rPr>
                <w:noProof/>
                <w:webHidden/>
              </w:rPr>
              <w:tab/>
            </w:r>
            <w:r w:rsidR="00597C51">
              <w:rPr>
                <w:noProof/>
                <w:webHidden/>
              </w:rPr>
              <w:fldChar w:fldCharType="begin"/>
            </w:r>
            <w:r w:rsidR="00597C51">
              <w:rPr>
                <w:noProof/>
                <w:webHidden/>
              </w:rPr>
              <w:instrText xml:space="preserve"> PAGEREF _Toc490218680 \h </w:instrText>
            </w:r>
            <w:r w:rsidR="00597C51">
              <w:rPr>
                <w:noProof/>
                <w:webHidden/>
              </w:rPr>
            </w:r>
            <w:r w:rsidR="00597C51">
              <w:rPr>
                <w:noProof/>
                <w:webHidden/>
              </w:rPr>
              <w:fldChar w:fldCharType="separate"/>
            </w:r>
            <w:r w:rsidR="00597C51">
              <w:rPr>
                <w:noProof/>
                <w:webHidden/>
              </w:rPr>
              <w:t>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1" w:history="1">
            <w:r w:rsidR="00597C51" w:rsidRPr="00AB74F0">
              <w:rPr>
                <w:rStyle w:val="Hyperlink"/>
                <w:noProof/>
              </w:rPr>
              <w:t>The Review identified a number of issues in the development and implementation of the Strategy</w:t>
            </w:r>
            <w:r w:rsidR="00597C51">
              <w:rPr>
                <w:noProof/>
                <w:webHidden/>
              </w:rPr>
              <w:tab/>
            </w:r>
            <w:r w:rsidR="00597C51">
              <w:rPr>
                <w:noProof/>
                <w:webHidden/>
              </w:rPr>
              <w:fldChar w:fldCharType="begin"/>
            </w:r>
            <w:r w:rsidR="00597C51">
              <w:rPr>
                <w:noProof/>
                <w:webHidden/>
              </w:rPr>
              <w:instrText xml:space="preserve"> PAGEREF _Toc490218681 \h </w:instrText>
            </w:r>
            <w:r w:rsidR="00597C51">
              <w:rPr>
                <w:noProof/>
                <w:webHidden/>
              </w:rPr>
            </w:r>
            <w:r w:rsidR="00597C51">
              <w:rPr>
                <w:noProof/>
                <w:webHidden/>
              </w:rPr>
              <w:fldChar w:fldCharType="separate"/>
            </w:r>
            <w:r w:rsidR="00597C51">
              <w:rPr>
                <w:noProof/>
                <w:webHidden/>
              </w:rPr>
              <w:t>3</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2" w:history="1">
            <w:r w:rsidR="00597C51" w:rsidRPr="00AB74F0">
              <w:rPr>
                <w:rStyle w:val="Hyperlink"/>
                <w:noProof/>
              </w:rPr>
              <w:t>Future programs should protect recent investment, address continued need and develop better structures for design, implementation and oversight</w:t>
            </w:r>
            <w:r w:rsidR="00597C51">
              <w:rPr>
                <w:noProof/>
                <w:webHidden/>
              </w:rPr>
              <w:tab/>
            </w:r>
            <w:r w:rsidR="00597C51">
              <w:rPr>
                <w:noProof/>
                <w:webHidden/>
              </w:rPr>
              <w:fldChar w:fldCharType="begin"/>
            </w:r>
            <w:r w:rsidR="00597C51">
              <w:rPr>
                <w:noProof/>
                <w:webHidden/>
              </w:rPr>
              <w:instrText xml:space="preserve"> PAGEREF _Toc490218682 \h </w:instrText>
            </w:r>
            <w:r w:rsidR="00597C51">
              <w:rPr>
                <w:noProof/>
                <w:webHidden/>
              </w:rPr>
            </w:r>
            <w:r w:rsidR="00597C51">
              <w:rPr>
                <w:noProof/>
                <w:webHidden/>
              </w:rPr>
              <w:fldChar w:fldCharType="separate"/>
            </w:r>
            <w:r w:rsidR="00597C51">
              <w:rPr>
                <w:noProof/>
                <w:webHidden/>
              </w:rPr>
              <w:t>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3" w:history="1">
            <w:r w:rsidR="00597C51" w:rsidRPr="00AB74F0">
              <w:rPr>
                <w:rStyle w:val="Hyperlink"/>
                <w:noProof/>
              </w:rPr>
              <w:t>Assessment of jurisdictions’ performance against key objectives of the Strategy</w:t>
            </w:r>
            <w:r w:rsidR="00597C51">
              <w:rPr>
                <w:noProof/>
                <w:webHidden/>
              </w:rPr>
              <w:tab/>
            </w:r>
            <w:r w:rsidR="00597C51">
              <w:rPr>
                <w:noProof/>
                <w:webHidden/>
              </w:rPr>
              <w:fldChar w:fldCharType="begin"/>
            </w:r>
            <w:r w:rsidR="00597C51">
              <w:rPr>
                <w:noProof/>
                <w:webHidden/>
              </w:rPr>
              <w:instrText xml:space="preserve"> PAGEREF _Toc490218683 \h </w:instrText>
            </w:r>
            <w:r w:rsidR="00597C51">
              <w:rPr>
                <w:noProof/>
                <w:webHidden/>
              </w:rPr>
            </w:r>
            <w:r w:rsidR="00597C51">
              <w:rPr>
                <w:noProof/>
                <w:webHidden/>
              </w:rPr>
              <w:fldChar w:fldCharType="separate"/>
            </w:r>
            <w:r w:rsidR="00597C51">
              <w:rPr>
                <w:noProof/>
                <w:webHidden/>
              </w:rPr>
              <w:t>5</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84" w:history="1">
            <w:r w:rsidR="00597C51" w:rsidRPr="00AB74F0">
              <w:rPr>
                <w:rStyle w:val="Hyperlink"/>
                <w:noProof/>
              </w:rPr>
              <w:t>1.</w:t>
            </w:r>
            <w:r w:rsidR="00597C51">
              <w:rPr>
                <w:rFonts w:asciiTheme="minorHAnsi" w:eastAsiaTheme="minorEastAsia" w:hAnsiTheme="minorHAnsi"/>
                <w:noProof/>
                <w:lang w:eastAsia="en-AU"/>
              </w:rPr>
              <w:tab/>
            </w:r>
            <w:r w:rsidR="00597C51" w:rsidRPr="00AB74F0">
              <w:rPr>
                <w:rStyle w:val="Hyperlink"/>
                <w:noProof/>
              </w:rPr>
              <w:t>Introduction</w:t>
            </w:r>
            <w:r w:rsidR="00597C51">
              <w:rPr>
                <w:noProof/>
                <w:webHidden/>
              </w:rPr>
              <w:tab/>
            </w:r>
            <w:r w:rsidR="00597C51">
              <w:rPr>
                <w:noProof/>
                <w:webHidden/>
              </w:rPr>
              <w:fldChar w:fldCharType="begin"/>
            </w:r>
            <w:r w:rsidR="00597C51">
              <w:rPr>
                <w:noProof/>
                <w:webHidden/>
              </w:rPr>
              <w:instrText xml:space="preserve"> PAGEREF _Toc490218684 \h </w:instrText>
            </w:r>
            <w:r w:rsidR="00597C51">
              <w:rPr>
                <w:noProof/>
                <w:webHidden/>
              </w:rPr>
            </w:r>
            <w:r w:rsidR="00597C51">
              <w:rPr>
                <w:noProof/>
                <w:webHidden/>
              </w:rPr>
              <w:fldChar w:fldCharType="separate"/>
            </w:r>
            <w:r w:rsidR="00597C51">
              <w:rPr>
                <w:noProof/>
                <w:webHidden/>
              </w:rPr>
              <w:t>6</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85" w:history="1">
            <w:r w:rsidR="00597C51" w:rsidRPr="00AB74F0">
              <w:rPr>
                <w:rStyle w:val="Hyperlink"/>
                <w:noProof/>
              </w:rPr>
              <w:t>1.1</w:t>
            </w:r>
            <w:r w:rsidR="00597C51">
              <w:rPr>
                <w:rFonts w:asciiTheme="minorHAnsi" w:eastAsiaTheme="minorEastAsia" w:hAnsiTheme="minorHAnsi"/>
                <w:noProof/>
                <w:lang w:eastAsia="en-AU"/>
              </w:rPr>
              <w:tab/>
            </w:r>
            <w:r w:rsidR="00597C51" w:rsidRPr="00AB74F0">
              <w:rPr>
                <w:rStyle w:val="Hyperlink"/>
                <w:noProof/>
              </w:rPr>
              <w:t>Background</w:t>
            </w:r>
            <w:r w:rsidR="00597C51">
              <w:rPr>
                <w:noProof/>
                <w:webHidden/>
              </w:rPr>
              <w:tab/>
            </w:r>
            <w:r w:rsidR="00597C51">
              <w:rPr>
                <w:noProof/>
                <w:webHidden/>
              </w:rPr>
              <w:fldChar w:fldCharType="begin"/>
            </w:r>
            <w:r w:rsidR="00597C51">
              <w:rPr>
                <w:noProof/>
                <w:webHidden/>
              </w:rPr>
              <w:instrText xml:space="preserve"> PAGEREF _Toc490218685 \h </w:instrText>
            </w:r>
            <w:r w:rsidR="00597C51">
              <w:rPr>
                <w:noProof/>
                <w:webHidden/>
              </w:rPr>
            </w:r>
            <w:r w:rsidR="00597C51">
              <w:rPr>
                <w:noProof/>
                <w:webHidden/>
              </w:rPr>
              <w:fldChar w:fldCharType="separate"/>
            </w:r>
            <w:r w:rsidR="00597C51">
              <w:rPr>
                <w:noProof/>
                <w:webHidden/>
              </w:rPr>
              <w:t>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6" w:history="1">
            <w:r w:rsidR="00597C51" w:rsidRPr="00AB74F0">
              <w:rPr>
                <w:rStyle w:val="Hyperlink"/>
                <w:noProof/>
              </w:rPr>
              <w:t>1.2</w:t>
            </w:r>
            <w:r w:rsidR="00597C51">
              <w:rPr>
                <w:rFonts w:asciiTheme="minorHAnsi" w:eastAsiaTheme="minorEastAsia" w:hAnsiTheme="minorHAnsi"/>
                <w:noProof/>
                <w:lang w:eastAsia="en-AU"/>
              </w:rPr>
              <w:tab/>
            </w:r>
            <w:r w:rsidR="00597C51" w:rsidRPr="00AB74F0">
              <w:rPr>
                <w:rStyle w:val="Hyperlink"/>
                <w:noProof/>
              </w:rPr>
              <w:t>Policy change has been the norm</w:t>
            </w:r>
            <w:r w:rsidR="00597C51">
              <w:rPr>
                <w:noProof/>
                <w:webHidden/>
              </w:rPr>
              <w:tab/>
            </w:r>
            <w:r w:rsidR="00597C51">
              <w:rPr>
                <w:noProof/>
                <w:webHidden/>
              </w:rPr>
              <w:fldChar w:fldCharType="begin"/>
            </w:r>
            <w:r w:rsidR="00597C51">
              <w:rPr>
                <w:noProof/>
                <w:webHidden/>
              </w:rPr>
              <w:instrText xml:space="preserve"> PAGEREF _Toc490218686 \h </w:instrText>
            </w:r>
            <w:r w:rsidR="00597C51">
              <w:rPr>
                <w:noProof/>
                <w:webHidden/>
              </w:rPr>
            </w:r>
            <w:r w:rsidR="00597C51">
              <w:rPr>
                <w:noProof/>
                <w:webHidden/>
              </w:rPr>
              <w:fldChar w:fldCharType="separate"/>
            </w:r>
            <w:r w:rsidR="00597C51">
              <w:rPr>
                <w:noProof/>
                <w:webHidden/>
              </w:rPr>
              <w:t>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7" w:history="1">
            <w:r w:rsidR="00597C51" w:rsidRPr="00AB74F0">
              <w:rPr>
                <w:rStyle w:val="Hyperlink"/>
                <w:noProof/>
              </w:rPr>
              <w:t>1.3</w:t>
            </w:r>
            <w:r w:rsidR="00597C51">
              <w:rPr>
                <w:rFonts w:asciiTheme="minorHAnsi" w:eastAsiaTheme="minorEastAsia" w:hAnsiTheme="minorHAnsi"/>
                <w:noProof/>
                <w:lang w:eastAsia="en-AU"/>
              </w:rPr>
              <w:tab/>
            </w:r>
            <w:r w:rsidR="00597C51" w:rsidRPr="00AB74F0">
              <w:rPr>
                <w:rStyle w:val="Hyperlink"/>
                <w:noProof/>
              </w:rPr>
              <w:t>This Review’s focus – NPARIH and the Strategy</w:t>
            </w:r>
            <w:r w:rsidR="00597C51">
              <w:rPr>
                <w:noProof/>
                <w:webHidden/>
              </w:rPr>
              <w:tab/>
            </w:r>
            <w:r w:rsidR="00597C51">
              <w:rPr>
                <w:noProof/>
                <w:webHidden/>
              </w:rPr>
              <w:fldChar w:fldCharType="begin"/>
            </w:r>
            <w:r w:rsidR="00597C51">
              <w:rPr>
                <w:noProof/>
                <w:webHidden/>
              </w:rPr>
              <w:instrText xml:space="preserve"> PAGEREF _Toc490218687 \h </w:instrText>
            </w:r>
            <w:r w:rsidR="00597C51">
              <w:rPr>
                <w:noProof/>
                <w:webHidden/>
              </w:rPr>
            </w:r>
            <w:r w:rsidR="00597C51">
              <w:rPr>
                <w:noProof/>
                <w:webHidden/>
              </w:rPr>
              <w:fldChar w:fldCharType="separate"/>
            </w:r>
            <w:r w:rsidR="00597C51">
              <w:rPr>
                <w:noProof/>
                <w:webHidden/>
              </w:rPr>
              <w:t>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88" w:history="1">
            <w:r w:rsidR="00597C51" w:rsidRPr="00AB74F0">
              <w:rPr>
                <w:rStyle w:val="Hyperlink"/>
                <w:noProof/>
              </w:rPr>
              <w:t>1.4</w:t>
            </w:r>
            <w:r w:rsidR="00597C51">
              <w:rPr>
                <w:rFonts w:asciiTheme="minorHAnsi" w:eastAsiaTheme="minorEastAsia" w:hAnsiTheme="minorHAnsi"/>
                <w:noProof/>
                <w:lang w:eastAsia="en-AU"/>
              </w:rPr>
              <w:tab/>
            </w:r>
            <w:r w:rsidR="00597C51" w:rsidRPr="00AB74F0">
              <w:rPr>
                <w:rStyle w:val="Hyperlink"/>
                <w:noProof/>
              </w:rPr>
              <w:t>Governance of the Review</w:t>
            </w:r>
            <w:r w:rsidR="00597C51">
              <w:rPr>
                <w:noProof/>
                <w:webHidden/>
              </w:rPr>
              <w:tab/>
            </w:r>
            <w:r w:rsidR="00597C51">
              <w:rPr>
                <w:noProof/>
                <w:webHidden/>
              </w:rPr>
              <w:fldChar w:fldCharType="begin"/>
            </w:r>
            <w:r w:rsidR="00597C51">
              <w:rPr>
                <w:noProof/>
                <w:webHidden/>
              </w:rPr>
              <w:instrText xml:space="preserve"> PAGEREF _Toc490218688 \h </w:instrText>
            </w:r>
            <w:r w:rsidR="00597C51">
              <w:rPr>
                <w:noProof/>
                <w:webHidden/>
              </w:rPr>
            </w:r>
            <w:r w:rsidR="00597C51">
              <w:rPr>
                <w:noProof/>
                <w:webHidden/>
              </w:rPr>
              <w:fldChar w:fldCharType="separate"/>
            </w:r>
            <w:r w:rsidR="00597C51">
              <w:rPr>
                <w:noProof/>
                <w:webHidden/>
              </w:rPr>
              <w:t>13</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89" w:history="1">
            <w:r w:rsidR="00597C51" w:rsidRPr="00AB74F0">
              <w:rPr>
                <w:rStyle w:val="Hyperlink"/>
                <w:noProof/>
              </w:rPr>
              <w:t>2.</w:t>
            </w:r>
            <w:r w:rsidR="00597C51">
              <w:rPr>
                <w:rFonts w:asciiTheme="minorHAnsi" w:eastAsiaTheme="minorEastAsia" w:hAnsiTheme="minorHAnsi"/>
                <w:noProof/>
                <w:lang w:eastAsia="en-AU"/>
              </w:rPr>
              <w:tab/>
            </w:r>
            <w:r w:rsidR="00597C51" w:rsidRPr="00AB74F0">
              <w:rPr>
                <w:rStyle w:val="Hyperlink"/>
                <w:noProof/>
              </w:rPr>
              <w:t>Secure, quality housing is needed for Closing the Gap</w:t>
            </w:r>
            <w:r w:rsidR="00597C51">
              <w:rPr>
                <w:noProof/>
                <w:webHidden/>
              </w:rPr>
              <w:tab/>
            </w:r>
            <w:r w:rsidR="00597C51">
              <w:rPr>
                <w:noProof/>
                <w:webHidden/>
              </w:rPr>
              <w:fldChar w:fldCharType="begin"/>
            </w:r>
            <w:r w:rsidR="00597C51">
              <w:rPr>
                <w:noProof/>
                <w:webHidden/>
              </w:rPr>
              <w:instrText xml:space="preserve"> PAGEREF _Toc490218689 \h </w:instrText>
            </w:r>
            <w:r w:rsidR="00597C51">
              <w:rPr>
                <w:noProof/>
                <w:webHidden/>
              </w:rPr>
            </w:r>
            <w:r w:rsidR="00597C51">
              <w:rPr>
                <w:noProof/>
                <w:webHidden/>
              </w:rPr>
              <w:fldChar w:fldCharType="separate"/>
            </w:r>
            <w:r w:rsidR="00597C51">
              <w:rPr>
                <w:noProof/>
                <w:webHidden/>
              </w:rPr>
              <w:t>15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0" w:history="1">
            <w:r w:rsidR="00597C51" w:rsidRPr="00AB74F0">
              <w:rPr>
                <w:rStyle w:val="Hyperlink"/>
                <w:noProof/>
              </w:rPr>
              <w:t>2.1</w:t>
            </w:r>
            <w:r w:rsidR="00597C51">
              <w:rPr>
                <w:rFonts w:asciiTheme="minorHAnsi" w:eastAsiaTheme="minorEastAsia" w:hAnsiTheme="minorHAnsi"/>
                <w:noProof/>
                <w:lang w:eastAsia="en-AU"/>
              </w:rPr>
              <w:tab/>
            </w:r>
            <w:r w:rsidR="00597C51" w:rsidRPr="00AB74F0">
              <w:rPr>
                <w:rStyle w:val="Hyperlink"/>
                <w:noProof/>
              </w:rPr>
              <w:t>Health</w:t>
            </w:r>
            <w:r w:rsidR="00597C51">
              <w:rPr>
                <w:noProof/>
                <w:webHidden/>
              </w:rPr>
              <w:tab/>
            </w:r>
            <w:r w:rsidR="00597C51">
              <w:rPr>
                <w:noProof/>
                <w:webHidden/>
              </w:rPr>
              <w:fldChar w:fldCharType="begin"/>
            </w:r>
            <w:r w:rsidR="00597C51">
              <w:rPr>
                <w:noProof/>
                <w:webHidden/>
              </w:rPr>
              <w:instrText xml:space="preserve"> PAGEREF _Toc490218690 \h </w:instrText>
            </w:r>
            <w:r w:rsidR="00597C51">
              <w:rPr>
                <w:noProof/>
                <w:webHidden/>
              </w:rPr>
            </w:r>
            <w:r w:rsidR="00597C51">
              <w:rPr>
                <w:noProof/>
                <w:webHidden/>
              </w:rPr>
              <w:fldChar w:fldCharType="separate"/>
            </w:r>
            <w:r w:rsidR="00597C51">
              <w:rPr>
                <w:noProof/>
                <w:webHidden/>
              </w:rPr>
              <w:t>15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1" w:history="1">
            <w:r w:rsidR="00597C51" w:rsidRPr="00AB74F0">
              <w:rPr>
                <w:rStyle w:val="Hyperlink"/>
                <w:noProof/>
              </w:rPr>
              <w:t>2.2</w:t>
            </w:r>
            <w:r w:rsidR="00597C51">
              <w:rPr>
                <w:rFonts w:asciiTheme="minorHAnsi" w:eastAsiaTheme="minorEastAsia" w:hAnsiTheme="minorHAnsi"/>
                <w:noProof/>
                <w:lang w:eastAsia="en-AU"/>
              </w:rPr>
              <w:tab/>
            </w:r>
            <w:r w:rsidR="00597C51" w:rsidRPr="00AB74F0">
              <w:rPr>
                <w:rStyle w:val="Hyperlink"/>
                <w:noProof/>
              </w:rPr>
              <w:t>Community safety</w:t>
            </w:r>
            <w:r w:rsidR="00597C51">
              <w:rPr>
                <w:noProof/>
                <w:webHidden/>
              </w:rPr>
              <w:tab/>
            </w:r>
            <w:r w:rsidR="00597C51">
              <w:rPr>
                <w:noProof/>
                <w:webHidden/>
              </w:rPr>
              <w:fldChar w:fldCharType="begin"/>
            </w:r>
            <w:r w:rsidR="00597C51">
              <w:rPr>
                <w:noProof/>
                <w:webHidden/>
              </w:rPr>
              <w:instrText xml:space="preserve"> PAGEREF _Toc490218691 \h </w:instrText>
            </w:r>
            <w:r w:rsidR="00597C51">
              <w:rPr>
                <w:noProof/>
                <w:webHidden/>
              </w:rPr>
            </w:r>
            <w:r w:rsidR="00597C51">
              <w:rPr>
                <w:noProof/>
                <w:webHidden/>
              </w:rPr>
              <w:fldChar w:fldCharType="separate"/>
            </w:r>
            <w:r w:rsidR="00597C51">
              <w:rPr>
                <w:noProof/>
                <w:webHidden/>
              </w:rPr>
              <w:t>19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2" w:history="1">
            <w:r w:rsidR="00597C51" w:rsidRPr="00AB74F0">
              <w:rPr>
                <w:rStyle w:val="Hyperlink"/>
                <w:noProof/>
              </w:rPr>
              <w:t>2.3</w:t>
            </w:r>
            <w:r w:rsidR="00597C51">
              <w:rPr>
                <w:rFonts w:asciiTheme="minorHAnsi" w:eastAsiaTheme="minorEastAsia" w:hAnsiTheme="minorHAnsi"/>
                <w:noProof/>
                <w:lang w:eastAsia="en-AU"/>
              </w:rPr>
              <w:tab/>
            </w:r>
            <w:r w:rsidR="00597C51" w:rsidRPr="00AB74F0">
              <w:rPr>
                <w:rStyle w:val="Hyperlink"/>
                <w:noProof/>
              </w:rPr>
              <w:t>Employment and education</w:t>
            </w:r>
            <w:r w:rsidR="00597C51">
              <w:rPr>
                <w:noProof/>
                <w:webHidden/>
              </w:rPr>
              <w:tab/>
            </w:r>
            <w:r w:rsidR="00597C51">
              <w:rPr>
                <w:noProof/>
                <w:webHidden/>
              </w:rPr>
              <w:fldChar w:fldCharType="begin"/>
            </w:r>
            <w:r w:rsidR="00597C51">
              <w:rPr>
                <w:noProof/>
                <w:webHidden/>
              </w:rPr>
              <w:instrText xml:space="preserve"> PAGEREF _Toc490218692 \h </w:instrText>
            </w:r>
            <w:r w:rsidR="00597C51">
              <w:rPr>
                <w:noProof/>
                <w:webHidden/>
              </w:rPr>
            </w:r>
            <w:r w:rsidR="00597C51">
              <w:rPr>
                <w:noProof/>
                <w:webHidden/>
              </w:rPr>
              <w:fldChar w:fldCharType="separate"/>
            </w:r>
            <w:r w:rsidR="00597C51">
              <w:rPr>
                <w:noProof/>
                <w:webHidden/>
              </w:rPr>
              <w:t>19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3" w:history="1">
            <w:r w:rsidR="00597C51" w:rsidRPr="00AB74F0">
              <w:rPr>
                <w:rStyle w:val="Hyperlink"/>
                <w:noProof/>
              </w:rPr>
              <w:t>2.4</w:t>
            </w:r>
            <w:r w:rsidR="00597C51">
              <w:rPr>
                <w:rFonts w:asciiTheme="minorHAnsi" w:eastAsiaTheme="minorEastAsia" w:hAnsiTheme="minorHAnsi"/>
                <w:noProof/>
                <w:lang w:eastAsia="en-AU"/>
              </w:rPr>
              <w:tab/>
            </w:r>
            <w:r w:rsidR="00597C51" w:rsidRPr="00AB74F0">
              <w:rPr>
                <w:rStyle w:val="Hyperlink"/>
                <w:noProof/>
              </w:rPr>
              <w:t>Housing impacts everything you’re able to do</w:t>
            </w:r>
            <w:r w:rsidR="00597C51">
              <w:rPr>
                <w:noProof/>
                <w:webHidden/>
              </w:rPr>
              <w:tab/>
            </w:r>
            <w:r w:rsidR="00597C51">
              <w:rPr>
                <w:noProof/>
                <w:webHidden/>
              </w:rPr>
              <w:fldChar w:fldCharType="begin"/>
            </w:r>
            <w:r w:rsidR="00597C51">
              <w:rPr>
                <w:noProof/>
                <w:webHidden/>
              </w:rPr>
              <w:instrText xml:space="preserve"> PAGEREF _Toc490218693 \h </w:instrText>
            </w:r>
            <w:r w:rsidR="00597C51">
              <w:rPr>
                <w:noProof/>
                <w:webHidden/>
              </w:rPr>
            </w:r>
            <w:r w:rsidR="00597C51">
              <w:rPr>
                <w:noProof/>
                <w:webHidden/>
              </w:rPr>
              <w:fldChar w:fldCharType="separate"/>
            </w:r>
            <w:r w:rsidR="00597C51">
              <w:rPr>
                <w:noProof/>
                <w:webHidden/>
              </w:rPr>
              <w:t>20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4" w:history="1">
            <w:r w:rsidR="00597C51" w:rsidRPr="00AB74F0">
              <w:rPr>
                <w:rStyle w:val="Hyperlink"/>
                <w:noProof/>
              </w:rPr>
              <w:t>2.5</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_Toc490218694 \h </w:instrText>
            </w:r>
            <w:r w:rsidR="00597C51">
              <w:rPr>
                <w:noProof/>
                <w:webHidden/>
              </w:rPr>
            </w:r>
            <w:r w:rsidR="00597C51">
              <w:rPr>
                <w:noProof/>
                <w:webHidden/>
              </w:rPr>
              <w:fldChar w:fldCharType="separate"/>
            </w:r>
            <w:r w:rsidR="00597C51">
              <w:rPr>
                <w:noProof/>
                <w:webHidden/>
              </w:rPr>
              <w:t>21</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695" w:history="1">
            <w:r w:rsidR="00597C51" w:rsidRPr="00AB74F0">
              <w:rPr>
                <w:rStyle w:val="Hyperlink"/>
                <w:noProof/>
              </w:rPr>
              <w:t>3.</w:t>
            </w:r>
            <w:r w:rsidR="00597C51">
              <w:rPr>
                <w:rFonts w:asciiTheme="minorHAnsi" w:eastAsiaTheme="minorEastAsia" w:hAnsiTheme="minorHAnsi"/>
                <w:noProof/>
                <w:lang w:eastAsia="en-AU"/>
              </w:rPr>
              <w:tab/>
            </w:r>
            <w:r w:rsidR="00597C51" w:rsidRPr="00AB74F0">
              <w:rPr>
                <w:rStyle w:val="Hyperlink"/>
                <w:noProof/>
              </w:rPr>
              <w:t>Reducing overcrowding in remote Indigenous communities</w:t>
            </w:r>
            <w:r w:rsidR="00597C51">
              <w:rPr>
                <w:noProof/>
                <w:webHidden/>
              </w:rPr>
              <w:tab/>
            </w:r>
            <w:r w:rsidR="00597C51">
              <w:rPr>
                <w:noProof/>
                <w:webHidden/>
              </w:rPr>
              <w:fldChar w:fldCharType="begin"/>
            </w:r>
            <w:r w:rsidR="00597C51">
              <w:rPr>
                <w:noProof/>
                <w:webHidden/>
              </w:rPr>
              <w:instrText xml:space="preserve"> PAGEREF _Toc490218695 \h </w:instrText>
            </w:r>
            <w:r w:rsidR="00597C51">
              <w:rPr>
                <w:noProof/>
                <w:webHidden/>
              </w:rPr>
            </w:r>
            <w:r w:rsidR="00597C51">
              <w:rPr>
                <w:noProof/>
                <w:webHidden/>
              </w:rPr>
              <w:fldChar w:fldCharType="separate"/>
            </w:r>
            <w:r w:rsidR="00597C51">
              <w:rPr>
                <w:noProof/>
                <w:webHidden/>
              </w:rPr>
              <w:t>22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6" w:history="1">
            <w:r w:rsidR="00597C51" w:rsidRPr="00AB74F0">
              <w:rPr>
                <w:rStyle w:val="Hyperlink"/>
                <w:noProof/>
              </w:rPr>
              <w:t>3.1</w:t>
            </w:r>
            <w:r w:rsidR="00597C51">
              <w:rPr>
                <w:rFonts w:asciiTheme="minorHAnsi" w:eastAsiaTheme="minorEastAsia" w:hAnsiTheme="minorHAnsi"/>
                <w:noProof/>
                <w:lang w:eastAsia="en-AU"/>
              </w:rPr>
              <w:tab/>
            </w:r>
            <w:r w:rsidR="00597C51" w:rsidRPr="00AB74F0">
              <w:rPr>
                <w:rStyle w:val="Hyperlink"/>
                <w:noProof/>
              </w:rPr>
              <w:t>Significant progress has been made to reduce overcrowding</w:t>
            </w:r>
            <w:r w:rsidR="00597C51">
              <w:rPr>
                <w:noProof/>
                <w:webHidden/>
              </w:rPr>
              <w:tab/>
            </w:r>
            <w:r w:rsidR="00597C51">
              <w:rPr>
                <w:noProof/>
                <w:webHidden/>
              </w:rPr>
              <w:fldChar w:fldCharType="begin"/>
            </w:r>
            <w:r w:rsidR="00597C51">
              <w:rPr>
                <w:noProof/>
                <w:webHidden/>
              </w:rPr>
              <w:instrText xml:space="preserve"> PAGEREF _Toc490218696 \h </w:instrText>
            </w:r>
            <w:r w:rsidR="00597C51">
              <w:rPr>
                <w:noProof/>
                <w:webHidden/>
              </w:rPr>
            </w:r>
            <w:r w:rsidR="00597C51">
              <w:rPr>
                <w:noProof/>
                <w:webHidden/>
              </w:rPr>
              <w:fldChar w:fldCharType="separate"/>
            </w:r>
            <w:r w:rsidR="00597C51">
              <w:rPr>
                <w:noProof/>
                <w:webHidden/>
              </w:rPr>
              <w:t>22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7" w:history="1">
            <w:r w:rsidR="00597C51" w:rsidRPr="00AB74F0">
              <w:rPr>
                <w:rStyle w:val="Hyperlink"/>
                <w:noProof/>
              </w:rPr>
              <w:t>3.2</w:t>
            </w:r>
            <w:r w:rsidR="00597C51">
              <w:rPr>
                <w:rFonts w:asciiTheme="minorHAnsi" w:eastAsiaTheme="minorEastAsia" w:hAnsiTheme="minorHAnsi"/>
                <w:noProof/>
                <w:lang w:eastAsia="en-AU"/>
              </w:rPr>
              <w:tab/>
            </w:r>
            <w:r w:rsidR="00597C51" w:rsidRPr="00AB74F0">
              <w:rPr>
                <w:rStyle w:val="Hyperlink"/>
                <w:noProof/>
              </w:rPr>
              <w:t>Despite progress overcrowding persists and will worsen over the next ten years, unless further action is taken</w:t>
            </w:r>
            <w:r w:rsidR="00597C51">
              <w:rPr>
                <w:noProof/>
                <w:webHidden/>
              </w:rPr>
              <w:tab/>
            </w:r>
            <w:r w:rsidR="00597C51">
              <w:rPr>
                <w:noProof/>
                <w:webHidden/>
              </w:rPr>
              <w:fldChar w:fldCharType="begin"/>
            </w:r>
            <w:r w:rsidR="00597C51">
              <w:rPr>
                <w:noProof/>
                <w:webHidden/>
              </w:rPr>
              <w:instrText xml:space="preserve"> PAGEREF _Toc490218697 \h </w:instrText>
            </w:r>
            <w:r w:rsidR="00597C51">
              <w:rPr>
                <w:noProof/>
                <w:webHidden/>
              </w:rPr>
            </w:r>
            <w:r w:rsidR="00597C51">
              <w:rPr>
                <w:noProof/>
                <w:webHidden/>
              </w:rPr>
              <w:fldChar w:fldCharType="separate"/>
            </w:r>
            <w:r w:rsidR="00597C51">
              <w:rPr>
                <w:noProof/>
                <w:webHidden/>
              </w:rPr>
              <w:t>23</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8" w:history="1">
            <w:r w:rsidR="00597C51" w:rsidRPr="00AB74F0">
              <w:rPr>
                <w:rStyle w:val="Hyperlink"/>
                <w:noProof/>
              </w:rPr>
              <w:t>3.3</w:t>
            </w:r>
            <w:r w:rsidR="00597C51">
              <w:rPr>
                <w:rFonts w:asciiTheme="minorHAnsi" w:eastAsiaTheme="minorEastAsia" w:hAnsiTheme="minorHAnsi"/>
                <w:noProof/>
                <w:lang w:eastAsia="en-AU"/>
              </w:rPr>
              <w:tab/>
            </w:r>
            <w:r w:rsidR="00597C51" w:rsidRPr="00AB74F0">
              <w:rPr>
                <w:rStyle w:val="Hyperlink"/>
                <w:noProof/>
              </w:rPr>
              <w:t>Based on current and future demand an additional 5,500 houses are required by 2028</w:t>
            </w:r>
            <w:r w:rsidR="00597C51">
              <w:rPr>
                <w:noProof/>
                <w:webHidden/>
              </w:rPr>
              <w:tab/>
            </w:r>
            <w:r w:rsidR="00597C51">
              <w:rPr>
                <w:noProof/>
                <w:webHidden/>
              </w:rPr>
              <w:fldChar w:fldCharType="begin"/>
            </w:r>
            <w:r w:rsidR="00597C51">
              <w:rPr>
                <w:noProof/>
                <w:webHidden/>
              </w:rPr>
              <w:instrText xml:space="preserve"> PAGEREF _Toc490218698 \h </w:instrText>
            </w:r>
            <w:r w:rsidR="00597C51">
              <w:rPr>
                <w:noProof/>
                <w:webHidden/>
              </w:rPr>
            </w:r>
            <w:r w:rsidR="00597C51">
              <w:rPr>
                <w:noProof/>
                <w:webHidden/>
              </w:rPr>
              <w:fldChar w:fldCharType="separate"/>
            </w:r>
            <w:r w:rsidR="00597C51">
              <w:rPr>
                <w:noProof/>
                <w:webHidden/>
              </w:rPr>
              <w:t>24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699" w:history="1">
            <w:r w:rsidR="00597C51" w:rsidRPr="00AB74F0">
              <w:rPr>
                <w:rStyle w:val="Hyperlink"/>
                <w:noProof/>
              </w:rPr>
              <w:t>3.4</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_Toc490218699 \h </w:instrText>
            </w:r>
            <w:r w:rsidR="00597C51">
              <w:rPr>
                <w:noProof/>
                <w:webHidden/>
              </w:rPr>
            </w:r>
            <w:r w:rsidR="00597C51">
              <w:rPr>
                <w:noProof/>
                <w:webHidden/>
              </w:rPr>
              <w:fldChar w:fldCharType="separate"/>
            </w:r>
            <w:r w:rsidR="00597C51">
              <w:rPr>
                <w:noProof/>
                <w:webHidden/>
              </w:rPr>
              <w:t>26</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00" w:history="1">
            <w:r w:rsidR="00597C51" w:rsidRPr="00AB74F0">
              <w:rPr>
                <w:rStyle w:val="Hyperlink"/>
                <w:noProof/>
              </w:rPr>
              <w:t>4.</w:t>
            </w:r>
            <w:r w:rsidR="00597C51">
              <w:rPr>
                <w:rFonts w:asciiTheme="minorHAnsi" w:eastAsiaTheme="minorEastAsia" w:hAnsiTheme="minorHAnsi"/>
                <w:noProof/>
                <w:lang w:eastAsia="en-AU"/>
              </w:rPr>
              <w:tab/>
            </w:r>
            <w:r w:rsidR="00597C51" w:rsidRPr="00AB74F0">
              <w:rPr>
                <w:rStyle w:val="Hyperlink"/>
                <w:noProof/>
              </w:rPr>
              <w:t>Increasing housing supply and improving housing conditions</w:t>
            </w:r>
            <w:r w:rsidR="00597C51">
              <w:rPr>
                <w:noProof/>
                <w:webHidden/>
              </w:rPr>
              <w:tab/>
            </w:r>
            <w:r w:rsidR="00597C51">
              <w:rPr>
                <w:noProof/>
                <w:webHidden/>
              </w:rPr>
              <w:fldChar w:fldCharType="begin"/>
            </w:r>
            <w:r w:rsidR="00597C51">
              <w:rPr>
                <w:noProof/>
                <w:webHidden/>
              </w:rPr>
              <w:instrText xml:space="preserve"> PAGEREF _Toc490218700 \h </w:instrText>
            </w:r>
            <w:r w:rsidR="00597C51">
              <w:rPr>
                <w:noProof/>
                <w:webHidden/>
              </w:rPr>
            </w:r>
            <w:r w:rsidR="00597C51">
              <w:rPr>
                <w:noProof/>
                <w:webHidden/>
              </w:rPr>
              <w:fldChar w:fldCharType="separate"/>
            </w:r>
            <w:r w:rsidR="00597C51">
              <w:rPr>
                <w:noProof/>
                <w:webHidden/>
              </w:rPr>
              <w:t>27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1" w:history="1">
            <w:r w:rsidR="00597C51" w:rsidRPr="00AB74F0">
              <w:rPr>
                <w:rStyle w:val="Hyperlink"/>
                <w:noProof/>
              </w:rPr>
              <w:t>4.1</w:t>
            </w:r>
            <w:r w:rsidR="00597C51">
              <w:rPr>
                <w:rFonts w:asciiTheme="minorHAnsi" w:eastAsiaTheme="minorEastAsia" w:hAnsiTheme="minorHAnsi"/>
                <w:noProof/>
                <w:lang w:eastAsia="en-AU"/>
              </w:rPr>
              <w:tab/>
            </w:r>
            <w:r w:rsidR="00597C51" w:rsidRPr="00AB74F0">
              <w:rPr>
                <w:rStyle w:val="Hyperlink"/>
                <w:noProof/>
              </w:rPr>
              <w:t>The Strategy has performed well overall against numeric building targets</w:t>
            </w:r>
            <w:r w:rsidR="00597C51">
              <w:rPr>
                <w:noProof/>
                <w:webHidden/>
              </w:rPr>
              <w:tab/>
            </w:r>
            <w:r w:rsidR="00597C51">
              <w:rPr>
                <w:noProof/>
                <w:webHidden/>
              </w:rPr>
              <w:fldChar w:fldCharType="begin"/>
            </w:r>
            <w:r w:rsidR="00597C51">
              <w:rPr>
                <w:noProof/>
                <w:webHidden/>
              </w:rPr>
              <w:instrText xml:space="preserve"> PAGEREF _Toc490218701 \h </w:instrText>
            </w:r>
            <w:r w:rsidR="00597C51">
              <w:rPr>
                <w:noProof/>
                <w:webHidden/>
              </w:rPr>
            </w:r>
            <w:r w:rsidR="00597C51">
              <w:rPr>
                <w:noProof/>
                <w:webHidden/>
              </w:rPr>
              <w:fldChar w:fldCharType="separate"/>
            </w:r>
            <w:r w:rsidR="00597C51">
              <w:rPr>
                <w:noProof/>
                <w:webHidden/>
              </w:rPr>
              <w:t>27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2" w:history="1">
            <w:r w:rsidR="00597C51" w:rsidRPr="00AB74F0">
              <w:rPr>
                <w:rStyle w:val="Hyperlink"/>
                <w:noProof/>
              </w:rPr>
              <w:t>4.2</w:t>
            </w:r>
            <w:r w:rsidR="00597C51">
              <w:rPr>
                <w:rFonts w:asciiTheme="minorHAnsi" w:eastAsiaTheme="minorEastAsia" w:hAnsiTheme="minorHAnsi"/>
                <w:noProof/>
                <w:lang w:eastAsia="en-AU"/>
              </w:rPr>
              <w:tab/>
            </w:r>
            <w:r w:rsidR="00597C51" w:rsidRPr="00AB74F0">
              <w:rPr>
                <w:rStyle w:val="Hyperlink"/>
                <w:noProof/>
              </w:rPr>
              <w:t>The substitution of replacements and refurbishments for some part of the new building target was reasonable</w:t>
            </w:r>
            <w:r w:rsidR="00597C51">
              <w:rPr>
                <w:noProof/>
                <w:webHidden/>
              </w:rPr>
              <w:tab/>
            </w:r>
            <w:r w:rsidR="00597C51">
              <w:rPr>
                <w:noProof/>
                <w:webHidden/>
              </w:rPr>
              <w:fldChar w:fldCharType="begin"/>
            </w:r>
            <w:r w:rsidR="00597C51">
              <w:rPr>
                <w:noProof/>
                <w:webHidden/>
              </w:rPr>
              <w:instrText xml:space="preserve"> PAGEREF _Toc490218702 \h </w:instrText>
            </w:r>
            <w:r w:rsidR="00597C51">
              <w:rPr>
                <w:noProof/>
                <w:webHidden/>
              </w:rPr>
            </w:r>
            <w:r w:rsidR="00597C51">
              <w:rPr>
                <w:noProof/>
                <w:webHidden/>
              </w:rPr>
              <w:fldChar w:fldCharType="separate"/>
            </w:r>
            <w:r w:rsidR="00597C51">
              <w:rPr>
                <w:noProof/>
                <w:webHidden/>
              </w:rPr>
              <w:t>27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3" w:history="1">
            <w:r w:rsidR="00597C51" w:rsidRPr="00AB74F0">
              <w:rPr>
                <w:rStyle w:val="Hyperlink"/>
                <w:noProof/>
              </w:rPr>
              <w:t>4.3</w:t>
            </w:r>
            <w:r w:rsidR="00597C51">
              <w:rPr>
                <w:rFonts w:asciiTheme="minorHAnsi" w:eastAsiaTheme="minorEastAsia" w:hAnsiTheme="minorHAnsi"/>
                <w:noProof/>
                <w:lang w:eastAsia="en-AU"/>
              </w:rPr>
              <w:tab/>
            </w:r>
            <w:r w:rsidR="00597C51" w:rsidRPr="00AB74F0">
              <w:rPr>
                <w:rStyle w:val="Hyperlink"/>
                <w:noProof/>
              </w:rPr>
              <w:t>With the exception of Western Australia, each continuing jurisdiction met or exceeded its original COAG targets</w:t>
            </w:r>
            <w:r w:rsidR="00597C51">
              <w:rPr>
                <w:noProof/>
                <w:webHidden/>
              </w:rPr>
              <w:tab/>
            </w:r>
            <w:r w:rsidR="00597C51">
              <w:rPr>
                <w:noProof/>
                <w:webHidden/>
              </w:rPr>
              <w:fldChar w:fldCharType="begin"/>
            </w:r>
            <w:r w:rsidR="00597C51">
              <w:rPr>
                <w:noProof/>
                <w:webHidden/>
              </w:rPr>
              <w:instrText xml:space="preserve"> PAGEREF _Toc490218703 \h </w:instrText>
            </w:r>
            <w:r w:rsidR="00597C51">
              <w:rPr>
                <w:noProof/>
                <w:webHidden/>
              </w:rPr>
            </w:r>
            <w:r w:rsidR="00597C51">
              <w:rPr>
                <w:noProof/>
                <w:webHidden/>
              </w:rPr>
              <w:fldChar w:fldCharType="separate"/>
            </w:r>
            <w:r w:rsidR="00597C51">
              <w:rPr>
                <w:noProof/>
                <w:webHidden/>
              </w:rPr>
              <w:t>28</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4" w:history="1">
            <w:r w:rsidR="00597C51" w:rsidRPr="00AB74F0">
              <w:rPr>
                <w:rStyle w:val="Hyperlink"/>
                <w:noProof/>
              </w:rPr>
              <w:t>4.4</w:t>
            </w:r>
            <w:r w:rsidR="00597C51">
              <w:rPr>
                <w:rFonts w:asciiTheme="minorHAnsi" w:eastAsiaTheme="minorEastAsia" w:hAnsiTheme="minorHAnsi"/>
                <w:noProof/>
                <w:lang w:eastAsia="en-AU"/>
              </w:rPr>
              <w:tab/>
            </w:r>
            <w:r w:rsidR="00597C51" w:rsidRPr="00AB74F0">
              <w:rPr>
                <w:rStyle w:val="Hyperlink"/>
                <w:noProof/>
              </w:rPr>
              <w:t>Preliminary analysis shows South Australia achieved best value for money</w:t>
            </w:r>
            <w:r w:rsidR="00597C51">
              <w:rPr>
                <w:noProof/>
                <w:webHidden/>
              </w:rPr>
              <w:tab/>
            </w:r>
            <w:r w:rsidR="00597C51">
              <w:rPr>
                <w:noProof/>
                <w:webHidden/>
              </w:rPr>
              <w:fldChar w:fldCharType="begin"/>
            </w:r>
            <w:r w:rsidR="00597C51">
              <w:rPr>
                <w:noProof/>
                <w:webHidden/>
              </w:rPr>
              <w:instrText xml:space="preserve"> PAGEREF _Toc490218704 \h </w:instrText>
            </w:r>
            <w:r w:rsidR="00597C51">
              <w:rPr>
                <w:noProof/>
                <w:webHidden/>
              </w:rPr>
            </w:r>
            <w:r w:rsidR="00597C51">
              <w:rPr>
                <w:noProof/>
                <w:webHidden/>
              </w:rPr>
              <w:fldChar w:fldCharType="separate"/>
            </w:r>
            <w:r w:rsidR="00597C51">
              <w:rPr>
                <w:noProof/>
                <w:webHidden/>
              </w:rPr>
              <w:t>29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5" w:history="1">
            <w:r w:rsidR="00597C51" w:rsidRPr="00AB74F0">
              <w:rPr>
                <w:rStyle w:val="Hyperlink"/>
                <w:noProof/>
              </w:rPr>
              <w:t>4.5</w:t>
            </w:r>
            <w:r w:rsidR="00597C51">
              <w:rPr>
                <w:rFonts w:asciiTheme="minorHAnsi" w:eastAsiaTheme="minorEastAsia" w:hAnsiTheme="minorHAnsi"/>
                <w:noProof/>
                <w:lang w:eastAsia="en-AU"/>
              </w:rPr>
              <w:tab/>
            </w:r>
            <w:r w:rsidR="00597C51" w:rsidRPr="00AB74F0">
              <w:rPr>
                <w:rStyle w:val="Hyperlink"/>
                <w:noProof/>
              </w:rPr>
              <w:t>Over the course of the Strategy many lessons were learned (or re-learned)</w:t>
            </w:r>
            <w:r w:rsidR="00597C51">
              <w:rPr>
                <w:noProof/>
                <w:webHidden/>
              </w:rPr>
              <w:tab/>
            </w:r>
            <w:r w:rsidR="00597C51">
              <w:rPr>
                <w:noProof/>
                <w:webHidden/>
              </w:rPr>
              <w:fldChar w:fldCharType="begin"/>
            </w:r>
            <w:r w:rsidR="00597C51">
              <w:rPr>
                <w:noProof/>
                <w:webHidden/>
              </w:rPr>
              <w:instrText xml:space="preserve"> PAGEREF _Toc490218705 \h </w:instrText>
            </w:r>
            <w:r w:rsidR="00597C51">
              <w:rPr>
                <w:noProof/>
                <w:webHidden/>
              </w:rPr>
            </w:r>
            <w:r w:rsidR="00597C51">
              <w:rPr>
                <w:noProof/>
                <w:webHidden/>
              </w:rPr>
              <w:fldChar w:fldCharType="separate"/>
            </w:r>
            <w:r w:rsidR="00597C51">
              <w:rPr>
                <w:noProof/>
                <w:webHidden/>
              </w:rPr>
              <w:t>30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6" w:history="1">
            <w:r w:rsidR="00597C51" w:rsidRPr="00AB74F0">
              <w:rPr>
                <w:rStyle w:val="Hyperlink"/>
                <w:noProof/>
              </w:rPr>
              <w:t>4.6</w:t>
            </w:r>
            <w:r w:rsidR="00597C51">
              <w:rPr>
                <w:rFonts w:asciiTheme="minorHAnsi" w:eastAsiaTheme="minorEastAsia" w:hAnsiTheme="minorHAnsi"/>
                <w:noProof/>
                <w:lang w:eastAsia="en-AU"/>
              </w:rPr>
              <w:tab/>
            </w:r>
            <w:r w:rsidR="00597C51" w:rsidRPr="00AB74F0">
              <w:rPr>
                <w:rStyle w:val="Hyperlink"/>
                <w:noProof/>
              </w:rPr>
              <w:t>Acceptance and defect monitoring are key processes to ensure accountability for building quality</w:t>
            </w:r>
            <w:r w:rsidR="00597C51">
              <w:rPr>
                <w:noProof/>
                <w:webHidden/>
              </w:rPr>
              <w:tab/>
            </w:r>
            <w:r w:rsidR="00597C51">
              <w:rPr>
                <w:noProof/>
                <w:webHidden/>
              </w:rPr>
              <w:fldChar w:fldCharType="begin"/>
            </w:r>
            <w:r w:rsidR="00597C51">
              <w:rPr>
                <w:noProof/>
                <w:webHidden/>
              </w:rPr>
              <w:instrText xml:space="preserve"> PAGEREF _Toc490218706 \h </w:instrText>
            </w:r>
            <w:r w:rsidR="00597C51">
              <w:rPr>
                <w:noProof/>
                <w:webHidden/>
              </w:rPr>
            </w:r>
            <w:r w:rsidR="00597C51">
              <w:rPr>
                <w:noProof/>
                <w:webHidden/>
              </w:rPr>
              <w:fldChar w:fldCharType="separate"/>
            </w:r>
            <w:r w:rsidR="00597C51">
              <w:rPr>
                <w:noProof/>
                <w:webHidden/>
              </w:rPr>
              <w:t>36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7" w:history="1">
            <w:r w:rsidR="00597C51" w:rsidRPr="00AB74F0">
              <w:rPr>
                <w:rStyle w:val="Hyperlink"/>
                <w:noProof/>
              </w:rPr>
              <w:t>4.7</w:t>
            </w:r>
            <w:r w:rsidR="00597C51">
              <w:rPr>
                <w:rFonts w:asciiTheme="minorHAnsi" w:eastAsiaTheme="minorEastAsia" w:hAnsiTheme="minorHAnsi"/>
                <w:noProof/>
                <w:lang w:eastAsia="en-AU"/>
              </w:rPr>
              <w:tab/>
            </w:r>
            <w:r w:rsidR="00597C51" w:rsidRPr="00AB74F0">
              <w:rPr>
                <w:rStyle w:val="Hyperlink"/>
                <w:noProof/>
              </w:rPr>
              <w:t>The introduction of a two year competitive bids process led to undesirable, and unintended, consequences</w:t>
            </w:r>
            <w:r w:rsidR="00597C51">
              <w:rPr>
                <w:noProof/>
                <w:webHidden/>
              </w:rPr>
              <w:tab/>
            </w:r>
            <w:r w:rsidR="00597C51">
              <w:rPr>
                <w:noProof/>
                <w:webHidden/>
              </w:rPr>
              <w:fldChar w:fldCharType="begin"/>
            </w:r>
            <w:r w:rsidR="00597C51">
              <w:rPr>
                <w:noProof/>
                <w:webHidden/>
              </w:rPr>
              <w:instrText xml:space="preserve"> PAGEREF _Toc490218707 \h </w:instrText>
            </w:r>
            <w:r w:rsidR="00597C51">
              <w:rPr>
                <w:noProof/>
                <w:webHidden/>
              </w:rPr>
            </w:r>
            <w:r w:rsidR="00597C51">
              <w:rPr>
                <w:noProof/>
                <w:webHidden/>
              </w:rPr>
              <w:fldChar w:fldCharType="separate"/>
            </w:r>
            <w:r w:rsidR="00597C51">
              <w:rPr>
                <w:noProof/>
                <w:webHidden/>
              </w:rPr>
              <w:t>36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8" w:history="1">
            <w:r w:rsidR="00597C51" w:rsidRPr="00AB74F0">
              <w:rPr>
                <w:rStyle w:val="Hyperlink"/>
                <w:noProof/>
              </w:rPr>
              <w:t>4.8</w:t>
            </w:r>
            <w:r w:rsidR="00597C51">
              <w:rPr>
                <w:rFonts w:asciiTheme="minorHAnsi" w:eastAsiaTheme="minorEastAsia" w:hAnsiTheme="minorHAnsi"/>
                <w:noProof/>
                <w:lang w:eastAsia="en-AU"/>
              </w:rPr>
              <w:tab/>
            </w:r>
            <w:r w:rsidR="00597C51" w:rsidRPr="00AB74F0">
              <w:rPr>
                <w:rStyle w:val="Hyperlink"/>
                <w:noProof/>
              </w:rPr>
              <w:t>Local engagement, when done well, delivers better housing</w:t>
            </w:r>
            <w:r w:rsidR="00597C51">
              <w:rPr>
                <w:noProof/>
                <w:webHidden/>
              </w:rPr>
              <w:tab/>
            </w:r>
            <w:r w:rsidR="00597C51">
              <w:rPr>
                <w:noProof/>
                <w:webHidden/>
              </w:rPr>
              <w:fldChar w:fldCharType="begin"/>
            </w:r>
            <w:r w:rsidR="00597C51">
              <w:rPr>
                <w:noProof/>
                <w:webHidden/>
              </w:rPr>
              <w:instrText xml:space="preserve"> PAGEREF _Toc490218708 \h </w:instrText>
            </w:r>
            <w:r w:rsidR="00597C51">
              <w:rPr>
                <w:noProof/>
                <w:webHidden/>
              </w:rPr>
            </w:r>
            <w:r w:rsidR="00597C51">
              <w:rPr>
                <w:noProof/>
                <w:webHidden/>
              </w:rPr>
              <w:fldChar w:fldCharType="separate"/>
            </w:r>
            <w:r w:rsidR="00597C51">
              <w:rPr>
                <w:noProof/>
                <w:webHidden/>
              </w:rPr>
              <w:t>37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09" w:history="1">
            <w:r w:rsidR="00597C51" w:rsidRPr="00AB74F0">
              <w:rPr>
                <w:rStyle w:val="Hyperlink"/>
                <w:noProof/>
              </w:rPr>
              <w:t>4.9</w:t>
            </w:r>
            <w:r w:rsidR="00597C51">
              <w:rPr>
                <w:rFonts w:asciiTheme="minorHAnsi" w:eastAsiaTheme="minorEastAsia" w:hAnsiTheme="minorHAnsi"/>
                <w:noProof/>
                <w:lang w:eastAsia="en-AU"/>
              </w:rPr>
              <w:tab/>
            </w:r>
            <w:r w:rsidR="00597C51" w:rsidRPr="00AB74F0">
              <w:rPr>
                <w:rStyle w:val="Hyperlink"/>
                <w:noProof/>
              </w:rPr>
              <w:t>The Strategy also built accommodation to support employment and education outside remote communities</w:t>
            </w:r>
            <w:r w:rsidR="00597C51">
              <w:rPr>
                <w:noProof/>
                <w:webHidden/>
              </w:rPr>
              <w:tab/>
            </w:r>
            <w:r w:rsidR="00597C51">
              <w:rPr>
                <w:noProof/>
                <w:webHidden/>
              </w:rPr>
              <w:fldChar w:fldCharType="begin"/>
            </w:r>
            <w:r w:rsidR="00597C51">
              <w:rPr>
                <w:noProof/>
                <w:webHidden/>
              </w:rPr>
              <w:instrText xml:space="preserve"> PAGEREF _Toc490218709 \h </w:instrText>
            </w:r>
            <w:r w:rsidR="00597C51">
              <w:rPr>
                <w:noProof/>
                <w:webHidden/>
              </w:rPr>
            </w:r>
            <w:r w:rsidR="00597C51">
              <w:rPr>
                <w:noProof/>
                <w:webHidden/>
              </w:rPr>
              <w:fldChar w:fldCharType="separate"/>
            </w:r>
            <w:r w:rsidR="00597C51">
              <w:rPr>
                <w:noProof/>
                <w:webHidden/>
              </w:rPr>
              <w:t>38</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0" w:history="1">
            <w:r w:rsidR="00597C51" w:rsidRPr="00AB74F0">
              <w:rPr>
                <w:rStyle w:val="Hyperlink"/>
                <w:noProof/>
              </w:rPr>
              <w:t>4.10</w:t>
            </w:r>
            <w:r w:rsidR="00597C51">
              <w:rPr>
                <w:rFonts w:asciiTheme="minorHAnsi" w:eastAsiaTheme="minorEastAsia" w:hAnsiTheme="minorHAnsi"/>
                <w:noProof/>
                <w:lang w:eastAsia="en-AU"/>
              </w:rPr>
              <w:tab/>
            </w:r>
            <w:r w:rsidR="00597C51" w:rsidRPr="00AB74F0">
              <w:rPr>
                <w:rStyle w:val="Hyperlink"/>
                <w:noProof/>
              </w:rPr>
              <w:t>Proper planning of land and infrastructure is essential</w:t>
            </w:r>
            <w:r w:rsidR="00597C51">
              <w:rPr>
                <w:noProof/>
                <w:webHidden/>
              </w:rPr>
              <w:tab/>
            </w:r>
            <w:r w:rsidR="00597C51">
              <w:rPr>
                <w:noProof/>
                <w:webHidden/>
              </w:rPr>
              <w:fldChar w:fldCharType="begin"/>
            </w:r>
            <w:r w:rsidR="00597C51">
              <w:rPr>
                <w:noProof/>
                <w:webHidden/>
              </w:rPr>
              <w:instrText xml:space="preserve"> PAGEREF _Toc490218710 \h </w:instrText>
            </w:r>
            <w:r w:rsidR="00597C51">
              <w:rPr>
                <w:noProof/>
                <w:webHidden/>
              </w:rPr>
            </w:r>
            <w:r w:rsidR="00597C51">
              <w:rPr>
                <w:noProof/>
                <w:webHidden/>
              </w:rPr>
              <w:fldChar w:fldCharType="separate"/>
            </w:r>
            <w:r w:rsidR="00597C51">
              <w:rPr>
                <w:noProof/>
                <w:webHidden/>
              </w:rPr>
              <w:t>39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1" w:history="1">
            <w:r w:rsidR="00597C51" w:rsidRPr="00AB74F0">
              <w:rPr>
                <w:rStyle w:val="Hyperlink"/>
                <w:noProof/>
              </w:rPr>
              <w:t>4.11</w:t>
            </w:r>
            <w:r w:rsidR="00597C51">
              <w:rPr>
                <w:rFonts w:asciiTheme="minorHAnsi" w:eastAsiaTheme="minorEastAsia" w:hAnsiTheme="minorHAnsi"/>
                <w:noProof/>
                <w:lang w:eastAsia="en-AU"/>
              </w:rPr>
              <w:tab/>
            </w:r>
            <w:r w:rsidR="00597C51" w:rsidRPr="00AB74F0">
              <w:rPr>
                <w:rStyle w:val="Hyperlink"/>
                <w:noProof/>
              </w:rPr>
              <w:t>There are challenges with the availability of serviced land for the future</w:t>
            </w:r>
            <w:r w:rsidR="00597C51">
              <w:rPr>
                <w:noProof/>
                <w:webHidden/>
              </w:rPr>
              <w:tab/>
            </w:r>
            <w:r w:rsidR="00597C51">
              <w:rPr>
                <w:noProof/>
                <w:webHidden/>
              </w:rPr>
              <w:fldChar w:fldCharType="begin"/>
            </w:r>
            <w:r w:rsidR="00597C51">
              <w:rPr>
                <w:noProof/>
                <w:webHidden/>
              </w:rPr>
              <w:instrText xml:space="preserve"> PAGEREF _Toc490218711 \h </w:instrText>
            </w:r>
            <w:r w:rsidR="00597C51">
              <w:rPr>
                <w:noProof/>
                <w:webHidden/>
              </w:rPr>
            </w:r>
            <w:r w:rsidR="00597C51">
              <w:rPr>
                <w:noProof/>
                <w:webHidden/>
              </w:rPr>
              <w:fldChar w:fldCharType="separate"/>
            </w:r>
            <w:r w:rsidR="00597C51">
              <w:rPr>
                <w:noProof/>
                <w:webHidden/>
              </w:rPr>
              <w:t>40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2" w:history="1">
            <w:r w:rsidR="00597C51" w:rsidRPr="00AB74F0">
              <w:rPr>
                <w:rStyle w:val="Hyperlink"/>
                <w:noProof/>
              </w:rPr>
              <w:t>4.12</w:t>
            </w:r>
            <w:r w:rsidR="00597C51">
              <w:rPr>
                <w:rFonts w:asciiTheme="minorHAnsi" w:eastAsiaTheme="minorEastAsia" w:hAnsiTheme="minorHAnsi"/>
                <w:noProof/>
                <w:lang w:eastAsia="en-AU"/>
              </w:rPr>
              <w:tab/>
            </w:r>
            <w:r w:rsidR="00597C51" w:rsidRPr="00AB74F0">
              <w:rPr>
                <w:rStyle w:val="Hyperlink"/>
                <w:noProof/>
              </w:rPr>
              <w:t>Land reform was a key part of the Strategy</w:t>
            </w:r>
            <w:r w:rsidR="00597C51">
              <w:rPr>
                <w:noProof/>
                <w:webHidden/>
              </w:rPr>
              <w:tab/>
            </w:r>
            <w:r w:rsidR="00597C51">
              <w:rPr>
                <w:noProof/>
                <w:webHidden/>
              </w:rPr>
              <w:fldChar w:fldCharType="begin"/>
            </w:r>
            <w:r w:rsidR="00597C51">
              <w:rPr>
                <w:noProof/>
                <w:webHidden/>
              </w:rPr>
              <w:instrText xml:space="preserve"> PAGEREF _Toc490218712 \h </w:instrText>
            </w:r>
            <w:r w:rsidR="00597C51">
              <w:rPr>
                <w:noProof/>
                <w:webHidden/>
              </w:rPr>
            </w:r>
            <w:r w:rsidR="00597C51">
              <w:rPr>
                <w:noProof/>
                <w:webHidden/>
              </w:rPr>
              <w:fldChar w:fldCharType="separate"/>
            </w:r>
            <w:r w:rsidR="00597C51">
              <w:rPr>
                <w:noProof/>
                <w:webHidden/>
              </w:rPr>
              <w:t>40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3" w:history="1">
            <w:r w:rsidR="00597C51" w:rsidRPr="00AB74F0">
              <w:rPr>
                <w:rStyle w:val="Hyperlink"/>
                <w:noProof/>
                <w:lang w:eastAsia="en-AU"/>
              </w:rPr>
              <w:t>4.13</w:t>
            </w:r>
            <w:r w:rsidR="00597C51">
              <w:rPr>
                <w:rFonts w:asciiTheme="minorHAnsi" w:eastAsiaTheme="minorEastAsia" w:hAnsiTheme="minorHAnsi"/>
                <w:noProof/>
                <w:lang w:eastAsia="en-AU"/>
              </w:rPr>
              <w:tab/>
            </w:r>
            <w:r w:rsidR="00597C51" w:rsidRPr="00AB74F0">
              <w:rPr>
                <w:rStyle w:val="Hyperlink"/>
                <w:noProof/>
                <w:lang w:eastAsia="en-AU"/>
              </w:rPr>
              <w:t>Home ownership has not been a big success of the Strategy</w:t>
            </w:r>
            <w:r w:rsidR="00597C51">
              <w:rPr>
                <w:noProof/>
                <w:webHidden/>
              </w:rPr>
              <w:tab/>
            </w:r>
            <w:r w:rsidR="00597C51">
              <w:rPr>
                <w:noProof/>
                <w:webHidden/>
              </w:rPr>
              <w:fldChar w:fldCharType="begin"/>
            </w:r>
            <w:r w:rsidR="00597C51">
              <w:rPr>
                <w:noProof/>
                <w:webHidden/>
              </w:rPr>
              <w:instrText xml:space="preserve"> PAGEREF _Toc490218713 \h </w:instrText>
            </w:r>
            <w:r w:rsidR="00597C51">
              <w:rPr>
                <w:noProof/>
                <w:webHidden/>
              </w:rPr>
            </w:r>
            <w:r w:rsidR="00597C51">
              <w:rPr>
                <w:noProof/>
                <w:webHidden/>
              </w:rPr>
              <w:fldChar w:fldCharType="separate"/>
            </w:r>
            <w:r w:rsidR="00597C51">
              <w:rPr>
                <w:noProof/>
                <w:webHidden/>
              </w:rPr>
              <w:t>41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4" w:history="1">
            <w:r w:rsidR="00597C51" w:rsidRPr="00AB74F0">
              <w:rPr>
                <w:rStyle w:val="Hyperlink"/>
                <w:noProof/>
                <w:lang w:eastAsia="en-AU"/>
              </w:rPr>
              <w:t>4.14</w:t>
            </w:r>
            <w:r w:rsidR="00597C51">
              <w:rPr>
                <w:rFonts w:asciiTheme="minorHAnsi" w:eastAsiaTheme="minorEastAsia" w:hAnsiTheme="minorHAnsi"/>
                <w:noProof/>
                <w:lang w:eastAsia="en-AU"/>
              </w:rPr>
              <w:tab/>
            </w:r>
            <w:r w:rsidR="00597C51" w:rsidRPr="00AB74F0">
              <w:rPr>
                <w:rStyle w:val="Hyperlink"/>
                <w:noProof/>
                <w:lang w:eastAsia="en-AU"/>
              </w:rPr>
              <w:t>Key Findings</w:t>
            </w:r>
            <w:r w:rsidR="00597C51">
              <w:rPr>
                <w:noProof/>
                <w:webHidden/>
              </w:rPr>
              <w:tab/>
            </w:r>
            <w:r w:rsidR="00597C51">
              <w:rPr>
                <w:noProof/>
                <w:webHidden/>
              </w:rPr>
              <w:fldChar w:fldCharType="begin"/>
            </w:r>
            <w:r w:rsidR="00597C51">
              <w:rPr>
                <w:noProof/>
                <w:webHidden/>
              </w:rPr>
              <w:instrText xml:space="preserve"> PAGEREF _Toc490218714 \h </w:instrText>
            </w:r>
            <w:r w:rsidR="00597C51">
              <w:rPr>
                <w:noProof/>
                <w:webHidden/>
              </w:rPr>
            </w:r>
            <w:r w:rsidR="00597C51">
              <w:rPr>
                <w:noProof/>
                <w:webHidden/>
              </w:rPr>
              <w:fldChar w:fldCharType="separate"/>
            </w:r>
            <w:r w:rsidR="00597C51">
              <w:rPr>
                <w:noProof/>
                <w:webHidden/>
              </w:rPr>
              <w:t>42</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15" w:history="1">
            <w:r w:rsidR="00597C51" w:rsidRPr="00AB74F0">
              <w:rPr>
                <w:rStyle w:val="Hyperlink"/>
                <w:noProof/>
              </w:rPr>
              <w:t>5.</w:t>
            </w:r>
            <w:r w:rsidR="00597C51">
              <w:rPr>
                <w:rFonts w:asciiTheme="minorHAnsi" w:eastAsiaTheme="minorEastAsia" w:hAnsiTheme="minorHAnsi"/>
                <w:noProof/>
                <w:lang w:eastAsia="en-AU"/>
              </w:rPr>
              <w:tab/>
            </w:r>
            <w:r w:rsidR="00597C51" w:rsidRPr="00AB74F0">
              <w:rPr>
                <w:rStyle w:val="Hyperlink"/>
                <w:noProof/>
              </w:rPr>
              <w:t>Property and Tenancy Management</w:t>
            </w:r>
            <w:r w:rsidR="00597C51">
              <w:rPr>
                <w:noProof/>
                <w:webHidden/>
              </w:rPr>
              <w:tab/>
            </w:r>
            <w:r w:rsidR="00597C51">
              <w:rPr>
                <w:noProof/>
                <w:webHidden/>
              </w:rPr>
              <w:fldChar w:fldCharType="begin"/>
            </w:r>
            <w:r w:rsidR="00597C51">
              <w:rPr>
                <w:noProof/>
                <w:webHidden/>
              </w:rPr>
              <w:instrText xml:space="preserve"> PAGEREF _Toc490218715 \h </w:instrText>
            </w:r>
            <w:r w:rsidR="00597C51">
              <w:rPr>
                <w:noProof/>
                <w:webHidden/>
              </w:rPr>
            </w:r>
            <w:r w:rsidR="00597C51">
              <w:rPr>
                <w:noProof/>
                <w:webHidden/>
              </w:rPr>
              <w:fldChar w:fldCharType="separate"/>
            </w:r>
            <w:r w:rsidR="00597C51">
              <w:rPr>
                <w:noProof/>
                <w:webHidden/>
              </w:rPr>
              <w:t>44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6" w:history="1">
            <w:r w:rsidR="00597C51" w:rsidRPr="00AB74F0">
              <w:rPr>
                <w:rStyle w:val="Hyperlink"/>
                <w:noProof/>
              </w:rPr>
              <w:t>5.1</w:t>
            </w:r>
            <w:r w:rsidR="00597C51">
              <w:rPr>
                <w:rFonts w:asciiTheme="minorHAnsi" w:eastAsiaTheme="minorEastAsia" w:hAnsiTheme="minorHAnsi"/>
                <w:noProof/>
                <w:lang w:eastAsia="en-AU"/>
              </w:rPr>
              <w:tab/>
            </w:r>
            <w:r w:rsidR="00597C51" w:rsidRPr="00AB74F0">
              <w:rPr>
                <w:rStyle w:val="Hyperlink"/>
                <w:noProof/>
              </w:rPr>
              <w:t>The Strategy is the first national program to have such a substantial focus on PTM</w:t>
            </w:r>
            <w:r w:rsidR="00597C51">
              <w:rPr>
                <w:noProof/>
                <w:webHidden/>
              </w:rPr>
              <w:tab/>
            </w:r>
            <w:r w:rsidR="00597C51">
              <w:rPr>
                <w:noProof/>
                <w:webHidden/>
              </w:rPr>
              <w:fldChar w:fldCharType="begin"/>
            </w:r>
            <w:r w:rsidR="00597C51">
              <w:rPr>
                <w:noProof/>
                <w:webHidden/>
              </w:rPr>
              <w:instrText xml:space="preserve"> PAGEREF _Toc490218716 \h </w:instrText>
            </w:r>
            <w:r w:rsidR="00597C51">
              <w:rPr>
                <w:noProof/>
                <w:webHidden/>
              </w:rPr>
            </w:r>
            <w:r w:rsidR="00597C51">
              <w:rPr>
                <w:noProof/>
                <w:webHidden/>
              </w:rPr>
              <w:fldChar w:fldCharType="separate"/>
            </w:r>
            <w:r w:rsidR="00597C51">
              <w:rPr>
                <w:noProof/>
                <w:webHidden/>
              </w:rPr>
              <w:t>44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7" w:history="1">
            <w:r w:rsidR="00597C51" w:rsidRPr="00AB74F0">
              <w:rPr>
                <w:rStyle w:val="Hyperlink"/>
                <w:noProof/>
              </w:rPr>
              <w:t>5.2</w:t>
            </w:r>
            <w:r w:rsidR="00597C51">
              <w:rPr>
                <w:rFonts w:asciiTheme="minorHAnsi" w:eastAsiaTheme="minorEastAsia" w:hAnsiTheme="minorHAnsi"/>
                <w:noProof/>
                <w:lang w:eastAsia="en-AU"/>
              </w:rPr>
              <w:tab/>
            </w:r>
            <w:r w:rsidR="00597C51" w:rsidRPr="00AB74F0">
              <w:rPr>
                <w:rStyle w:val="Hyperlink"/>
                <w:noProof/>
              </w:rPr>
              <w:t>Property management is important among lessons already learned but progress has been mixed</w:t>
            </w:r>
            <w:r w:rsidR="00597C51">
              <w:rPr>
                <w:noProof/>
                <w:webHidden/>
              </w:rPr>
              <w:tab/>
            </w:r>
            <w:r w:rsidR="00597C51">
              <w:rPr>
                <w:noProof/>
                <w:webHidden/>
              </w:rPr>
              <w:fldChar w:fldCharType="begin"/>
            </w:r>
            <w:r w:rsidR="00597C51">
              <w:rPr>
                <w:noProof/>
                <w:webHidden/>
              </w:rPr>
              <w:instrText xml:space="preserve"> PAGEREF _Toc490218717 \h </w:instrText>
            </w:r>
            <w:r w:rsidR="00597C51">
              <w:rPr>
                <w:noProof/>
                <w:webHidden/>
              </w:rPr>
            </w:r>
            <w:r w:rsidR="00597C51">
              <w:rPr>
                <w:noProof/>
                <w:webHidden/>
              </w:rPr>
              <w:fldChar w:fldCharType="separate"/>
            </w:r>
            <w:r w:rsidR="00597C51">
              <w:rPr>
                <w:noProof/>
                <w:webHidden/>
              </w:rPr>
              <w:t>45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8" w:history="1">
            <w:r w:rsidR="00597C51" w:rsidRPr="00AB74F0">
              <w:rPr>
                <w:rStyle w:val="Hyperlink"/>
                <w:noProof/>
              </w:rPr>
              <w:t>5.3</w:t>
            </w:r>
            <w:r w:rsidR="00597C51">
              <w:rPr>
                <w:rFonts w:asciiTheme="minorHAnsi" w:eastAsiaTheme="minorEastAsia" w:hAnsiTheme="minorHAnsi"/>
                <w:noProof/>
                <w:lang w:eastAsia="en-AU"/>
              </w:rPr>
              <w:tab/>
            </w:r>
            <w:r w:rsidR="00597C51" w:rsidRPr="00AB74F0">
              <w:rPr>
                <w:rStyle w:val="Hyperlink"/>
                <w:noProof/>
              </w:rPr>
              <w:t>There are further lessons to be learned from the delivery of maintenance services under the Strategy</w:t>
            </w:r>
            <w:r w:rsidR="00597C51">
              <w:rPr>
                <w:noProof/>
                <w:webHidden/>
              </w:rPr>
              <w:tab/>
            </w:r>
            <w:r w:rsidR="00597C51">
              <w:rPr>
                <w:noProof/>
                <w:webHidden/>
              </w:rPr>
              <w:fldChar w:fldCharType="begin"/>
            </w:r>
            <w:r w:rsidR="00597C51">
              <w:rPr>
                <w:noProof/>
                <w:webHidden/>
              </w:rPr>
              <w:instrText xml:space="preserve"> PAGEREF _Toc490218718 \h </w:instrText>
            </w:r>
            <w:r w:rsidR="00597C51">
              <w:rPr>
                <w:noProof/>
                <w:webHidden/>
              </w:rPr>
            </w:r>
            <w:r w:rsidR="00597C51">
              <w:rPr>
                <w:noProof/>
                <w:webHidden/>
              </w:rPr>
              <w:fldChar w:fldCharType="separate"/>
            </w:r>
            <w:r w:rsidR="00597C51">
              <w:rPr>
                <w:noProof/>
                <w:webHidden/>
              </w:rPr>
              <w:t>47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19" w:history="1">
            <w:r w:rsidR="00597C51" w:rsidRPr="00AB74F0">
              <w:rPr>
                <w:rStyle w:val="Hyperlink"/>
                <w:noProof/>
              </w:rPr>
              <w:t>5.4</w:t>
            </w:r>
            <w:r w:rsidR="00597C51">
              <w:rPr>
                <w:rFonts w:asciiTheme="minorHAnsi" w:eastAsiaTheme="minorEastAsia" w:hAnsiTheme="minorHAnsi"/>
                <w:noProof/>
                <w:lang w:eastAsia="en-AU"/>
              </w:rPr>
              <w:tab/>
            </w:r>
            <w:r w:rsidR="00597C51" w:rsidRPr="00AB74F0">
              <w:rPr>
                <w:rStyle w:val="Hyperlink"/>
                <w:noProof/>
              </w:rPr>
              <w:t>Formalising tenancy agreements was a start but tenants are not clear about rights and responsibilities</w:t>
            </w:r>
            <w:r w:rsidR="00597C51">
              <w:rPr>
                <w:noProof/>
                <w:webHidden/>
              </w:rPr>
              <w:tab/>
            </w:r>
            <w:r w:rsidR="00597C51">
              <w:rPr>
                <w:noProof/>
                <w:webHidden/>
              </w:rPr>
              <w:fldChar w:fldCharType="begin"/>
            </w:r>
            <w:r w:rsidR="00597C51">
              <w:rPr>
                <w:noProof/>
                <w:webHidden/>
              </w:rPr>
              <w:instrText xml:space="preserve"> PAGEREF _Toc490218719 \h </w:instrText>
            </w:r>
            <w:r w:rsidR="00597C51">
              <w:rPr>
                <w:noProof/>
                <w:webHidden/>
              </w:rPr>
            </w:r>
            <w:r w:rsidR="00597C51">
              <w:rPr>
                <w:noProof/>
                <w:webHidden/>
              </w:rPr>
              <w:fldChar w:fldCharType="separate"/>
            </w:r>
            <w:r w:rsidR="00597C51">
              <w:rPr>
                <w:noProof/>
                <w:webHidden/>
              </w:rPr>
              <w:t>49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0" w:history="1">
            <w:r w:rsidR="00597C51" w:rsidRPr="00AB74F0">
              <w:rPr>
                <w:rStyle w:val="Hyperlink"/>
                <w:noProof/>
              </w:rPr>
              <w:t>5.5</w:t>
            </w:r>
            <w:r w:rsidR="00597C51">
              <w:rPr>
                <w:rFonts w:asciiTheme="minorHAnsi" w:eastAsiaTheme="minorEastAsia" w:hAnsiTheme="minorHAnsi"/>
                <w:noProof/>
                <w:lang w:eastAsia="en-AU"/>
              </w:rPr>
              <w:tab/>
            </w:r>
            <w:r w:rsidR="00597C51" w:rsidRPr="00AB74F0">
              <w:rPr>
                <w:rStyle w:val="Hyperlink"/>
                <w:noProof/>
              </w:rPr>
              <w:t>There have been positive changes to rental policy and practices but again, there is more to do</w:t>
            </w:r>
            <w:r w:rsidR="00597C51">
              <w:rPr>
                <w:noProof/>
                <w:webHidden/>
              </w:rPr>
              <w:tab/>
            </w:r>
            <w:r w:rsidR="00597C51">
              <w:rPr>
                <w:noProof/>
                <w:webHidden/>
              </w:rPr>
              <w:fldChar w:fldCharType="begin"/>
            </w:r>
            <w:r w:rsidR="00597C51">
              <w:rPr>
                <w:noProof/>
                <w:webHidden/>
              </w:rPr>
              <w:instrText xml:space="preserve"> PAGEREF _Toc490218720 \h </w:instrText>
            </w:r>
            <w:r w:rsidR="00597C51">
              <w:rPr>
                <w:noProof/>
                <w:webHidden/>
              </w:rPr>
            </w:r>
            <w:r w:rsidR="00597C51">
              <w:rPr>
                <w:noProof/>
                <w:webHidden/>
              </w:rPr>
              <w:fldChar w:fldCharType="separate"/>
            </w:r>
            <w:r w:rsidR="00597C51">
              <w:rPr>
                <w:noProof/>
                <w:webHidden/>
              </w:rPr>
              <w:t>51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1" w:history="1">
            <w:r w:rsidR="00597C51" w:rsidRPr="00AB74F0">
              <w:rPr>
                <w:rStyle w:val="Hyperlink"/>
                <w:noProof/>
              </w:rPr>
              <w:t>5.6</w:t>
            </w:r>
            <w:r w:rsidR="00597C51">
              <w:rPr>
                <w:rFonts w:asciiTheme="minorHAnsi" w:eastAsiaTheme="minorEastAsia" w:hAnsiTheme="minorHAnsi"/>
                <w:noProof/>
                <w:lang w:eastAsia="en-AU"/>
              </w:rPr>
              <w:tab/>
            </w:r>
            <w:r w:rsidR="00597C51" w:rsidRPr="00AB74F0">
              <w:rPr>
                <w:rStyle w:val="Hyperlink"/>
                <w:noProof/>
              </w:rPr>
              <w:t>There is a potential role for ICHOs in the future delivery of remote Indigenous housing</w:t>
            </w:r>
            <w:r w:rsidR="00597C51">
              <w:rPr>
                <w:noProof/>
                <w:webHidden/>
              </w:rPr>
              <w:tab/>
            </w:r>
            <w:r w:rsidR="00597C51">
              <w:rPr>
                <w:noProof/>
                <w:webHidden/>
              </w:rPr>
              <w:fldChar w:fldCharType="begin"/>
            </w:r>
            <w:r w:rsidR="00597C51">
              <w:rPr>
                <w:noProof/>
                <w:webHidden/>
              </w:rPr>
              <w:instrText xml:space="preserve"> PAGEREF _Toc490218721 \h </w:instrText>
            </w:r>
            <w:r w:rsidR="00597C51">
              <w:rPr>
                <w:noProof/>
                <w:webHidden/>
              </w:rPr>
            </w:r>
            <w:r w:rsidR="00597C51">
              <w:rPr>
                <w:noProof/>
                <w:webHidden/>
              </w:rPr>
              <w:fldChar w:fldCharType="separate"/>
            </w:r>
            <w:r w:rsidR="00597C51">
              <w:rPr>
                <w:noProof/>
                <w:webHidden/>
              </w:rPr>
              <w:t>53</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2" w:history="1">
            <w:r w:rsidR="00597C51" w:rsidRPr="00AB74F0">
              <w:rPr>
                <w:rStyle w:val="Hyperlink"/>
                <w:noProof/>
              </w:rPr>
              <w:t>5.7</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_Toc490218722 \h </w:instrText>
            </w:r>
            <w:r w:rsidR="00597C51">
              <w:rPr>
                <w:noProof/>
                <w:webHidden/>
              </w:rPr>
            </w:r>
            <w:r w:rsidR="00597C51">
              <w:rPr>
                <w:noProof/>
                <w:webHidden/>
              </w:rPr>
              <w:fldChar w:fldCharType="separate"/>
            </w:r>
            <w:r w:rsidR="00597C51">
              <w:rPr>
                <w:noProof/>
                <w:webHidden/>
              </w:rPr>
              <w:t>55</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23" w:history="1">
            <w:r w:rsidR="00597C51" w:rsidRPr="00AB74F0">
              <w:rPr>
                <w:rStyle w:val="Hyperlink"/>
                <w:noProof/>
              </w:rPr>
              <w:t>6.</w:t>
            </w:r>
            <w:r w:rsidR="00597C51">
              <w:rPr>
                <w:rFonts w:asciiTheme="minorHAnsi" w:eastAsiaTheme="minorEastAsia" w:hAnsiTheme="minorHAnsi"/>
                <w:noProof/>
                <w:lang w:eastAsia="en-AU"/>
              </w:rPr>
              <w:tab/>
            </w:r>
            <w:r w:rsidR="00597C51" w:rsidRPr="00AB74F0">
              <w:rPr>
                <w:rStyle w:val="Hyperlink"/>
                <w:noProof/>
              </w:rPr>
              <w:t>Indigenous employment and business development outcomes</w:t>
            </w:r>
            <w:r w:rsidR="00597C51">
              <w:rPr>
                <w:noProof/>
                <w:webHidden/>
              </w:rPr>
              <w:tab/>
            </w:r>
            <w:r w:rsidR="00597C51">
              <w:rPr>
                <w:noProof/>
                <w:webHidden/>
              </w:rPr>
              <w:fldChar w:fldCharType="begin"/>
            </w:r>
            <w:r w:rsidR="00597C51">
              <w:rPr>
                <w:noProof/>
                <w:webHidden/>
              </w:rPr>
              <w:instrText xml:space="preserve"> PAGEREF _Toc490218723 \h </w:instrText>
            </w:r>
            <w:r w:rsidR="00597C51">
              <w:rPr>
                <w:noProof/>
                <w:webHidden/>
              </w:rPr>
            </w:r>
            <w:r w:rsidR="00597C51">
              <w:rPr>
                <w:noProof/>
                <w:webHidden/>
              </w:rPr>
              <w:fldChar w:fldCharType="separate"/>
            </w:r>
            <w:r w:rsidR="00597C51">
              <w:rPr>
                <w:noProof/>
                <w:webHidden/>
              </w:rPr>
              <w:t>56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4" w:history="1">
            <w:r w:rsidR="00597C51" w:rsidRPr="00AB74F0">
              <w:rPr>
                <w:rStyle w:val="Hyperlink"/>
                <w:noProof/>
              </w:rPr>
              <w:t>6.1</w:t>
            </w:r>
            <w:r w:rsidR="00597C51">
              <w:rPr>
                <w:rFonts w:asciiTheme="minorHAnsi" w:eastAsiaTheme="minorEastAsia" w:hAnsiTheme="minorHAnsi"/>
                <w:noProof/>
                <w:lang w:eastAsia="en-AU"/>
              </w:rPr>
              <w:tab/>
            </w:r>
            <w:r w:rsidR="00597C51" w:rsidRPr="00AB74F0">
              <w:rPr>
                <w:rStyle w:val="Hyperlink"/>
                <w:noProof/>
              </w:rPr>
              <w:t>Jurisdictions mostly reported they met employment targets</w:t>
            </w:r>
            <w:r w:rsidR="00597C51">
              <w:rPr>
                <w:noProof/>
                <w:webHidden/>
              </w:rPr>
              <w:tab/>
            </w:r>
            <w:r w:rsidR="00597C51">
              <w:rPr>
                <w:noProof/>
                <w:webHidden/>
              </w:rPr>
              <w:fldChar w:fldCharType="begin"/>
            </w:r>
            <w:r w:rsidR="00597C51">
              <w:rPr>
                <w:noProof/>
                <w:webHidden/>
              </w:rPr>
              <w:instrText xml:space="preserve"> PAGEREF _Toc490218724 \h </w:instrText>
            </w:r>
            <w:r w:rsidR="00597C51">
              <w:rPr>
                <w:noProof/>
                <w:webHidden/>
              </w:rPr>
            </w:r>
            <w:r w:rsidR="00597C51">
              <w:rPr>
                <w:noProof/>
                <w:webHidden/>
              </w:rPr>
              <w:fldChar w:fldCharType="separate"/>
            </w:r>
            <w:r w:rsidR="00597C51">
              <w:rPr>
                <w:noProof/>
                <w:webHidden/>
              </w:rPr>
              <w:t>56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5" w:history="1">
            <w:r w:rsidR="00597C51" w:rsidRPr="00AB74F0">
              <w:rPr>
                <w:rStyle w:val="Hyperlink"/>
                <w:noProof/>
              </w:rPr>
              <w:t>6.2</w:t>
            </w:r>
            <w:r w:rsidR="00597C51">
              <w:rPr>
                <w:rFonts w:asciiTheme="minorHAnsi" w:eastAsiaTheme="minorEastAsia" w:hAnsiTheme="minorHAnsi"/>
                <w:noProof/>
                <w:lang w:eastAsia="en-AU"/>
              </w:rPr>
              <w:tab/>
            </w:r>
            <w:r w:rsidR="00597C51" w:rsidRPr="00AB74F0">
              <w:rPr>
                <w:rStyle w:val="Hyperlink"/>
                <w:noProof/>
              </w:rPr>
              <w:t>The Panel found good practice examples but local people say they missed out on jobs</w:t>
            </w:r>
            <w:r w:rsidR="00597C51">
              <w:rPr>
                <w:noProof/>
                <w:webHidden/>
              </w:rPr>
              <w:tab/>
            </w:r>
            <w:r w:rsidR="00597C51">
              <w:rPr>
                <w:noProof/>
                <w:webHidden/>
              </w:rPr>
              <w:fldChar w:fldCharType="begin"/>
            </w:r>
            <w:r w:rsidR="00597C51">
              <w:rPr>
                <w:noProof/>
                <w:webHidden/>
              </w:rPr>
              <w:instrText xml:space="preserve"> PAGEREF _Toc490218725 \h </w:instrText>
            </w:r>
            <w:r w:rsidR="00597C51">
              <w:rPr>
                <w:noProof/>
                <w:webHidden/>
              </w:rPr>
            </w:r>
            <w:r w:rsidR="00597C51">
              <w:rPr>
                <w:noProof/>
                <w:webHidden/>
              </w:rPr>
              <w:fldChar w:fldCharType="separate"/>
            </w:r>
            <w:r w:rsidR="00597C51">
              <w:rPr>
                <w:noProof/>
                <w:webHidden/>
              </w:rPr>
              <w:t>57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6" w:history="1">
            <w:r w:rsidR="00597C51" w:rsidRPr="00AB74F0">
              <w:rPr>
                <w:rStyle w:val="Hyperlink"/>
                <w:noProof/>
              </w:rPr>
              <w:t>6.3</w:t>
            </w:r>
            <w:r w:rsidR="00597C51">
              <w:rPr>
                <w:rFonts w:asciiTheme="minorHAnsi" w:eastAsiaTheme="minorEastAsia" w:hAnsiTheme="minorHAnsi"/>
                <w:noProof/>
                <w:lang w:eastAsia="en-AU"/>
              </w:rPr>
              <w:tab/>
            </w:r>
            <w:r w:rsidR="00597C51" w:rsidRPr="00AB74F0">
              <w:rPr>
                <w:rStyle w:val="Hyperlink"/>
                <w:noProof/>
              </w:rPr>
              <w:t>Maintenance work is the significant opportunity for local jobs</w:t>
            </w:r>
            <w:r w:rsidR="00597C51">
              <w:rPr>
                <w:noProof/>
                <w:webHidden/>
              </w:rPr>
              <w:tab/>
            </w:r>
            <w:r w:rsidR="00597C51">
              <w:rPr>
                <w:noProof/>
                <w:webHidden/>
              </w:rPr>
              <w:fldChar w:fldCharType="begin"/>
            </w:r>
            <w:r w:rsidR="00597C51">
              <w:rPr>
                <w:noProof/>
                <w:webHidden/>
              </w:rPr>
              <w:instrText xml:space="preserve"> PAGEREF _Toc490218726 \h </w:instrText>
            </w:r>
            <w:r w:rsidR="00597C51">
              <w:rPr>
                <w:noProof/>
                <w:webHidden/>
              </w:rPr>
            </w:r>
            <w:r w:rsidR="00597C51">
              <w:rPr>
                <w:noProof/>
                <w:webHidden/>
              </w:rPr>
              <w:fldChar w:fldCharType="separate"/>
            </w:r>
            <w:r w:rsidR="00597C51">
              <w:rPr>
                <w:noProof/>
                <w:webHidden/>
              </w:rPr>
              <w:t>59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7" w:history="1">
            <w:r w:rsidR="00597C51" w:rsidRPr="00AB74F0">
              <w:rPr>
                <w:rStyle w:val="Hyperlink"/>
                <w:noProof/>
              </w:rPr>
              <w:t>6.4</w:t>
            </w:r>
            <w:r w:rsidR="00597C51">
              <w:rPr>
                <w:rFonts w:asciiTheme="minorHAnsi" w:eastAsiaTheme="minorEastAsia" w:hAnsiTheme="minorHAnsi"/>
                <w:noProof/>
                <w:lang w:eastAsia="en-AU"/>
              </w:rPr>
              <w:tab/>
            </w:r>
            <w:r w:rsidR="00597C51" w:rsidRPr="00AB74F0">
              <w:rPr>
                <w:rStyle w:val="Hyperlink"/>
                <w:noProof/>
              </w:rPr>
              <w:t>There have been mixed results in business development and procurement policy</w:t>
            </w:r>
            <w:r w:rsidR="00597C51">
              <w:rPr>
                <w:noProof/>
                <w:webHidden/>
              </w:rPr>
              <w:tab/>
            </w:r>
            <w:r w:rsidR="00597C51">
              <w:rPr>
                <w:noProof/>
                <w:webHidden/>
              </w:rPr>
              <w:fldChar w:fldCharType="begin"/>
            </w:r>
            <w:r w:rsidR="00597C51">
              <w:rPr>
                <w:noProof/>
                <w:webHidden/>
              </w:rPr>
              <w:instrText xml:space="preserve"> PAGEREF _Toc490218727 \h </w:instrText>
            </w:r>
            <w:r w:rsidR="00597C51">
              <w:rPr>
                <w:noProof/>
                <w:webHidden/>
              </w:rPr>
            </w:r>
            <w:r w:rsidR="00597C51">
              <w:rPr>
                <w:noProof/>
                <w:webHidden/>
              </w:rPr>
              <w:fldChar w:fldCharType="separate"/>
            </w:r>
            <w:r w:rsidR="00597C51">
              <w:rPr>
                <w:noProof/>
                <w:webHidden/>
              </w:rPr>
              <w:t>61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8" w:history="1">
            <w:r w:rsidR="00597C51" w:rsidRPr="00AB74F0">
              <w:rPr>
                <w:rStyle w:val="Hyperlink"/>
                <w:noProof/>
              </w:rPr>
              <w:t>6.5</w:t>
            </w:r>
            <w:r w:rsidR="00597C51">
              <w:rPr>
                <w:rFonts w:asciiTheme="minorHAnsi" w:eastAsiaTheme="minorEastAsia" w:hAnsiTheme="minorHAnsi"/>
                <w:noProof/>
                <w:lang w:eastAsia="en-AU"/>
              </w:rPr>
              <w:tab/>
            </w:r>
            <w:r w:rsidR="00597C51" w:rsidRPr="00AB74F0">
              <w:rPr>
                <w:rStyle w:val="Hyperlink"/>
                <w:noProof/>
              </w:rPr>
              <w:t>Procurement policies need to be of a high standard</w:t>
            </w:r>
            <w:r w:rsidR="00597C51">
              <w:rPr>
                <w:noProof/>
                <w:webHidden/>
              </w:rPr>
              <w:tab/>
            </w:r>
            <w:r w:rsidR="00597C51">
              <w:rPr>
                <w:noProof/>
                <w:webHidden/>
              </w:rPr>
              <w:fldChar w:fldCharType="begin"/>
            </w:r>
            <w:r w:rsidR="00597C51">
              <w:rPr>
                <w:noProof/>
                <w:webHidden/>
              </w:rPr>
              <w:instrText xml:space="preserve"> PAGEREF _Toc490218728 \h </w:instrText>
            </w:r>
            <w:r w:rsidR="00597C51">
              <w:rPr>
                <w:noProof/>
                <w:webHidden/>
              </w:rPr>
            </w:r>
            <w:r w:rsidR="00597C51">
              <w:rPr>
                <w:noProof/>
                <w:webHidden/>
              </w:rPr>
              <w:fldChar w:fldCharType="separate"/>
            </w:r>
            <w:r w:rsidR="00597C51">
              <w:rPr>
                <w:noProof/>
                <w:webHidden/>
              </w:rPr>
              <w:t>62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29" w:history="1">
            <w:r w:rsidR="00597C51" w:rsidRPr="00AB74F0">
              <w:rPr>
                <w:rStyle w:val="Hyperlink"/>
                <w:noProof/>
              </w:rPr>
              <w:t>6.6</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_Toc490218729 \h </w:instrText>
            </w:r>
            <w:r w:rsidR="00597C51">
              <w:rPr>
                <w:noProof/>
                <w:webHidden/>
              </w:rPr>
            </w:r>
            <w:r w:rsidR="00597C51">
              <w:rPr>
                <w:noProof/>
                <w:webHidden/>
              </w:rPr>
              <w:fldChar w:fldCharType="separate"/>
            </w:r>
            <w:r w:rsidR="00597C51">
              <w:rPr>
                <w:noProof/>
                <w:webHidden/>
              </w:rPr>
              <w:t>63</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30" w:history="1">
            <w:r w:rsidR="00597C51" w:rsidRPr="00AB74F0">
              <w:rPr>
                <w:rStyle w:val="Hyperlink"/>
                <w:noProof/>
              </w:rPr>
              <w:t>7.</w:t>
            </w:r>
            <w:r w:rsidR="00597C51">
              <w:rPr>
                <w:rFonts w:asciiTheme="minorHAnsi" w:eastAsiaTheme="minorEastAsia" w:hAnsiTheme="minorHAnsi"/>
                <w:noProof/>
                <w:lang w:eastAsia="en-AU"/>
              </w:rPr>
              <w:tab/>
            </w:r>
            <w:r w:rsidR="00597C51" w:rsidRPr="00AB74F0">
              <w:rPr>
                <w:rStyle w:val="Hyperlink"/>
                <w:noProof/>
              </w:rPr>
              <w:t>Governance</w:t>
            </w:r>
            <w:r w:rsidR="00597C51">
              <w:rPr>
                <w:noProof/>
                <w:webHidden/>
              </w:rPr>
              <w:tab/>
            </w:r>
            <w:r w:rsidR="00597C51">
              <w:rPr>
                <w:noProof/>
                <w:webHidden/>
              </w:rPr>
              <w:fldChar w:fldCharType="begin"/>
            </w:r>
            <w:r w:rsidR="00597C51">
              <w:rPr>
                <w:noProof/>
                <w:webHidden/>
              </w:rPr>
              <w:instrText xml:space="preserve"> PAGEREF _Toc490218730 \h </w:instrText>
            </w:r>
            <w:r w:rsidR="00597C51">
              <w:rPr>
                <w:noProof/>
                <w:webHidden/>
              </w:rPr>
            </w:r>
            <w:r w:rsidR="00597C51">
              <w:rPr>
                <w:noProof/>
                <w:webHidden/>
              </w:rPr>
              <w:fldChar w:fldCharType="separate"/>
            </w:r>
            <w:r w:rsidR="00597C51">
              <w:rPr>
                <w:noProof/>
                <w:webHidden/>
              </w:rPr>
              <w:t>64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1" w:history="1">
            <w:r w:rsidR="00597C51" w:rsidRPr="00AB74F0">
              <w:rPr>
                <w:rStyle w:val="Hyperlink"/>
                <w:noProof/>
              </w:rPr>
              <w:t>7.1</w:t>
            </w:r>
            <w:r w:rsidR="00597C51">
              <w:rPr>
                <w:rFonts w:asciiTheme="minorHAnsi" w:eastAsiaTheme="minorEastAsia" w:hAnsiTheme="minorHAnsi"/>
                <w:noProof/>
                <w:lang w:eastAsia="en-AU"/>
              </w:rPr>
              <w:tab/>
            </w:r>
            <w:r w:rsidR="00597C51" w:rsidRPr="00AB74F0">
              <w:rPr>
                <w:rStyle w:val="Hyperlink"/>
                <w:noProof/>
              </w:rPr>
              <w:t>The framework governing the Strategy set up tension about transparency and accountability</w:t>
            </w:r>
            <w:r w:rsidR="00597C51">
              <w:rPr>
                <w:noProof/>
                <w:webHidden/>
              </w:rPr>
              <w:tab/>
            </w:r>
            <w:r w:rsidR="00597C51">
              <w:rPr>
                <w:noProof/>
                <w:webHidden/>
              </w:rPr>
              <w:fldChar w:fldCharType="begin"/>
            </w:r>
            <w:r w:rsidR="00597C51">
              <w:rPr>
                <w:noProof/>
                <w:webHidden/>
              </w:rPr>
              <w:instrText xml:space="preserve"> PAGEREF _Toc490218731 \h </w:instrText>
            </w:r>
            <w:r w:rsidR="00597C51">
              <w:rPr>
                <w:noProof/>
                <w:webHidden/>
              </w:rPr>
            </w:r>
            <w:r w:rsidR="00597C51">
              <w:rPr>
                <w:noProof/>
                <w:webHidden/>
              </w:rPr>
              <w:fldChar w:fldCharType="separate"/>
            </w:r>
            <w:r w:rsidR="00597C51">
              <w:rPr>
                <w:noProof/>
                <w:webHidden/>
              </w:rPr>
              <w:t>64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2" w:history="1">
            <w:r w:rsidR="00597C51" w:rsidRPr="00AB74F0">
              <w:rPr>
                <w:rStyle w:val="Hyperlink"/>
                <w:noProof/>
              </w:rPr>
              <w:t>7.2</w:t>
            </w:r>
            <w:r w:rsidR="00597C51">
              <w:rPr>
                <w:rFonts w:asciiTheme="minorHAnsi" w:eastAsiaTheme="minorEastAsia" w:hAnsiTheme="minorHAnsi"/>
                <w:noProof/>
                <w:lang w:eastAsia="en-AU"/>
              </w:rPr>
              <w:tab/>
            </w:r>
            <w:r w:rsidR="00597C51" w:rsidRPr="00AB74F0">
              <w:rPr>
                <w:rStyle w:val="Hyperlink"/>
                <w:noProof/>
              </w:rPr>
              <w:t>A focus on shared responsibility can strengthen governance</w:t>
            </w:r>
            <w:r w:rsidR="00597C51">
              <w:rPr>
                <w:noProof/>
                <w:webHidden/>
              </w:rPr>
              <w:tab/>
            </w:r>
            <w:r w:rsidR="00597C51">
              <w:rPr>
                <w:noProof/>
                <w:webHidden/>
              </w:rPr>
              <w:fldChar w:fldCharType="begin"/>
            </w:r>
            <w:r w:rsidR="00597C51">
              <w:rPr>
                <w:noProof/>
                <w:webHidden/>
              </w:rPr>
              <w:instrText xml:space="preserve"> PAGEREF _Toc490218732 \h </w:instrText>
            </w:r>
            <w:r w:rsidR="00597C51">
              <w:rPr>
                <w:noProof/>
                <w:webHidden/>
              </w:rPr>
            </w:r>
            <w:r w:rsidR="00597C51">
              <w:rPr>
                <w:noProof/>
                <w:webHidden/>
              </w:rPr>
              <w:fldChar w:fldCharType="separate"/>
            </w:r>
            <w:r w:rsidR="00597C51">
              <w:rPr>
                <w:noProof/>
                <w:webHidden/>
              </w:rPr>
              <w:t>66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3" w:history="1">
            <w:r w:rsidR="00597C51" w:rsidRPr="00AB74F0">
              <w:rPr>
                <w:rStyle w:val="Hyperlink"/>
                <w:noProof/>
              </w:rPr>
              <w:t>7.3</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_Toc490218733 \h </w:instrText>
            </w:r>
            <w:r w:rsidR="00597C51">
              <w:rPr>
                <w:noProof/>
                <w:webHidden/>
              </w:rPr>
            </w:r>
            <w:r w:rsidR="00597C51">
              <w:rPr>
                <w:noProof/>
                <w:webHidden/>
              </w:rPr>
              <w:fldChar w:fldCharType="separate"/>
            </w:r>
            <w:r w:rsidR="00597C51">
              <w:rPr>
                <w:noProof/>
                <w:webHidden/>
              </w:rPr>
              <w:t>68</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34" w:history="1">
            <w:r w:rsidR="00597C51" w:rsidRPr="00AB74F0">
              <w:rPr>
                <w:rStyle w:val="Hyperlink"/>
                <w:noProof/>
              </w:rPr>
              <w:t>8.</w:t>
            </w:r>
            <w:r w:rsidR="00597C51">
              <w:rPr>
                <w:rFonts w:asciiTheme="minorHAnsi" w:eastAsiaTheme="minorEastAsia" w:hAnsiTheme="minorHAnsi"/>
                <w:noProof/>
                <w:lang w:eastAsia="en-AU"/>
              </w:rPr>
              <w:tab/>
            </w:r>
            <w:r w:rsidR="00597C51" w:rsidRPr="00AB74F0">
              <w:rPr>
                <w:rStyle w:val="Hyperlink"/>
                <w:noProof/>
              </w:rPr>
              <w:t>Financing</w:t>
            </w:r>
            <w:r w:rsidR="00597C51">
              <w:rPr>
                <w:noProof/>
                <w:webHidden/>
              </w:rPr>
              <w:tab/>
            </w:r>
            <w:r w:rsidR="00597C51">
              <w:rPr>
                <w:noProof/>
                <w:webHidden/>
              </w:rPr>
              <w:fldChar w:fldCharType="begin"/>
            </w:r>
            <w:r w:rsidR="00597C51">
              <w:rPr>
                <w:noProof/>
                <w:webHidden/>
              </w:rPr>
              <w:instrText xml:space="preserve"> PAGEREF _Toc490218734 \h </w:instrText>
            </w:r>
            <w:r w:rsidR="00597C51">
              <w:rPr>
                <w:noProof/>
                <w:webHidden/>
              </w:rPr>
            </w:r>
            <w:r w:rsidR="00597C51">
              <w:rPr>
                <w:noProof/>
                <w:webHidden/>
              </w:rPr>
              <w:fldChar w:fldCharType="separate"/>
            </w:r>
            <w:r w:rsidR="00597C51">
              <w:rPr>
                <w:noProof/>
                <w:webHidden/>
              </w:rPr>
              <w:t>70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5" w:history="1">
            <w:r w:rsidR="00597C51" w:rsidRPr="00AB74F0">
              <w:rPr>
                <w:rStyle w:val="Hyperlink"/>
                <w:rFonts w:eastAsia="Times New Roman" w:cs="Times New Roman"/>
                <w:noProof/>
              </w:rPr>
              <w:t>8.1</w:t>
            </w:r>
            <w:r w:rsidR="00597C51">
              <w:rPr>
                <w:rFonts w:asciiTheme="minorHAnsi" w:eastAsiaTheme="minorEastAsia" w:hAnsiTheme="minorHAnsi"/>
                <w:noProof/>
                <w:lang w:eastAsia="en-AU"/>
              </w:rPr>
              <w:tab/>
            </w:r>
            <w:r w:rsidR="00597C51" w:rsidRPr="00AB74F0">
              <w:rPr>
                <w:rStyle w:val="Hyperlink"/>
                <w:noProof/>
              </w:rPr>
              <w:t>Maintenance costs for remote housing cannot be recovered through rental income alone</w:t>
            </w:r>
            <w:r w:rsidR="00597C51">
              <w:rPr>
                <w:noProof/>
                <w:webHidden/>
              </w:rPr>
              <w:tab/>
            </w:r>
            <w:r w:rsidR="00597C51">
              <w:rPr>
                <w:noProof/>
                <w:webHidden/>
              </w:rPr>
              <w:fldChar w:fldCharType="begin"/>
            </w:r>
            <w:r w:rsidR="00597C51">
              <w:rPr>
                <w:noProof/>
                <w:webHidden/>
              </w:rPr>
              <w:instrText xml:space="preserve"> PAGEREF _Toc490218735 \h </w:instrText>
            </w:r>
            <w:r w:rsidR="00597C51">
              <w:rPr>
                <w:noProof/>
                <w:webHidden/>
              </w:rPr>
            </w:r>
            <w:r w:rsidR="00597C51">
              <w:rPr>
                <w:noProof/>
                <w:webHidden/>
              </w:rPr>
              <w:fldChar w:fldCharType="separate"/>
            </w:r>
            <w:r w:rsidR="00597C51">
              <w:rPr>
                <w:noProof/>
                <w:webHidden/>
              </w:rPr>
              <w:t>70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6" w:history="1">
            <w:r w:rsidR="00597C51" w:rsidRPr="00AB74F0">
              <w:rPr>
                <w:rStyle w:val="Hyperlink"/>
                <w:rFonts w:eastAsia="Times New Roman" w:cs="Times New Roman"/>
                <w:noProof/>
              </w:rPr>
              <w:t>8.2</w:t>
            </w:r>
            <w:r w:rsidR="00597C51">
              <w:rPr>
                <w:rFonts w:asciiTheme="minorHAnsi" w:eastAsiaTheme="minorEastAsia" w:hAnsiTheme="minorHAnsi"/>
                <w:noProof/>
                <w:lang w:eastAsia="en-AU"/>
              </w:rPr>
              <w:tab/>
            </w:r>
            <w:r w:rsidR="00597C51" w:rsidRPr="00AB74F0">
              <w:rPr>
                <w:rStyle w:val="Hyperlink"/>
                <w:noProof/>
              </w:rPr>
              <w:t>The Review explored the viability of social impact investment</w:t>
            </w:r>
            <w:r w:rsidR="00597C51">
              <w:rPr>
                <w:noProof/>
                <w:webHidden/>
              </w:rPr>
              <w:tab/>
            </w:r>
            <w:r w:rsidR="00597C51">
              <w:rPr>
                <w:noProof/>
                <w:webHidden/>
              </w:rPr>
              <w:fldChar w:fldCharType="begin"/>
            </w:r>
            <w:r w:rsidR="00597C51">
              <w:rPr>
                <w:noProof/>
                <w:webHidden/>
              </w:rPr>
              <w:instrText xml:space="preserve"> PAGEREF _Toc490218736 \h </w:instrText>
            </w:r>
            <w:r w:rsidR="00597C51">
              <w:rPr>
                <w:noProof/>
                <w:webHidden/>
              </w:rPr>
            </w:r>
            <w:r w:rsidR="00597C51">
              <w:rPr>
                <w:noProof/>
                <w:webHidden/>
              </w:rPr>
              <w:fldChar w:fldCharType="separate"/>
            </w:r>
            <w:r w:rsidR="00597C51">
              <w:rPr>
                <w:noProof/>
                <w:webHidden/>
              </w:rPr>
              <w:t>72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7" w:history="1">
            <w:r w:rsidR="00597C51" w:rsidRPr="00AB74F0">
              <w:rPr>
                <w:rStyle w:val="Hyperlink"/>
                <w:noProof/>
              </w:rPr>
              <w:t>8.3</w:t>
            </w:r>
            <w:r w:rsidR="00597C51">
              <w:rPr>
                <w:rFonts w:asciiTheme="minorHAnsi" w:eastAsiaTheme="minorEastAsia" w:hAnsiTheme="minorHAnsi"/>
                <w:noProof/>
                <w:lang w:eastAsia="en-AU"/>
              </w:rPr>
              <w:tab/>
            </w:r>
            <w:r w:rsidR="00597C51" w:rsidRPr="00AB74F0">
              <w:rPr>
                <w:rStyle w:val="Hyperlink"/>
                <w:noProof/>
              </w:rPr>
              <w:t>Key Findings</w:t>
            </w:r>
            <w:r w:rsidR="00597C51">
              <w:rPr>
                <w:noProof/>
                <w:webHidden/>
              </w:rPr>
              <w:tab/>
            </w:r>
            <w:r w:rsidR="00597C51">
              <w:rPr>
                <w:noProof/>
                <w:webHidden/>
              </w:rPr>
              <w:fldChar w:fldCharType="begin"/>
            </w:r>
            <w:r w:rsidR="00597C51">
              <w:rPr>
                <w:noProof/>
                <w:webHidden/>
              </w:rPr>
              <w:instrText xml:space="preserve"> PAGEREF _Toc490218737 \h </w:instrText>
            </w:r>
            <w:r w:rsidR="00597C51">
              <w:rPr>
                <w:noProof/>
                <w:webHidden/>
              </w:rPr>
            </w:r>
            <w:r w:rsidR="00597C51">
              <w:rPr>
                <w:noProof/>
                <w:webHidden/>
              </w:rPr>
              <w:fldChar w:fldCharType="separate"/>
            </w:r>
            <w:r w:rsidR="00597C51">
              <w:rPr>
                <w:noProof/>
                <w:webHidden/>
              </w:rPr>
              <w:t>74</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38" w:history="1">
            <w:r w:rsidR="00597C51" w:rsidRPr="00AB74F0">
              <w:rPr>
                <w:rStyle w:val="Hyperlink"/>
                <w:noProof/>
              </w:rPr>
              <w:t>9.</w:t>
            </w:r>
            <w:r w:rsidR="00597C51">
              <w:rPr>
                <w:rFonts w:asciiTheme="minorHAnsi" w:eastAsiaTheme="minorEastAsia" w:hAnsiTheme="minorHAnsi"/>
                <w:noProof/>
                <w:lang w:eastAsia="en-AU"/>
              </w:rPr>
              <w:tab/>
            </w:r>
            <w:r w:rsidR="00597C51" w:rsidRPr="00AB74F0">
              <w:rPr>
                <w:rStyle w:val="Hyperlink"/>
                <w:noProof/>
              </w:rPr>
              <w:t>Future Directions – Panel recommendations</w:t>
            </w:r>
            <w:r w:rsidR="00597C51">
              <w:rPr>
                <w:noProof/>
                <w:webHidden/>
              </w:rPr>
              <w:tab/>
            </w:r>
            <w:r w:rsidR="00597C51">
              <w:rPr>
                <w:noProof/>
                <w:webHidden/>
              </w:rPr>
              <w:fldChar w:fldCharType="begin"/>
            </w:r>
            <w:r w:rsidR="00597C51">
              <w:rPr>
                <w:noProof/>
                <w:webHidden/>
              </w:rPr>
              <w:instrText xml:space="preserve"> PAGEREF _Toc490218738 \h </w:instrText>
            </w:r>
            <w:r w:rsidR="00597C51">
              <w:rPr>
                <w:noProof/>
                <w:webHidden/>
              </w:rPr>
            </w:r>
            <w:r w:rsidR="00597C51">
              <w:rPr>
                <w:noProof/>
                <w:webHidden/>
              </w:rPr>
              <w:fldChar w:fldCharType="separate"/>
            </w:r>
            <w:r w:rsidR="00597C51">
              <w:rPr>
                <w:noProof/>
                <w:webHidden/>
              </w:rPr>
              <w:t>75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39" w:history="1">
            <w:r w:rsidR="00597C51" w:rsidRPr="00AB74F0">
              <w:rPr>
                <w:rStyle w:val="Hyperlink"/>
                <w:noProof/>
              </w:rPr>
              <w:t>Recommendation: A recurrent program must be funded to maintain existing houses, preserve functionality and increase the life of housing assets</w:t>
            </w:r>
            <w:r w:rsidR="00597C51">
              <w:rPr>
                <w:noProof/>
                <w:webHidden/>
              </w:rPr>
              <w:tab/>
            </w:r>
            <w:r w:rsidR="00597C51">
              <w:rPr>
                <w:noProof/>
                <w:webHidden/>
              </w:rPr>
              <w:fldChar w:fldCharType="begin"/>
            </w:r>
            <w:r w:rsidR="00597C51">
              <w:rPr>
                <w:noProof/>
                <w:webHidden/>
              </w:rPr>
              <w:instrText xml:space="preserve"> PAGEREF _Toc490218739 \h </w:instrText>
            </w:r>
            <w:r w:rsidR="00597C51">
              <w:rPr>
                <w:noProof/>
                <w:webHidden/>
              </w:rPr>
            </w:r>
            <w:r w:rsidR="00597C51">
              <w:rPr>
                <w:noProof/>
                <w:webHidden/>
              </w:rPr>
              <w:fldChar w:fldCharType="separate"/>
            </w:r>
            <w:r w:rsidR="00597C51">
              <w:rPr>
                <w:noProof/>
                <w:webHidden/>
              </w:rPr>
              <w:t>75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0" w:history="1">
            <w:r w:rsidR="00597C51" w:rsidRPr="00AB74F0">
              <w:rPr>
                <w:rStyle w:val="Hyperlink"/>
                <w:noProof/>
              </w:rPr>
              <w:t>Recommendation: Investment for an additional 5,500 houses by 2028 is needed to continue efforts on Closing the Gap on Indigenous Disadvantage</w:t>
            </w:r>
            <w:r w:rsidR="00597C51">
              <w:rPr>
                <w:noProof/>
                <w:webHidden/>
              </w:rPr>
              <w:tab/>
            </w:r>
            <w:r w:rsidR="00597C51">
              <w:rPr>
                <w:noProof/>
                <w:webHidden/>
              </w:rPr>
              <w:fldChar w:fldCharType="begin"/>
            </w:r>
            <w:r w:rsidR="00597C51">
              <w:rPr>
                <w:noProof/>
                <w:webHidden/>
              </w:rPr>
              <w:instrText xml:space="preserve"> PAGEREF _Toc490218740 \h </w:instrText>
            </w:r>
            <w:r w:rsidR="00597C51">
              <w:rPr>
                <w:noProof/>
                <w:webHidden/>
              </w:rPr>
            </w:r>
            <w:r w:rsidR="00597C51">
              <w:rPr>
                <w:noProof/>
                <w:webHidden/>
              </w:rPr>
              <w:fldChar w:fldCharType="separate"/>
            </w:r>
            <w:r w:rsidR="00597C51">
              <w:rPr>
                <w:noProof/>
                <w:webHidden/>
              </w:rPr>
              <w:t>75</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1" w:history="1">
            <w:r w:rsidR="00597C51" w:rsidRPr="00AB74F0">
              <w:rPr>
                <w:rStyle w:val="Hyperlink"/>
                <w:noProof/>
              </w:rPr>
              <w:t>Recommendation: The costs of a remote Indigenous housing program should be shared 50:50 between the Commonwealth and the jurisdictions</w:t>
            </w:r>
            <w:r w:rsidR="00597C51">
              <w:rPr>
                <w:noProof/>
                <w:webHidden/>
              </w:rPr>
              <w:tab/>
            </w:r>
            <w:r w:rsidR="00597C51">
              <w:rPr>
                <w:noProof/>
                <w:webHidden/>
              </w:rPr>
              <w:fldChar w:fldCharType="begin"/>
            </w:r>
            <w:r w:rsidR="00597C51">
              <w:rPr>
                <w:noProof/>
                <w:webHidden/>
              </w:rPr>
              <w:instrText xml:space="preserve"> PAGEREF _Toc490218741 \h </w:instrText>
            </w:r>
            <w:r w:rsidR="00597C51">
              <w:rPr>
                <w:noProof/>
                <w:webHidden/>
              </w:rPr>
            </w:r>
            <w:r w:rsidR="00597C51">
              <w:rPr>
                <w:noProof/>
                <w:webHidden/>
              </w:rPr>
              <w:fldChar w:fldCharType="separate"/>
            </w:r>
            <w:r w:rsidR="00597C51">
              <w:rPr>
                <w:noProof/>
                <w:webHidden/>
              </w:rPr>
              <w:t>76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2" w:history="1">
            <w:r w:rsidR="00597C51" w:rsidRPr="00AB74F0">
              <w:rPr>
                <w:rStyle w:val="Hyperlink"/>
                <w:noProof/>
              </w:rPr>
              <w:t>Recommendation: Establish a regional governance structure to facilitate better administration of the program</w:t>
            </w:r>
            <w:r w:rsidR="00597C51">
              <w:rPr>
                <w:noProof/>
                <w:webHidden/>
              </w:rPr>
              <w:tab/>
            </w:r>
            <w:r w:rsidR="00597C51">
              <w:rPr>
                <w:noProof/>
                <w:webHidden/>
              </w:rPr>
              <w:fldChar w:fldCharType="begin"/>
            </w:r>
            <w:r w:rsidR="00597C51">
              <w:rPr>
                <w:noProof/>
                <w:webHidden/>
              </w:rPr>
              <w:instrText xml:space="preserve"> PAGEREF _Toc490218742 \h </w:instrText>
            </w:r>
            <w:r w:rsidR="00597C51">
              <w:rPr>
                <w:noProof/>
                <w:webHidden/>
              </w:rPr>
            </w:r>
            <w:r w:rsidR="00597C51">
              <w:rPr>
                <w:noProof/>
                <w:webHidden/>
              </w:rPr>
              <w:fldChar w:fldCharType="separate"/>
            </w:r>
            <w:r w:rsidR="00597C51">
              <w:rPr>
                <w:noProof/>
                <w:webHidden/>
              </w:rPr>
              <w:t>76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3" w:history="1">
            <w:r w:rsidR="00597C51" w:rsidRPr="00AB74F0">
              <w:rPr>
                <w:rStyle w:val="Hyperlink"/>
                <w:noProof/>
              </w:rPr>
              <w:t>Recommendation: A higher level of transparency is required: a sound performance framework and information processes that are relevant to individuals and communities, and derivative of the information that is needed for regional governance of the program</w:t>
            </w:r>
            <w:r w:rsidR="00597C51">
              <w:rPr>
                <w:noProof/>
                <w:webHidden/>
              </w:rPr>
              <w:tab/>
            </w:r>
            <w:r w:rsidR="00597C51">
              <w:rPr>
                <w:noProof/>
                <w:webHidden/>
              </w:rPr>
              <w:fldChar w:fldCharType="begin"/>
            </w:r>
            <w:r w:rsidR="00597C51">
              <w:rPr>
                <w:noProof/>
                <w:webHidden/>
              </w:rPr>
              <w:instrText xml:space="preserve"> PAGEREF _Toc490218743 \h </w:instrText>
            </w:r>
            <w:r w:rsidR="00597C51">
              <w:rPr>
                <w:noProof/>
                <w:webHidden/>
              </w:rPr>
            </w:r>
            <w:r w:rsidR="00597C51">
              <w:rPr>
                <w:noProof/>
                <w:webHidden/>
              </w:rPr>
              <w:fldChar w:fldCharType="separate"/>
            </w:r>
            <w:r w:rsidR="00597C51">
              <w:rPr>
                <w:noProof/>
                <w:webHidden/>
              </w:rPr>
              <w:t>77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4" w:history="1">
            <w:r w:rsidR="00597C51" w:rsidRPr="00AB74F0">
              <w:rPr>
                <w:rStyle w:val="Hyperlink"/>
                <w:noProof/>
              </w:rPr>
              <w:t>Recommendation: Best practice fora should be established to share information across the Commonwealth, jurisdictions, regional governance bodies and service providers</w:t>
            </w:r>
            <w:r w:rsidR="00597C51">
              <w:rPr>
                <w:noProof/>
                <w:webHidden/>
              </w:rPr>
              <w:tab/>
            </w:r>
            <w:r w:rsidR="00597C51">
              <w:rPr>
                <w:noProof/>
                <w:webHidden/>
              </w:rPr>
              <w:fldChar w:fldCharType="begin"/>
            </w:r>
            <w:r w:rsidR="00597C51">
              <w:rPr>
                <w:noProof/>
                <w:webHidden/>
              </w:rPr>
              <w:instrText xml:space="preserve"> PAGEREF _Toc490218744 \h </w:instrText>
            </w:r>
            <w:r w:rsidR="00597C51">
              <w:rPr>
                <w:noProof/>
                <w:webHidden/>
              </w:rPr>
            </w:r>
            <w:r w:rsidR="00597C51">
              <w:rPr>
                <w:noProof/>
                <w:webHidden/>
              </w:rPr>
              <w:fldChar w:fldCharType="separate"/>
            </w:r>
            <w:r w:rsidR="00597C51">
              <w:rPr>
                <w:noProof/>
                <w:webHidden/>
              </w:rPr>
              <w:t>77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5" w:history="1">
            <w:r w:rsidR="00597C51" w:rsidRPr="00AB74F0">
              <w:rPr>
                <w:rStyle w:val="Hyperlink"/>
                <w:noProof/>
              </w:rPr>
              <w:t>Recommendation: A minimum five year rolling plan for the program should be established</w:t>
            </w:r>
            <w:r w:rsidR="00597C51">
              <w:rPr>
                <w:noProof/>
                <w:webHidden/>
              </w:rPr>
              <w:tab/>
            </w:r>
            <w:r w:rsidR="00597C51">
              <w:rPr>
                <w:noProof/>
                <w:webHidden/>
              </w:rPr>
              <w:fldChar w:fldCharType="begin"/>
            </w:r>
            <w:r w:rsidR="00597C51">
              <w:rPr>
                <w:noProof/>
                <w:webHidden/>
              </w:rPr>
              <w:instrText xml:space="preserve"> PAGEREF _Toc490218745 \h </w:instrText>
            </w:r>
            <w:r w:rsidR="00597C51">
              <w:rPr>
                <w:noProof/>
                <w:webHidden/>
              </w:rPr>
            </w:r>
            <w:r w:rsidR="00597C51">
              <w:rPr>
                <w:noProof/>
                <w:webHidden/>
              </w:rPr>
              <w:fldChar w:fldCharType="separate"/>
            </w:r>
            <w:r w:rsidR="00597C51">
              <w:rPr>
                <w:noProof/>
                <w:webHidden/>
              </w:rPr>
              <w:t>77</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6" w:history="1">
            <w:r w:rsidR="00597C51" w:rsidRPr="00AB74F0">
              <w:rPr>
                <w:rStyle w:val="Hyperlink"/>
                <w:noProof/>
              </w:rPr>
              <w:t>Recommendation: Regional sample surveys (using the survey–and–fix methodology of the Fixing Houses for Better Health program) must form a core part of the regional governance and monitoring strategy</w:t>
            </w:r>
            <w:r w:rsidR="00597C51">
              <w:rPr>
                <w:noProof/>
                <w:webHidden/>
              </w:rPr>
              <w:tab/>
            </w:r>
            <w:r w:rsidR="00597C51">
              <w:rPr>
                <w:noProof/>
                <w:webHidden/>
              </w:rPr>
              <w:fldChar w:fldCharType="begin"/>
            </w:r>
            <w:r w:rsidR="00597C51">
              <w:rPr>
                <w:noProof/>
                <w:webHidden/>
              </w:rPr>
              <w:instrText xml:space="preserve"> PAGEREF _Toc490218746 \h </w:instrText>
            </w:r>
            <w:r w:rsidR="00597C51">
              <w:rPr>
                <w:noProof/>
                <w:webHidden/>
              </w:rPr>
            </w:r>
            <w:r w:rsidR="00597C51">
              <w:rPr>
                <w:noProof/>
                <w:webHidden/>
              </w:rPr>
              <w:fldChar w:fldCharType="separate"/>
            </w:r>
            <w:r w:rsidR="00597C51">
              <w:rPr>
                <w:noProof/>
                <w:webHidden/>
              </w:rPr>
              <w:t>78</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7" w:history="1">
            <w:r w:rsidR="00597C51" w:rsidRPr="00AB74F0">
              <w:rPr>
                <w:rStyle w:val="Hyperlink"/>
                <w:noProof/>
              </w:rPr>
              <w:t>Recommendation: Details about certification of properties (at all stages of building, and for life after acceptance and tenanting) should be reported to the governance structure to ensure construction in remote communities is compliant with the appropriate building and certification standards and sub-standard builders are eliminated</w:t>
            </w:r>
            <w:r w:rsidR="00597C51">
              <w:rPr>
                <w:noProof/>
                <w:webHidden/>
              </w:rPr>
              <w:tab/>
            </w:r>
            <w:r w:rsidR="00597C51">
              <w:rPr>
                <w:noProof/>
                <w:webHidden/>
              </w:rPr>
              <w:fldChar w:fldCharType="begin"/>
            </w:r>
            <w:r w:rsidR="00597C51">
              <w:rPr>
                <w:noProof/>
                <w:webHidden/>
              </w:rPr>
              <w:instrText xml:space="preserve"> PAGEREF _Toc490218747 \h </w:instrText>
            </w:r>
            <w:r w:rsidR="00597C51">
              <w:rPr>
                <w:noProof/>
                <w:webHidden/>
              </w:rPr>
            </w:r>
            <w:r w:rsidR="00597C51">
              <w:rPr>
                <w:noProof/>
                <w:webHidden/>
              </w:rPr>
              <w:fldChar w:fldCharType="separate"/>
            </w:r>
            <w:r w:rsidR="00597C51">
              <w:rPr>
                <w:noProof/>
                <w:webHidden/>
              </w:rPr>
              <w:t>78</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8" w:history="1">
            <w:r w:rsidR="00597C51" w:rsidRPr="00AB74F0">
              <w:rPr>
                <w:rStyle w:val="Hyperlink"/>
                <w:noProof/>
              </w:rPr>
              <w:t>Recommendation: The regional governance bodies should work with local employers to plan how to develop the local work force and create more local employment</w:t>
            </w:r>
            <w:r w:rsidR="00597C51">
              <w:rPr>
                <w:noProof/>
                <w:webHidden/>
              </w:rPr>
              <w:tab/>
            </w:r>
            <w:r w:rsidR="00597C51">
              <w:rPr>
                <w:noProof/>
                <w:webHidden/>
              </w:rPr>
              <w:fldChar w:fldCharType="begin"/>
            </w:r>
            <w:r w:rsidR="00597C51">
              <w:rPr>
                <w:noProof/>
                <w:webHidden/>
              </w:rPr>
              <w:instrText xml:space="preserve"> PAGEREF _Toc490218748 \h </w:instrText>
            </w:r>
            <w:r w:rsidR="00597C51">
              <w:rPr>
                <w:noProof/>
                <w:webHidden/>
              </w:rPr>
            </w:r>
            <w:r w:rsidR="00597C51">
              <w:rPr>
                <w:noProof/>
                <w:webHidden/>
              </w:rPr>
              <w:fldChar w:fldCharType="separate"/>
            </w:r>
            <w:r w:rsidR="00597C51">
              <w:rPr>
                <w:noProof/>
                <w:webHidden/>
              </w:rPr>
              <w:t>79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49" w:history="1">
            <w:r w:rsidR="00597C51" w:rsidRPr="00AB74F0">
              <w:rPr>
                <w:rStyle w:val="Hyperlink"/>
                <w:noProof/>
              </w:rPr>
              <w:t>Recommendation: Comprehensive planning across governments, involving local communities, is essential for the next remote Indigenous housing national program</w:t>
            </w:r>
            <w:r w:rsidR="00597C51">
              <w:rPr>
                <w:noProof/>
                <w:webHidden/>
              </w:rPr>
              <w:tab/>
            </w:r>
            <w:r w:rsidR="00597C51">
              <w:rPr>
                <w:noProof/>
                <w:webHidden/>
              </w:rPr>
              <w:fldChar w:fldCharType="begin"/>
            </w:r>
            <w:r w:rsidR="00597C51">
              <w:rPr>
                <w:noProof/>
                <w:webHidden/>
              </w:rPr>
              <w:instrText xml:space="preserve"> PAGEREF _Toc490218749 \h </w:instrText>
            </w:r>
            <w:r w:rsidR="00597C51">
              <w:rPr>
                <w:noProof/>
                <w:webHidden/>
              </w:rPr>
            </w:r>
            <w:r w:rsidR="00597C51">
              <w:rPr>
                <w:noProof/>
                <w:webHidden/>
              </w:rPr>
              <w:fldChar w:fldCharType="separate"/>
            </w:r>
            <w:r w:rsidR="00597C51">
              <w:rPr>
                <w:noProof/>
                <w:webHidden/>
              </w:rPr>
              <w:t>79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0" w:history="1">
            <w:r w:rsidR="00597C51" w:rsidRPr="00AB74F0">
              <w:rPr>
                <w:rStyle w:val="Hyperlink"/>
                <w:noProof/>
              </w:rPr>
              <w:t>Recommendation: Tenancy education programs should be implemented. Outreach services for tenancy tribunals to improve access in remote communities should be funded</w:t>
            </w:r>
            <w:r w:rsidR="00597C51">
              <w:rPr>
                <w:noProof/>
                <w:webHidden/>
              </w:rPr>
              <w:tab/>
            </w:r>
            <w:r w:rsidR="00597C51">
              <w:rPr>
                <w:noProof/>
                <w:webHidden/>
              </w:rPr>
              <w:fldChar w:fldCharType="begin"/>
            </w:r>
            <w:r w:rsidR="00597C51">
              <w:rPr>
                <w:noProof/>
                <w:webHidden/>
              </w:rPr>
              <w:instrText xml:space="preserve"> PAGEREF _Toc490218750 \h </w:instrText>
            </w:r>
            <w:r w:rsidR="00597C51">
              <w:rPr>
                <w:noProof/>
                <w:webHidden/>
              </w:rPr>
            </w:r>
            <w:r w:rsidR="00597C51">
              <w:rPr>
                <w:noProof/>
                <w:webHidden/>
              </w:rPr>
              <w:fldChar w:fldCharType="separate"/>
            </w:r>
            <w:r w:rsidR="00597C51">
              <w:rPr>
                <w:noProof/>
                <w:webHidden/>
              </w:rPr>
              <w:t>80</w:t>
            </w:r>
            <w:r w:rsidR="00597C51">
              <w:rPr>
                <w:noProof/>
                <w:webHidden/>
              </w:rPr>
              <w:fldChar w:fldCharType="end"/>
            </w:r>
          </w:hyperlink>
        </w:p>
        <w:p w:rsidR="00597C51" w:rsidRDefault="00191C11">
          <w:pPr>
            <w:pStyle w:val="TOC2"/>
            <w:rPr>
              <w:rFonts w:asciiTheme="minorHAnsi" w:eastAsiaTheme="minorEastAsia" w:hAnsiTheme="minorHAnsi"/>
              <w:noProof/>
              <w:lang w:eastAsia="en-AU"/>
            </w:rPr>
          </w:pPr>
          <w:hyperlink w:anchor="_Toc490218751" w:history="1">
            <w:r w:rsidR="00597C51" w:rsidRPr="00AB74F0">
              <w:rPr>
                <w:rStyle w:val="Hyperlink"/>
                <w:noProof/>
              </w:rPr>
              <w:t>10.</w:t>
            </w:r>
            <w:r w:rsidR="00597C51">
              <w:rPr>
                <w:rFonts w:asciiTheme="minorHAnsi" w:eastAsiaTheme="minorEastAsia" w:hAnsiTheme="minorHAnsi"/>
                <w:noProof/>
                <w:lang w:eastAsia="en-AU"/>
              </w:rPr>
              <w:tab/>
            </w:r>
            <w:r w:rsidR="00597C51" w:rsidRPr="00AB74F0">
              <w:rPr>
                <w:rStyle w:val="Hyperlink"/>
                <w:noProof/>
              </w:rPr>
              <w:t>Appendices</w:t>
            </w:r>
            <w:r w:rsidR="00597C51">
              <w:rPr>
                <w:noProof/>
                <w:webHidden/>
              </w:rPr>
              <w:tab/>
            </w:r>
            <w:r w:rsidR="00597C51">
              <w:rPr>
                <w:noProof/>
                <w:webHidden/>
              </w:rPr>
              <w:fldChar w:fldCharType="begin"/>
            </w:r>
            <w:r w:rsidR="00597C51">
              <w:rPr>
                <w:noProof/>
                <w:webHidden/>
              </w:rPr>
              <w:instrText xml:space="preserve"> PAGEREF _Toc490218751 \h </w:instrText>
            </w:r>
            <w:r w:rsidR="00597C51">
              <w:rPr>
                <w:noProof/>
                <w:webHidden/>
              </w:rPr>
            </w:r>
            <w:r w:rsidR="00597C51">
              <w:rPr>
                <w:noProof/>
                <w:webHidden/>
              </w:rPr>
              <w:fldChar w:fldCharType="separate"/>
            </w:r>
            <w:r w:rsidR="00597C51">
              <w:rPr>
                <w:noProof/>
                <w:webHidden/>
              </w:rPr>
              <w:t>81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2" w:history="1">
            <w:r w:rsidR="00597C51" w:rsidRPr="00AB74F0">
              <w:rPr>
                <w:rStyle w:val="Hyperlink"/>
                <w:bCs/>
                <w:noProof/>
              </w:rPr>
              <w:t>10.1</w:t>
            </w:r>
            <w:r w:rsidR="00597C51">
              <w:rPr>
                <w:rFonts w:asciiTheme="minorHAnsi" w:eastAsiaTheme="minorEastAsia" w:hAnsiTheme="minorHAnsi"/>
                <w:noProof/>
                <w:lang w:eastAsia="en-AU"/>
              </w:rPr>
              <w:tab/>
            </w:r>
            <w:r w:rsidR="00597C51" w:rsidRPr="00AB74F0">
              <w:rPr>
                <w:rStyle w:val="Hyperlink"/>
                <w:noProof/>
              </w:rPr>
              <w:t>Appendix</w:t>
            </w:r>
            <w:r w:rsidR="00597C51" w:rsidRPr="00AB74F0">
              <w:rPr>
                <w:rStyle w:val="Hyperlink"/>
                <w:bCs/>
                <w:noProof/>
              </w:rPr>
              <w:t xml:space="preserve"> I</w:t>
            </w:r>
            <w:r w:rsidR="00597C51" w:rsidRPr="00AB74F0">
              <w:rPr>
                <w:rStyle w:val="Hyperlink"/>
                <w:noProof/>
              </w:rPr>
              <w:t xml:space="preserve"> – List of abbreviations</w:t>
            </w:r>
            <w:r w:rsidR="00597C51">
              <w:rPr>
                <w:noProof/>
                <w:webHidden/>
              </w:rPr>
              <w:tab/>
            </w:r>
            <w:r w:rsidR="00597C51">
              <w:rPr>
                <w:noProof/>
                <w:webHidden/>
              </w:rPr>
              <w:fldChar w:fldCharType="begin"/>
            </w:r>
            <w:r w:rsidR="00597C51">
              <w:rPr>
                <w:noProof/>
                <w:webHidden/>
              </w:rPr>
              <w:instrText xml:space="preserve"> PAGEREF _Toc490218752 \h </w:instrText>
            </w:r>
            <w:r w:rsidR="00597C51">
              <w:rPr>
                <w:noProof/>
                <w:webHidden/>
              </w:rPr>
            </w:r>
            <w:r w:rsidR="00597C51">
              <w:rPr>
                <w:noProof/>
                <w:webHidden/>
              </w:rPr>
              <w:fldChar w:fldCharType="separate"/>
            </w:r>
            <w:r w:rsidR="00597C51">
              <w:rPr>
                <w:noProof/>
                <w:webHidden/>
              </w:rPr>
              <w:t>81</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3" w:history="1">
            <w:r w:rsidR="00597C51" w:rsidRPr="00AB74F0">
              <w:rPr>
                <w:rStyle w:val="Hyperlink"/>
                <w:noProof/>
              </w:rPr>
              <w:t>10.2</w:t>
            </w:r>
            <w:r w:rsidR="00597C51">
              <w:rPr>
                <w:rFonts w:asciiTheme="minorHAnsi" w:eastAsiaTheme="minorEastAsia" w:hAnsiTheme="minorHAnsi"/>
                <w:noProof/>
                <w:lang w:eastAsia="en-AU"/>
              </w:rPr>
              <w:tab/>
            </w:r>
            <w:r w:rsidR="00597C51" w:rsidRPr="00AB74F0">
              <w:rPr>
                <w:rStyle w:val="Hyperlink"/>
                <w:noProof/>
              </w:rPr>
              <w:t>Appendix II – Communities the Strategy invested in (June 2016)</w:t>
            </w:r>
            <w:r w:rsidR="00597C51">
              <w:rPr>
                <w:noProof/>
                <w:webHidden/>
              </w:rPr>
              <w:tab/>
            </w:r>
            <w:r w:rsidR="00597C51">
              <w:rPr>
                <w:noProof/>
                <w:webHidden/>
              </w:rPr>
              <w:fldChar w:fldCharType="begin"/>
            </w:r>
            <w:r w:rsidR="00597C51">
              <w:rPr>
                <w:noProof/>
                <w:webHidden/>
              </w:rPr>
              <w:instrText xml:space="preserve"> PAGEREF _Toc490218753 \h </w:instrText>
            </w:r>
            <w:r w:rsidR="00597C51">
              <w:rPr>
                <w:noProof/>
                <w:webHidden/>
              </w:rPr>
            </w:r>
            <w:r w:rsidR="00597C51">
              <w:rPr>
                <w:noProof/>
                <w:webHidden/>
              </w:rPr>
              <w:fldChar w:fldCharType="separate"/>
            </w:r>
            <w:r w:rsidR="00597C51">
              <w:rPr>
                <w:noProof/>
                <w:webHidden/>
              </w:rPr>
              <w:t>82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4" w:history="1">
            <w:r w:rsidR="00597C51" w:rsidRPr="00AB74F0">
              <w:rPr>
                <w:rStyle w:val="Hyperlink"/>
                <w:noProof/>
              </w:rPr>
              <w:t>10.3</w:t>
            </w:r>
            <w:r w:rsidR="00597C51">
              <w:rPr>
                <w:rFonts w:asciiTheme="minorHAnsi" w:eastAsiaTheme="minorEastAsia" w:hAnsiTheme="minorHAnsi"/>
                <w:noProof/>
                <w:lang w:eastAsia="en-AU"/>
              </w:rPr>
              <w:tab/>
            </w:r>
            <w:r w:rsidR="00597C51" w:rsidRPr="00AB74F0">
              <w:rPr>
                <w:rStyle w:val="Hyperlink"/>
                <w:noProof/>
              </w:rPr>
              <w:t>Appendix III – Communities and towns visited by the Panel</w:t>
            </w:r>
            <w:r w:rsidR="00597C51">
              <w:rPr>
                <w:noProof/>
                <w:webHidden/>
              </w:rPr>
              <w:tab/>
            </w:r>
            <w:r w:rsidR="00597C51">
              <w:rPr>
                <w:noProof/>
                <w:webHidden/>
              </w:rPr>
              <w:fldChar w:fldCharType="begin"/>
            </w:r>
            <w:r w:rsidR="00597C51">
              <w:rPr>
                <w:noProof/>
                <w:webHidden/>
              </w:rPr>
              <w:instrText xml:space="preserve"> PAGEREF _Toc490218754 \h </w:instrText>
            </w:r>
            <w:r w:rsidR="00597C51">
              <w:rPr>
                <w:noProof/>
                <w:webHidden/>
              </w:rPr>
            </w:r>
            <w:r w:rsidR="00597C51">
              <w:rPr>
                <w:noProof/>
                <w:webHidden/>
              </w:rPr>
              <w:fldChar w:fldCharType="separate"/>
            </w:r>
            <w:r w:rsidR="00597C51">
              <w:rPr>
                <w:noProof/>
                <w:webHidden/>
              </w:rPr>
              <w:t>84</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5" w:history="1">
            <w:r w:rsidR="00597C51" w:rsidRPr="00AB74F0">
              <w:rPr>
                <w:rStyle w:val="Hyperlink"/>
                <w:noProof/>
              </w:rPr>
              <w:t>10.4</w:t>
            </w:r>
            <w:r w:rsidR="00597C51">
              <w:rPr>
                <w:rFonts w:asciiTheme="minorHAnsi" w:eastAsiaTheme="minorEastAsia" w:hAnsiTheme="minorHAnsi"/>
                <w:noProof/>
                <w:lang w:eastAsia="en-AU"/>
              </w:rPr>
              <w:tab/>
            </w:r>
            <w:r w:rsidR="00597C51" w:rsidRPr="00AB74F0">
              <w:rPr>
                <w:rStyle w:val="Hyperlink"/>
                <w:noProof/>
              </w:rPr>
              <w:t>Appendix IV – Organisations met by the Panel</w:t>
            </w:r>
            <w:r w:rsidR="00597C51">
              <w:rPr>
                <w:noProof/>
                <w:webHidden/>
              </w:rPr>
              <w:tab/>
            </w:r>
            <w:r w:rsidR="00597C51">
              <w:rPr>
                <w:noProof/>
                <w:webHidden/>
              </w:rPr>
              <w:fldChar w:fldCharType="begin"/>
            </w:r>
            <w:r w:rsidR="00597C51">
              <w:rPr>
                <w:noProof/>
                <w:webHidden/>
              </w:rPr>
              <w:instrText xml:space="preserve"> PAGEREF _Toc490218755 \h </w:instrText>
            </w:r>
            <w:r w:rsidR="00597C51">
              <w:rPr>
                <w:noProof/>
                <w:webHidden/>
              </w:rPr>
            </w:r>
            <w:r w:rsidR="00597C51">
              <w:rPr>
                <w:noProof/>
                <w:webHidden/>
              </w:rPr>
              <w:fldChar w:fldCharType="separate"/>
            </w:r>
            <w:r w:rsidR="00597C51">
              <w:rPr>
                <w:noProof/>
                <w:webHidden/>
              </w:rPr>
              <w:t>86</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6" w:history="1">
            <w:r w:rsidR="00597C51" w:rsidRPr="00AB74F0">
              <w:rPr>
                <w:rStyle w:val="Hyperlink"/>
                <w:noProof/>
              </w:rPr>
              <w:t>10.5</w:t>
            </w:r>
            <w:r w:rsidR="00597C51">
              <w:rPr>
                <w:rFonts w:asciiTheme="minorHAnsi" w:eastAsiaTheme="minorEastAsia" w:hAnsiTheme="minorHAnsi"/>
                <w:noProof/>
                <w:lang w:eastAsia="en-AU"/>
              </w:rPr>
              <w:tab/>
            </w:r>
            <w:r w:rsidR="00597C51" w:rsidRPr="00AB74F0">
              <w:rPr>
                <w:rStyle w:val="Hyperlink"/>
                <w:noProof/>
              </w:rPr>
              <w:t>Appendix V – List of stakeholder submissions</w:t>
            </w:r>
            <w:r w:rsidR="00597C51">
              <w:rPr>
                <w:noProof/>
                <w:webHidden/>
              </w:rPr>
              <w:tab/>
            </w:r>
            <w:r w:rsidR="00597C51">
              <w:rPr>
                <w:noProof/>
                <w:webHidden/>
              </w:rPr>
              <w:fldChar w:fldCharType="begin"/>
            </w:r>
            <w:r w:rsidR="00597C51">
              <w:rPr>
                <w:noProof/>
                <w:webHidden/>
              </w:rPr>
              <w:instrText xml:space="preserve"> PAGEREF _Toc490218756 \h </w:instrText>
            </w:r>
            <w:r w:rsidR="00597C51">
              <w:rPr>
                <w:noProof/>
                <w:webHidden/>
              </w:rPr>
            </w:r>
            <w:r w:rsidR="00597C51">
              <w:rPr>
                <w:noProof/>
                <w:webHidden/>
              </w:rPr>
              <w:fldChar w:fldCharType="separate"/>
            </w:r>
            <w:r w:rsidR="00597C51">
              <w:rPr>
                <w:noProof/>
                <w:webHidden/>
              </w:rPr>
              <w:t>89</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7" w:history="1">
            <w:r w:rsidR="00597C51" w:rsidRPr="00AB74F0">
              <w:rPr>
                <w:rStyle w:val="Hyperlink"/>
                <w:noProof/>
              </w:rPr>
              <w:t>10.6</w:t>
            </w:r>
            <w:r w:rsidR="00597C51">
              <w:rPr>
                <w:rFonts w:asciiTheme="minorHAnsi" w:eastAsiaTheme="minorEastAsia" w:hAnsiTheme="minorHAnsi"/>
                <w:noProof/>
                <w:lang w:eastAsia="en-AU"/>
              </w:rPr>
              <w:tab/>
            </w:r>
            <w:r w:rsidR="00597C51" w:rsidRPr="00AB74F0">
              <w:rPr>
                <w:rStyle w:val="Hyperlink"/>
                <w:noProof/>
              </w:rPr>
              <w:t>Appendix VI – Summary of stakeholder submissions</w:t>
            </w:r>
            <w:r w:rsidR="00597C51">
              <w:rPr>
                <w:noProof/>
                <w:webHidden/>
              </w:rPr>
              <w:tab/>
            </w:r>
            <w:r w:rsidR="00597C51">
              <w:rPr>
                <w:noProof/>
                <w:webHidden/>
              </w:rPr>
              <w:fldChar w:fldCharType="begin"/>
            </w:r>
            <w:r w:rsidR="00597C51">
              <w:rPr>
                <w:noProof/>
                <w:webHidden/>
              </w:rPr>
              <w:instrText xml:space="preserve"> PAGEREF _Toc490218757 \h </w:instrText>
            </w:r>
            <w:r w:rsidR="00597C51">
              <w:rPr>
                <w:noProof/>
                <w:webHidden/>
              </w:rPr>
            </w:r>
            <w:r w:rsidR="00597C51">
              <w:rPr>
                <w:noProof/>
                <w:webHidden/>
              </w:rPr>
              <w:fldChar w:fldCharType="separate"/>
            </w:r>
            <w:r w:rsidR="00597C51">
              <w:rPr>
                <w:noProof/>
                <w:webHidden/>
              </w:rPr>
              <w:t>90</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8" w:history="1">
            <w:r w:rsidR="00597C51" w:rsidRPr="00AB74F0">
              <w:rPr>
                <w:rStyle w:val="Hyperlink"/>
                <w:noProof/>
              </w:rPr>
              <w:t>10.7</w:t>
            </w:r>
            <w:r w:rsidR="00597C51">
              <w:rPr>
                <w:rFonts w:asciiTheme="minorHAnsi" w:eastAsiaTheme="minorEastAsia" w:hAnsiTheme="minorHAnsi"/>
                <w:noProof/>
                <w:lang w:eastAsia="en-AU"/>
              </w:rPr>
              <w:tab/>
            </w:r>
            <w:r w:rsidR="00597C51" w:rsidRPr="00AB74F0">
              <w:rPr>
                <w:rStyle w:val="Hyperlink"/>
                <w:noProof/>
              </w:rPr>
              <w:t>Appendix VII – Summary of New South Wales, Victoria and Tasmania’s involvement in the Strategy</w:t>
            </w:r>
            <w:r w:rsidR="00597C51">
              <w:rPr>
                <w:noProof/>
                <w:webHidden/>
              </w:rPr>
              <w:tab/>
            </w:r>
            <w:r w:rsidR="00597C51">
              <w:rPr>
                <w:noProof/>
                <w:webHidden/>
              </w:rPr>
              <w:fldChar w:fldCharType="begin"/>
            </w:r>
            <w:r w:rsidR="00597C51">
              <w:rPr>
                <w:noProof/>
                <w:webHidden/>
              </w:rPr>
              <w:instrText xml:space="preserve"> PAGEREF _Toc490218758 \h </w:instrText>
            </w:r>
            <w:r w:rsidR="00597C51">
              <w:rPr>
                <w:noProof/>
                <w:webHidden/>
              </w:rPr>
            </w:r>
            <w:r w:rsidR="00597C51">
              <w:rPr>
                <w:noProof/>
                <w:webHidden/>
              </w:rPr>
              <w:fldChar w:fldCharType="separate"/>
            </w:r>
            <w:r w:rsidR="00597C51">
              <w:rPr>
                <w:noProof/>
                <w:webHidden/>
              </w:rPr>
              <w:t>92</w:t>
            </w:r>
            <w:r w:rsidR="00597C51">
              <w:rPr>
                <w:noProof/>
                <w:webHidden/>
              </w:rPr>
              <w:fldChar w:fldCharType="end"/>
            </w:r>
          </w:hyperlink>
        </w:p>
        <w:p w:rsidR="00597C51" w:rsidRDefault="00191C11">
          <w:pPr>
            <w:pStyle w:val="TOC3"/>
            <w:rPr>
              <w:rFonts w:asciiTheme="minorHAnsi" w:eastAsiaTheme="minorEastAsia" w:hAnsiTheme="minorHAnsi"/>
              <w:noProof/>
              <w:lang w:eastAsia="en-AU"/>
            </w:rPr>
          </w:pPr>
          <w:hyperlink w:anchor="_Toc490218759" w:history="1">
            <w:r w:rsidR="00597C51" w:rsidRPr="00AB74F0">
              <w:rPr>
                <w:rStyle w:val="Hyperlink"/>
                <w:noProof/>
              </w:rPr>
              <w:t>10.8</w:t>
            </w:r>
            <w:r w:rsidR="00597C51">
              <w:rPr>
                <w:rFonts w:asciiTheme="minorHAnsi" w:eastAsiaTheme="minorEastAsia" w:hAnsiTheme="minorHAnsi"/>
                <w:noProof/>
                <w:lang w:eastAsia="en-AU"/>
              </w:rPr>
              <w:tab/>
            </w:r>
            <w:r w:rsidR="00597C51" w:rsidRPr="00AB74F0">
              <w:rPr>
                <w:rStyle w:val="Hyperlink"/>
                <w:noProof/>
              </w:rPr>
              <w:t>Appendix VII – Extended text version of images and graphs</w:t>
            </w:r>
            <w:r w:rsidR="00597C51">
              <w:rPr>
                <w:noProof/>
                <w:webHidden/>
              </w:rPr>
              <w:tab/>
            </w:r>
            <w:r w:rsidR="00597C51">
              <w:rPr>
                <w:noProof/>
                <w:webHidden/>
              </w:rPr>
              <w:fldChar w:fldCharType="begin"/>
            </w:r>
            <w:r w:rsidR="00597C51">
              <w:rPr>
                <w:noProof/>
                <w:webHidden/>
              </w:rPr>
              <w:instrText xml:space="preserve"> PAGEREF _Toc490218759 \h </w:instrText>
            </w:r>
            <w:r w:rsidR="00597C51">
              <w:rPr>
                <w:noProof/>
                <w:webHidden/>
              </w:rPr>
            </w:r>
            <w:r w:rsidR="00597C51">
              <w:rPr>
                <w:noProof/>
                <w:webHidden/>
              </w:rPr>
              <w:fldChar w:fldCharType="separate"/>
            </w:r>
            <w:r w:rsidR="00597C51">
              <w:rPr>
                <w:noProof/>
                <w:webHidden/>
              </w:rPr>
              <w:t>95</w:t>
            </w:r>
            <w:r w:rsidR="00597C51">
              <w:rPr>
                <w:noProof/>
                <w:webHidden/>
              </w:rPr>
              <w:fldChar w:fldCharType="end"/>
            </w:r>
          </w:hyperlink>
        </w:p>
        <w:p w:rsidR="00C87F70" w:rsidRDefault="00042574" w:rsidP="00F5153D">
          <w:pPr>
            <w:spacing w:after="120"/>
            <w:sectPr w:rsidR="00C87F70" w:rsidSect="00E01192">
              <w:headerReference w:type="even" r:id="rId17"/>
              <w:headerReference w:type="default" r:id="rId18"/>
              <w:footerReference w:type="default" r:id="rId19"/>
              <w:pgSz w:w="11906" w:h="16838" w:code="9"/>
              <w:pgMar w:top="1985" w:right="1418" w:bottom="1843" w:left="1531" w:header="567" w:footer="567" w:gutter="0"/>
              <w:cols w:space="708"/>
              <w:docGrid w:linePitch="360"/>
            </w:sectPr>
          </w:pPr>
          <w:r>
            <w:rPr>
              <w:b/>
              <w:bCs/>
              <w:noProof/>
            </w:rPr>
            <w:fldChar w:fldCharType="end"/>
          </w:r>
        </w:p>
      </w:sdtContent>
    </w:sdt>
    <w:p w:rsidR="002726A9" w:rsidRPr="00C65A29" w:rsidRDefault="002726A9" w:rsidP="00C65A29">
      <w:pPr>
        <w:pStyle w:val="ExH2"/>
        <w:ind w:left="431" w:hanging="431"/>
        <w:outlineLvl w:val="1"/>
      </w:pPr>
      <w:bookmarkStart w:id="5" w:name="_Toc477178056"/>
      <w:bookmarkStart w:id="6" w:name="_Toc477248695"/>
      <w:bookmarkStart w:id="7" w:name="_Toc477252681"/>
      <w:bookmarkStart w:id="8" w:name="_Toc490218678"/>
      <w:r w:rsidRPr="00C65A29">
        <w:lastRenderedPageBreak/>
        <w:t>Executive summary</w:t>
      </w:r>
      <w:bookmarkEnd w:id="5"/>
      <w:bookmarkEnd w:id="6"/>
      <w:bookmarkEnd w:id="7"/>
      <w:bookmarkEnd w:id="8"/>
    </w:p>
    <w:p w:rsidR="002943F5" w:rsidRPr="002943F5" w:rsidRDefault="002943F5" w:rsidP="002943F5">
      <w:r w:rsidRPr="002943F5">
        <w:t>Safe, clean and secure housing is fundamental to the wellbeing of all Australians and is a key element of the Commonwealth Government’s priority of Closing the Gap on the significant disadvantage that Aboriginal and Torres Strait Islander people often face in terms of health, education and employment.</w:t>
      </w:r>
    </w:p>
    <w:p w:rsidR="002943F5" w:rsidRPr="002943F5" w:rsidRDefault="002943F5" w:rsidP="002943F5">
      <w:r w:rsidRPr="002943F5">
        <w:t xml:space="preserve">In 2008 the Council of Australian Governments (COAG) agreed the $5.4 billion National Partnership Agreement for Remote Indigenous Housing (NPARIH), which was replaced by the Remote Housing Strategy (the Strategy) in 2016, and a set of objectives which aimed to reduce significant overcrowding, poor housing conditions and severe housing shortages. </w:t>
      </w:r>
    </w:p>
    <w:p w:rsidR="002943F5" w:rsidRPr="002943F5" w:rsidRDefault="002943F5" w:rsidP="002943F5">
      <w:r w:rsidRPr="002943F5">
        <w:t xml:space="preserve">This Review has been established to assess the outcomes of the NPARIH and the Strategy and in doing so has examined the state of remote Indigenous housing across Australia. </w:t>
      </w:r>
    </w:p>
    <w:p w:rsidR="002943F5" w:rsidRDefault="002943F5" w:rsidP="002943F5">
      <w:r w:rsidRPr="002943F5">
        <w:t xml:space="preserve">The Review Panel (the Panel) has inspected housing and talked with tenants and community leaders in remote communities across Australia, while also examining a wide range of available data. The Panel has identified significant progress in the provision of remote housing, but also a range of ongoing issues that must be addressed in order to reduce the continuing unacceptable levels of overcrowding and to sustain the reasonable housing quality achieved for a large number of Aboriginal and Torres Strait Islander families. </w:t>
      </w:r>
    </w:p>
    <w:p w:rsidR="002726A9" w:rsidRPr="00F5153D" w:rsidRDefault="002726A9" w:rsidP="002943F5">
      <w:pPr>
        <w:pStyle w:val="ExHeader3"/>
      </w:pPr>
      <w:bookmarkStart w:id="9" w:name="_Toc490218679"/>
      <w:r w:rsidRPr="00F5153D">
        <w:t>Good progress has been made aga</w:t>
      </w:r>
      <w:r w:rsidR="005D7085" w:rsidRPr="00F5153D">
        <w:t>inst the Strategy’s objectives</w:t>
      </w:r>
      <w:bookmarkEnd w:id="9"/>
    </w:p>
    <w:p w:rsidR="00292380" w:rsidRPr="002726A9" w:rsidRDefault="00292380" w:rsidP="00292380">
      <w:r w:rsidRPr="002726A9">
        <w:t xml:space="preserve">By 2018, the Strategy will have </w:t>
      </w:r>
      <w:r w:rsidRPr="002726A9">
        <w:rPr>
          <w:b/>
        </w:rPr>
        <w:t>delivered over 11,500 more liveable homes</w:t>
      </w:r>
      <w:r w:rsidRPr="002726A9">
        <w:t xml:space="preserve"> in remote Australia (around 4,000 new houses and 7,500 refurbishments). </w:t>
      </w:r>
    </w:p>
    <w:p w:rsidR="00292380" w:rsidRPr="002726A9" w:rsidRDefault="00292380" w:rsidP="00292380">
      <w:r w:rsidRPr="002726A9">
        <w:t xml:space="preserve">This increase in supply </w:t>
      </w:r>
      <w:r>
        <w:t xml:space="preserve">is estimated to </w:t>
      </w:r>
      <w:r w:rsidRPr="002726A9">
        <w:t>ha</w:t>
      </w:r>
      <w:r>
        <w:t>ve</w:t>
      </w:r>
      <w:r w:rsidRPr="002726A9">
        <w:t xml:space="preserve"> led to a </w:t>
      </w:r>
      <w:r w:rsidRPr="002726A9">
        <w:rPr>
          <w:b/>
        </w:rPr>
        <w:t>significant decrease in the proportion</w:t>
      </w:r>
      <w:r w:rsidRPr="002726A9">
        <w:t xml:space="preserve"> </w:t>
      </w:r>
      <w:r w:rsidRPr="002726A9">
        <w:rPr>
          <w:b/>
        </w:rPr>
        <w:t>of</w:t>
      </w:r>
      <w:r w:rsidRPr="002726A9">
        <w:t xml:space="preserve"> </w:t>
      </w:r>
      <w:r w:rsidRPr="002726A9">
        <w:rPr>
          <w:b/>
        </w:rPr>
        <w:t xml:space="preserve">overcrowded households </w:t>
      </w:r>
      <w:r w:rsidRPr="002726A9">
        <w:t>in remote and very remote areas, falling from 52.1 per cent in 2008 to 41.3 per cent in 2014-15</w:t>
      </w:r>
      <w:r>
        <w:t>.</w:t>
      </w:r>
      <w:r w:rsidRPr="002726A9">
        <w:rPr>
          <w:rStyle w:val="FootnoteReference"/>
          <w:sz w:val="22"/>
          <w:szCs w:val="22"/>
        </w:rPr>
        <w:footnoteReference w:id="2"/>
      </w:r>
      <w:r>
        <w:t xml:space="preserve"> The Panel projects</w:t>
      </w:r>
      <w:r w:rsidRPr="002726A9">
        <w:t xml:space="preserve"> this will fall further to 3</w:t>
      </w:r>
      <w:r>
        <w:t>7.4</w:t>
      </w:r>
      <w:r w:rsidRPr="002726A9">
        <w:t xml:space="preserve"> per cent by 2018.</w:t>
      </w:r>
    </w:p>
    <w:p w:rsidR="00292380" w:rsidRDefault="00292380" w:rsidP="00292380">
      <w:r>
        <w:t>The NPARIH introduced and increased its emphasis on</w:t>
      </w:r>
      <w:r w:rsidRPr="00BC41AC">
        <w:t xml:space="preserve"> </w:t>
      </w:r>
      <w:r>
        <w:t>system</w:t>
      </w:r>
      <w:r w:rsidRPr="00043EAA">
        <w:t xml:space="preserve">atic property and tenancy </w:t>
      </w:r>
      <w:r>
        <w:t xml:space="preserve">management with the Strategy’s more recent focus on outcome payments to </w:t>
      </w:r>
      <w:r w:rsidR="0004739C">
        <w:t>jurisdiction</w:t>
      </w:r>
      <w:r>
        <w:t xml:space="preserve">s for more regular property inspections, improved maintenance plans, and the completion of repairs within agreed timeframes. </w:t>
      </w:r>
    </w:p>
    <w:p w:rsidR="00292380" w:rsidRPr="002726A9" w:rsidRDefault="00292380" w:rsidP="00292380">
      <w:r w:rsidRPr="002726A9">
        <w:t>The</w:t>
      </w:r>
      <w:r w:rsidRPr="002726A9" w:rsidDel="004D34B2">
        <w:t xml:space="preserve"> </w:t>
      </w:r>
      <w:r>
        <w:t xml:space="preserve">Strategy </w:t>
      </w:r>
      <w:r w:rsidRPr="002726A9">
        <w:t xml:space="preserve">targets to create job opportunities for Aboriginal and Torres Strait Islander people within the program have resulted in </w:t>
      </w:r>
      <w:r w:rsidRPr="002726A9">
        <w:rPr>
          <w:b/>
        </w:rPr>
        <w:t xml:space="preserve">many success stories around local employment, business and training. </w:t>
      </w:r>
    </w:p>
    <w:p w:rsidR="00292380" w:rsidRDefault="00292380" w:rsidP="007C29A0"/>
    <w:p w:rsidR="00292380" w:rsidRPr="002726A9" w:rsidRDefault="00292380" w:rsidP="00292380">
      <w:r w:rsidRPr="002726A9">
        <w:lastRenderedPageBreak/>
        <w:t xml:space="preserve">All </w:t>
      </w:r>
      <w:r w:rsidR="0004739C">
        <w:t>jurisdictions</w:t>
      </w:r>
      <w:r w:rsidRPr="002726A9">
        <w:t xml:space="preserve"> report Indigenous employment levels of at least 20-30 per cent in the program and innovative models</w:t>
      </w:r>
      <w:r>
        <w:t xml:space="preserve"> are</w:t>
      </w:r>
      <w:r w:rsidRPr="002726A9">
        <w:t xml:space="preserve"> being implemented across </w:t>
      </w:r>
      <w:r w:rsidR="0004739C">
        <w:t>jurisdiction</w:t>
      </w:r>
      <w:r w:rsidRPr="002726A9">
        <w:t xml:space="preserve">s </w:t>
      </w:r>
      <w:r>
        <w:t>–</w:t>
      </w:r>
      <w:r w:rsidRPr="002726A9">
        <w:t xml:space="preserve"> such as the Galiwin</w:t>
      </w:r>
      <w:r>
        <w:t>’</w:t>
      </w:r>
      <w:r w:rsidRPr="002726A9">
        <w:t>ku slow and fast build approach to restoring housing after Cyclones Lam and Nathan</w:t>
      </w:r>
      <w:r>
        <w:t>,</w:t>
      </w:r>
      <w:r w:rsidRPr="002726A9">
        <w:t xml:space="preserve"> and the Queensland approach of working with local councils. </w:t>
      </w:r>
      <w:r w:rsidRPr="002726A9">
        <w:rPr>
          <w:b/>
        </w:rPr>
        <w:t>Local employment, especially in the area of repairs and maintenance, can improve housing program efficiency and effectiveness</w:t>
      </w:r>
      <w:r w:rsidRPr="002726A9">
        <w:t xml:space="preserve"> and, if properly organised, </w:t>
      </w:r>
      <w:r w:rsidRPr="00C56708">
        <w:rPr>
          <w:b/>
        </w:rPr>
        <w:t>can su</w:t>
      </w:r>
      <w:r w:rsidRPr="002726A9">
        <w:rPr>
          <w:b/>
        </w:rPr>
        <w:t>pport the core priority of delivering and maintaining quality housing</w:t>
      </w:r>
      <w:r w:rsidRPr="002726A9">
        <w:t>.</w:t>
      </w:r>
    </w:p>
    <w:p w:rsidR="002726A9" w:rsidRPr="003F275F" w:rsidRDefault="003F275F" w:rsidP="00211750">
      <w:pPr>
        <w:pStyle w:val="ExHeader3"/>
      </w:pPr>
      <w:bookmarkStart w:id="10" w:name="_Toc490218680"/>
      <w:r>
        <w:t>M</w:t>
      </w:r>
      <w:r w:rsidR="002726A9" w:rsidRPr="003F275F">
        <w:t xml:space="preserve">ore </w:t>
      </w:r>
      <w:r>
        <w:t xml:space="preserve">needs </w:t>
      </w:r>
      <w:r w:rsidR="002726A9" w:rsidRPr="003F275F">
        <w:t xml:space="preserve">to </w:t>
      </w:r>
      <w:r>
        <w:t xml:space="preserve">be </w:t>
      </w:r>
      <w:r w:rsidR="002726A9" w:rsidRPr="003F275F">
        <w:t>do</w:t>
      </w:r>
      <w:r>
        <w:t>ne</w:t>
      </w:r>
      <w:r w:rsidR="002726A9" w:rsidRPr="003F275F">
        <w:t xml:space="preserve"> to </w:t>
      </w:r>
      <w:r>
        <w:t>meet future</w:t>
      </w:r>
      <w:r w:rsidR="002726A9" w:rsidRPr="003F275F">
        <w:t xml:space="preserve"> </w:t>
      </w:r>
      <w:r>
        <w:t xml:space="preserve">demand and to </w:t>
      </w:r>
      <w:r w:rsidR="002726A9" w:rsidRPr="003F275F">
        <w:t>protect the existing housing stock</w:t>
      </w:r>
      <w:bookmarkEnd w:id="10"/>
      <w:r w:rsidR="002726A9" w:rsidRPr="003F275F">
        <w:t xml:space="preserve"> </w:t>
      </w:r>
    </w:p>
    <w:p w:rsidR="00292380" w:rsidRPr="002726A9" w:rsidRDefault="00292380" w:rsidP="00292380">
      <w:r w:rsidRPr="002726A9">
        <w:t xml:space="preserve">The </w:t>
      </w:r>
      <w:r>
        <w:t>Panel</w:t>
      </w:r>
      <w:r w:rsidRPr="002726A9">
        <w:t xml:space="preserve"> estimates, after accounting for population growth, an additional </w:t>
      </w:r>
      <w:r w:rsidRPr="002726A9">
        <w:rPr>
          <w:b/>
        </w:rPr>
        <w:t>5,500 homes are required by 2028 to reduce levels of overcrowding in remote areas to acceptable levels.</w:t>
      </w:r>
      <w:r w:rsidRPr="002726A9">
        <w:t xml:space="preserve"> Half of the additional need is in the Northern Territory alone </w:t>
      </w:r>
      <w:r>
        <w:t>–</w:t>
      </w:r>
      <w:r w:rsidRPr="002726A9">
        <w:t xml:space="preserve"> a</w:t>
      </w:r>
      <w:r>
        <w:t xml:space="preserve"> jurisdiction</w:t>
      </w:r>
      <w:r w:rsidRPr="002726A9">
        <w:t xml:space="preserve"> with the lowest capacity to meet this pressure.</w:t>
      </w:r>
    </w:p>
    <w:p w:rsidR="00292380" w:rsidRPr="002726A9" w:rsidRDefault="00292380" w:rsidP="00292380">
      <w:r w:rsidRPr="002726A9">
        <w:t>The evidence is clear that houses deteriorate quickly without ongoing maintenance and repairs</w:t>
      </w:r>
      <w:r>
        <w:t>.</w:t>
      </w:r>
      <w:r w:rsidRPr="002726A9">
        <w:rPr>
          <w:rStyle w:val="FootnoteReference"/>
          <w:sz w:val="22"/>
          <w:szCs w:val="22"/>
        </w:rPr>
        <w:footnoteReference w:id="3"/>
      </w:r>
      <w:r w:rsidRPr="002726A9">
        <w:t xml:space="preserve"> Having invested $5.4 billion, the </w:t>
      </w:r>
      <w:r>
        <w:t>Panel</w:t>
      </w:r>
      <w:r w:rsidRPr="002726A9">
        <w:t xml:space="preserve"> considers </w:t>
      </w:r>
      <w:r w:rsidRPr="002726A9">
        <w:rPr>
          <w:b/>
        </w:rPr>
        <w:t xml:space="preserve">the first priority for governments has to be to protect their investments </w:t>
      </w:r>
      <w:r w:rsidRPr="002726A9">
        <w:t>and increase the longevity of houses</w:t>
      </w:r>
      <w:r w:rsidRPr="002726A9">
        <w:rPr>
          <w:b/>
        </w:rPr>
        <w:t xml:space="preserve"> by maintaining the housing already delivered. </w:t>
      </w:r>
      <w:r>
        <w:rPr>
          <w:b/>
        </w:rPr>
        <w:t>The key is an increased emphasis on planned cyclic maintenance, with a focus on health related hardware and houses functioning.</w:t>
      </w:r>
    </w:p>
    <w:p w:rsidR="00292380" w:rsidRPr="002726A9" w:rsidRDefault="00292380" w:rsidP="00292380">
      <w:r w:rsidRPr="002726A9">
        <w:rPr>
          <w:b/>
        </w:rPr>
        <w:t>Progress on</w:t>
      </w:r>
      <w:r w:rsidRPr="002726A9">
        <w:t xml:space="preserve"> </w:t>
      </w:r>
      <w:r w:rsidRPr="002726A9">
        <w:rPr>
          <w:b/>
        </w:rPr>
        <w:t>systematic property and tenancy management needs to be faster</w:t>
      </w:r>
      <w:r w:rsidRPr="002726A9">
        <w:t xml:space="preserve">. All </w:t>
      </w:r>
      <w:r w:rsidR="0004739C">
        <w:t>jurisdiction</w:t>
      </w:r>
      <w:r w:rsidRPr="002726A9">
        <w:t xml:space="preserve">s report they have annual inspections and maintenance programs, but members of communities visited by the </w:t>
      </w:r>
      <w:r>
        <w:t>Panel</w:t>
      </w:r>
      <w:r w:rsidRPr="002726A9">
        <w:t xml:space="preserve"> expressed frustration that problems are not fixed </w:t>
      </w:r>
      <w:r>
        <w:t>quickly enough</w:t>
      </w:r>
      <w:r w:rsidRPr="002726A9">
        <w:t xml:space="preserve">. Houses visited by the </w:t>
      </w:r>
      <w:r>
        <w:t xml:space="preserve">Panel and evidence provided by </w:t>
      </w:r>
      <w:r w:rsidR="0004739C">
        <w:t>jurisdiction</w:t>
      </w:r>
      <w:r w:rsidRPr="002726A9">
        <w:t xml:space="preserve">s during the consultations affirmed weaknesses in property and tenancy management. </w:t>
      </w:r>
    </w:p>
    <w:p w:rsidR="00292380" w:rsidRPr="002726A9" w:rsidRDefault="0004739C" w:rsidP="00292380">
      <w:r>
        <w:t>Jurisdiction</w:t>
      </w:r>
      <w:r w:rsidR="00292380" w:rsidRPr="002726A9">
        <w:t xml:space="preserve"> housing officials are caught between the greater housing and health gains of cyclic maintenance</w:t>
      </w:r>
      <w:r w:rsidR="00292380">
        <w:t>,</w:t>
      </w:r>
      <w:r w:rsidR="00292380" w:rsidRPr="002726A9">
        <w:t xml:space="preserve"> the improved efficiency of batching repairs</w:t>
      </w:r>
      <w:r w:rsidR="00292380">
        <w:t xml:space="preserve">, </w:t>
      </w:r>
      <w:r w:rsidR="00292380" w:rsidRPr="002726A9">
        <w:t xml:space="preserve">and criticism from community members if they are not adequately reactive. The </w:t>
      </w:r>
      <w:r w:rsidR="00292380">
        <w:t>Panel</w:t>
      </w:r>
      <w:r w:rsidR="00292380" w:rsidRPr="002726A9">
        <w:t xml:space="preserve"> understands the dilemma faced by housing managers but considers that </w:t>
      </w:r>
      <w:r w:rsidR="00292380" w:rsidRPr="002726A9">
        <w:rPr>
          <w:b/>
        </w:rPr>
        <w:t>more effort to mobilise local workforces to do repairs and maintenance work could assist</w:t>
      </w:r>
      <w:r w:rsidR="00292380">
        <w:rPr>
          <w:b/>
        </w:rPr>
        <w:t xml:space="preserve"> to better</w:t>
      </w:r>
      <w:r w:rsidR="00292380" w:rsidRPr="002726A9">
        <w:rPr>
          <w:b/>
        </w:rPr>
        <w:t xml:space="preserve"> manage </w:t>
      </w:r>
      <w:r w:rsidR="00292380">
        <w:rPr>
          <w:b/>
        </w:rPr>
        <w:t xml:space="preserve">these </w:t>
      </w:r>
      <w:r w:rsidR="00292380" w:rsidRPr="002726A9">
        <w:rPr>
          <w:b/>
        </w:rPr>
        <w:t>competing priorities</w:t>
      </w:r>
      <w:r w:rsidR="00292380" w:rsidRPr="002726A9">
        <w:t xml:space="preserve"> and improve employment outcomes. </w:t>
      </w:r>
    </w:p>
    <w:p w:rsidR="00292380" w:rsidRPr="002726A9" w:rsidRDefault="00292380" w:rsidP="00292380">
      <w:r w:rsidRPr="002726A9">
        <w:t xml:space="preserve">Under </w:t>
      </w:r>
      <w:r>
        <w:t xml:space="preserve">the </w:t>
      </w:r>
      <w:r w:rsidRPr="002726A9">
        <w:t>C</w:t>
      </w:r>
      <w:r>
        <w:t>ommunity Housing and Infrastructure Program (C</w:t>
      </w:r>
      <w:r w:rsidRPr="002726A9">
        <w:t>HIP</w:t>
      </w:r>
      <w:r>
        <w:t>)</w:t>
      </w:r>
      <w:r w:rsidRPr="002726A9">
        <w:t xml:space="preserve"> the Fixing Houses for Better Health surveys found </w:t>
      </w:r>
      <w:r w:rsidRPr="002726A9">
        <w:rPr>
          <w:b/>
        </w:rPr>
        <w:t xml:space="preserve">that only nine per cent of household faults are caused by tenants. The misconception that </w:t>
      </w:r>
      <w:r>
        <w:rPr>
          <w:b/>
        </w:rPr>
        <w:t>Aboriginal and Torres Strait Islander</w:t>
      </w:r>
      <w:r w:rsidRPr="002726A9">
        <w:rPr>
          <w:b/>
        </w:rPr>
        <w:t xml:space="preserve"> families cause the majority of damage and deterioration to remote Indigenous housing needs to be corrected.</w:t>
      </w:r>
      <w:r w:rsidRPr="002726A9">
        <w:t xml:space="preserve"> A focus on tenant education is important, but so too is delivering good quality and appropriate housing that meets building standards. </w:t>
      </w:r>
    </w:p>
    <w:p w:rsidR="00292380" w:rsidRPr="002726A9" w:rsidRDefault="00292380" w:rsidP="00292380">
      <w:r w:rsidRPr="002726A9">
        <w:lastRenderedPageBreak/>
        <w:t xml:space="preserve">There is room to </w:t>
      </w:r>
      <w:r w:rsidRPr="002726A9">
        <w:rPr>
          <w:b/>
        </w:rPr>
        <w:t>replicate good practice in tenancy management</w:t>
      </w:r>
      <w:r w:rsidRPr="002726A9">
        <w:t xml:space="preserve">, with incentives for households </w:t>
      </w:r>
      <w:r>
        <w:t>to</w:t>
      </w:r>
      <w:r w:rsidRPr="002726A9">
        <w:t xml:space="preserve"> look after their homes and </w:t>
      </w:r>
      <w:r>
        <w:t xml:space="preserve">more efficient </w:t>
      </w:r>
      <w:r w:rsidRPr="002726A9">
        <w:t xml:space="preserve">utility consumption as well as other measures that support head tenants to maximise control of their home and preserve their own housing amenity. </w:t>
      </w:r>
      <w:r w:rsidRPr="002726A9">
        <w:rPr>
          <w:b/>
        </w:rPr>
        <w:t>Deep local engagement by public housing authorities and/or community management is needed to achieve these outcomes</w:t>
      </w:r>
      <w:r w:rsidRPr="002726A9">
        <w:t xml:space="preserve">. </w:t>
      </w:r>
    </w:p>
    <w:p w:rsidR="002726A9" w:rsidRPr="003F275F" w:rsidRDefault="002726A9" w:rsidP="00211750">
      <w:pPr>
        <w:pStyle w:val="ExHeader3"/>
      </w:pPr>
      <w:bookmarkStart w:id="11" w:name="_Toc490218681"/>
      <w:r w:rsidRPr="003F275F">
        <w:t xml:space="preserve">The </w:t>
      </w:r>
      <w:r w:rsidR="003D27B1">
        <w:t>R</w:t>
      </w:r>
      <w:r w:rsidRPr="003F275F">
        <w:t xml:space="preserve">eview identified a number of issues in the development and implementation of </w:t>
      </w:r>
      <w:r w:rsidR="005D7085">
        <w:t>the Strategy</w:t>
      </w:r>
      <w:bookmarkEnd w:id="11"/>
    </w:p>
    <w:p w:rsidR="00292380" w:rsidRPr="002726A9" w:rsidRDefault="00292380" w:rsidP="00292380">
      <w:pPr>
        <w:rPr>
          <w:bCs/>
        </w:rPr>
      </w:pPr>
      <w:r w:rsidRPr="002726A9">
        <w:t>The</w:t>
      </w:r>
      <w:r>
        <w:t xml:space="preserve"> Strategy</w:t>
      </w:r>
      <w:r w:rsidRPr="002726A9">
        <w:t xml:space="preserve"> had some key implementation flaws. Most notably, </w:t>
      </w:r>
      <w:r w:rsidRPr="007C29A0">
        <w:rPr>
          <w:b/>
        </w:rPr>
        <w:t>the Commonwealth was the sole funder</w:t>
      </w:r>
      <w:r w:rsidRPr="007C29A0">
        <w:rPr>
          <w:b/>
          <w:bCs/>
        </w:rPr>
        <w:t xml:space="preserve">. </w:t>
      </w:r>
      <w:r w:rsidR="0004739C">
        <w:rPr>
          <w:b/>
          <w:bCs/>
        </w:rPr>
        <w:t>Jurisdiction</w:t>
      </w:r>
      <w:r w:rsidRPr="007C29A0">
        <w:rPr>
          <w:b/>
          <w:bCs/>
        </w:rPr>
        <w:t xml:space="preserve">s lacked </w:t>
      </w:r>
      <w:r>
        <w:rPr>
          <w:b/>
          <w:bCs/>
        </w:rPr>
        <w:t xml:space="preserve">sufficient </w:t>
      </w:r>
      <w:r w:rsidRPr="007C29A0">
        <w:rPr>
          <w:b/>
          <w:bCs/>
        </w:rPr>
        <w:t xml:space="preserve">‘skin in the game’ and hence the necessary </w:t>
      </w:r>
      <w:r w:rsidRPr="007C29A0">
        <w:rPr>
          <w:b/>
        </w:rPr>
        <w:t>incentive to drive</w:t>
      </w:r>
      <w:r w:rsidRPr="007C29A0">
        <w:rPr>
          <w:b/>
          <w:bCs/>
        </w:rPr>
        <w:t xml:space="preserve"> </w:t>
      </w:r>
      <w:r w:rsidRPr="007C29A0">
        <w:rPr>
          <w:b/>
        </w:rPr>
        <w:t>efficiencies and improvements</w:t>
      </w:r>
      <w:r w:rsidRPr="002726A9">
        <w:t xml:space="preserve"> which could have driven better outcomes </w:t>
      </w:r>
      <w:r w:rsidRPr="00E11C35">
        <w:rPr>
          <w:bCs/>
        </w:rPr>
        <w:t xml:space="preserve">for </w:t>
      </w:r>
      <w:r w:rsidRPr="00191D2D">
        <w:t>Aboriginal and Torres Strait Islander</w:t>
      </w:r>
      <w:r w:rsidRPr="00E11C35">
        <w:t xml:space="preserve"> Australians</w:t>
      </w:r>
      <w:r w:rsidRPr="002726A9">
        <w:t xml:space="preserve"> and the Commonwealth. </w:t>
      </w:r>
    </w:p>
    <w:p w:rsidR="00292380" w:rsidRPr="002726A9" w:rsidRDefault="00292380" w:rsidP="00292380">
      <w:r>
        <w:t>In the Panel’s view, t</w:t>
      </w:r>
      <w:r w:rsidRPr="002726A9">
        <w:t xml:space="preserve">he newly reformed </w:t>
      </w:r>
      <w:r w:rsidRPr="00520850">
        <w:t>Federal Financial Relations framework</w:t>
      </w:r>
      <w:r w:rsidRPr="002726A9">
        <w:t xml:space="preserve"> at that time, under which the </w:t>
      </w:r>
      <w:r>
        <w:t>original NPARIH agreement</w:t>
      </w:r>
      <w:r w:rsidRPr="002726A9">
        <w:t xml:space="preserve"> was negotiated and implemented, </w:t>
      </w:r>
      <w:r w:rsidRPr="002E776B">
        <w:rPr>
          <w:b/>
        </w:rPr>
        <w:t>hampered efforts to achieve greater transparency and accountability</w:t>
      </w:r>
      <w:r w:rsidRPr="002726A9">
        <w:t xml:space="preserve"> about how money was being spent. </w:t>
      </w:r>
    </w:p>
    <w:p w:rsidR="00292380" w:rsidRPr="002726A9" w:rsidRDefault="00292380" w:rsidP="00292380">
      <w:r w:rsidRPr="002726A9">
        <w:t xml:space="preserve">The </w:t>
      </w:r>
      <w:r w:rsidRPr="002E776B">
        <w:rPr>
          <w:b/>
        </w:rPr>
        <w:t>program was also complicated by multiple objectives, poor governance and constantly changing policy settings.</w:t>
      </w:r>
      <w:r w:rsidRPr="002726A9">
        <w:t xml:space="preserve"> Both Commonwealth and </w:t>
      </w:r>
      <w:r w:rsidR="0004739C">
        <w:t>jurisdiction</w:t>
      </w:r>
      <w:r w:rsidRPr="002726A9">
        <w:t xml:space="preserve"> officials consulted by the </w:t>
      </w:r>
      <w:r>
        <w:t>Panel</w:t>
      </w:r>
      <w:r w:rsidRPr="002726A9">
        <w:t xml:space="preserve"> noted the distractions caused by constant renegotiations to the agreement which, in the latter part of the </w:t>
      </w:r>
      <w:r>
        <w:t>Strategy</w:t>
      </w:r>
      <w:r w:rsidRPr="002726A9">
        <w:t xml:space="preserve">’s life, hampered efforts to focus on best practice. </w:t>
      </w:r>
    </w:p>
    <w:p w:rsidR="00292380" w:rsidRPr="002726A9" w:rsidRDefault="00292380" w:rsidP="00292380">
      <w:r w:rsidRPr="002726A9">
        <w:t xml:space="preserve">A better program design would have focused on shared responsibility, longer planning cycles, best practice information sharing and better regional governance. This would have resulted in more local benefits. The </w:t>
      </w:r>
      <w:r>
        <w:t>Panel</w:t>
      </w:r>
      <w:r w:rsidRPr="002726A9">
        <w:t xml:space="preserve"> sees this as a failing of all governments, not just</w:t>
      </w:r>
      <w:r>
        <w:t xml:space="preserve"> the Commonwealth or the </w:t>
      </w:r>
      <w:r w:rsidR="0004739C">
        <w:t>jurisdiction</w:t>
      </w:r>
      <w:r>
        <w:t>s;</w:t>
      </w:r>
      <w:r w:rsidRPr="002726A9">
        <w:t xml:space="preserve"> in fact as a sign of those times. Ironically</w:t>
      </w:r>
      <w:r>
        <w:t>,</w:t>
      </w:r>
      <w:r w:rsidRPr="002726A9">
        <w:t xml:space="preserve"> the </w:t>
      </w:r>
      <w:r w:rsidRPr="002E776B">
        <w:rPr>
          <w:b/>
        </w:rPr>
        <w:t>workarounds engaged in by officials</w:t>
      </w:r>
      <w:r>
        <w:rPr>
          <w:b/>
        </w:rPr>
        <w:t xml:space="preserve"> </w:t>
      </w:r>
      <w:r w:rsidRPr="002E776B">
        <w:rPr>
          <w:b/>
        </w:rPr>
        <w:t xml:space="preserve">to counter the limitations of the initial shortcomings in the </w:t>
      </w:r>
      <w:r>
        <w:rPr>
          <w:b/>
        </w:rPr>
        <w:t>Strategy</w:t>
      </w:r>
      <w:r w:rsidRPr="002E776B">
        <w:rPr>
          <w:b/>
        </w:rPr>
        <w:t xml:space="preserve"> have exacerbated some of these problems.</w:t>
      </w:r>
    </w:p>
    <w:p w:rsidR="00292380" w:rsidRPr="002726A9" w:rsidRDefault="00292380" w:rsidP="00292380">
      <w:r w:rsidRPr="002726A9">
        <w:t>As mention</w:t>
      </w:r>
      <w:r>
        <w:t>ed</w:t>
      </w:r>
      <w:r w:rsidRPr="002726A9">
        <w:t xml:space="preserve"> there are many local employment success stories arising from the Strategy. However, many communities voiced concerns</w:t>
      </w:r>
      <w:r w:rsidRPr="002726A9" w:rsidDel="00BE5371">
        <w:t xml:space="preserve"> </w:t>
      </w:r>
      <w:r w:rsidRPr="002726A9">
        <w:t xml:space="preserve">that opportunities were not consistently available for local workers and </w:t>
      </w:r>
      <w:r w:rsidRPr="002E776B">
        <w:rPr>
          <w:b/>
        </w:rPr>
        <w:t>more time is needed to build capability to ensure local businesses benefit and long</w:t>
      </w:r>
      <w:r>
        <w:rPr>
          <w:b/>
        </w:rPr>
        <w:t>-</w:t>
      </w:r>
      <w:r w:rsidRPr="002E776B">
        <w:rPr>
          <w:b/>
        </w:rPr>
        <w:t>term skills are attained.</w:t>
      </w:r>
      <w:r w:rsidRPr="002726A9">
        <w:t xml:space="preserve"> </w:t>
      </w:r>
    </w:p>
    <w:p w:rsidR="00292380" w:rsidRPr="002726A9" w:rsidRDefault="00292380" w:rsidP="00292380">
      <w:r w:rsidRPr="002726A9">
        <w:t xml:space="preserve">Unfortunately, the </w:t>
      </w:r>
      <w:r w:rsidRPr="00EE0AD6">
        <w:rPr>
          <w:b/>
        </w:rPr>
        <w:t>two-</w:t>
      </w:r>
      <w:r>
        <w:rPr>
          <w:b/>
        </w:rPr>
        <w:t xml:space="preserve">year capital </w:t>
      </w:r>
      <w:r w:rsidRPr="002E776B">
        <w:rPr>
          <w:b/>
        </w:rPr>
        <w:t>works cycles</w:t>
      </w:r>
      <w:r>
        <w:rPr>
          <w:b/>
        </w:rPr>
        <w:t xml:space="preserve"> – </w:t>
      </w:r>
      <w:r w:rsidRPr="002E776B">
        <w:rPr>
          <w:b/>
        </w:rPr>
        <w:t>a</w:t>
      </w:r>
      <w:r>
        <w:rPr>
          <w:b/>
        </w:rPr>
        <w:t xml:space="preserve"> </w:t>
      </w:r>
      <w:r w:rsidRPr="002E776B">
        <w:rPr>
          <w:b/>
        </w:rPr>
        <w:t xml:space="preserve">key feature of the </w:t>
      </w:r>
      <w:r>
        <w:rPr>
          <w:b/>
        </w:rPr>
        <w:t>Strategy – prevented long-t</w:t>
      </w:r>
      <w:r w:rsidRPr="002E776B">
        <w:rPr>
          <w:b/>
        </w:rPr>
        <w:t>erm employment and business growth.</w:t>
      </w:r>
      <w:r>
        <w:t xml:space="preserve"> </w:t>
      </w:r>
      <w:r w:rsidRPr="002726A9">
        <w:t xml:space="preserve">This could have been avoided if Commonwealth officials had been able to have better visibility of the program’s implementation </w:t>
      </w:r>
      <w:r>
        <w:t>through</w:t>
      </w:r>
      <w:r w:rsidRPr="002726A9">
        <w:t xml:space="preserve"> the original NPARIH agreement. The </w:t>
      </w:r>
      <w:r>
        <w:t>Panel</w:t>
      </w:r>
      <w:r w:rsidRPr="002726A9" w:rsidDel="00983177">
        <w:t xml:space="preserve"> </w:t>
      </w:r>
      <w:r w:rsidRPr="002726A9">
        <w:t xml:space="preserve">has concluded capital plans should be set for a minimum of five years. Longer term planning, coupled with procurement practices which support small emerging businesses, can provide greater opportunities for training and employment of local people. </w:t>
      </w:r>
    </w:p>
    <w:p w:rsidR="002726A9" w:rsidRPr="00E02E29" w:rsidRDefault="00A6765F" w:rsidP="00211750">
      <w:pPr>
        <w:pStyle w:val="ExHeader3"/>
      </w:pPr>
      <w:bookmarkStart w:id="12" w:name="_Toc490218682"/>
      <w:r w:rsidRPr="00E02E29">
        <w:lastRenderedPageBreak/>
        <w:t xml:space="preserve">Future programs should </w:t>
      </w:r>
      <w:r w:rsidR="00154795" w:rsidRPr="00E02E29">
        <w:t xml:space="preserve">protect </w:t>
      </w:r>
      <w:r w:rsidRPr="00E02E29">
        <w:t xml:space="preserve">recent </w:t>
      </w:r>
      <w:r w:rsidR="00154795" w:rsidRPr="00E02E29">
        <w:t>investment</w:t>
      </w:r>
      <w:r w:rsidR="002726A9" w:rsidRPr="00E02E29">
        <w:t xml:space="preserve">, address </w:t>
      </w:r>
      <w:r w:rsidR="00154795" w:rsidRPr="00E02E29">
        <w:t>continued need</w:t>
      </w:r>
      <w:r w:rsidR="002726A9" w:rsidRPr="00E02E29">
        <w:t xml:space="preserve"> and develop better structures for design</w:t>
      </w:r>
      <w:r w:rsidR="00F64698">
        <w:t>, implementation and oversight</w:t>
      </w:r>
      <w:bookmarkEnd w:id="12"/>
      <w:r w:rsidR="002726A9" w:rsidRPr="00E02E29">
        <w:t xml:space="preserve"> </w:t>
      </w:r>
    </w:p>
    <w:p w:rsidR="00292380" w:rsidRDefault="00292380" w:rsidP="00292380">
      <w:r w:rsidRPr="00E6369A">
        <w:rPr>
          <w:lang w:eastAsia="en-AU"/>
        </w:rPr>
        <w:t xml:space="preserve">The </w:t>
      </w:r>
      <w:r>
        <w:rPr>
          <w:lang w:eastAsia="en-AU"/>
        </w:rPr>
        <w:t>Panel</w:t>
      </w:r>
      <w:r w:rsidRPr="00E6369A">
        <w:rPr>
          <w:lang w:eastAsia="en-AU"/>
        </w:rPr>
        <w:t>’s analysis and findings has informed the following recommendations</w:t>
      </w:r>
      <w:r w:rsidRPr="00E6369A">
        <w:rPr>
          <w:b/>
          <w:bCs/>
          <w:lang w:eastAsia="en-AU"/>
        </w:rPr>
        <w:t>.</w:t>
      </w:r>
      <w:r w:rsidRPr="000E29F3">
        <w:rPr>
          <w:bCs/>
          <w:lang w:eastAsia="en-AU"/>
        </w:rPr>
        <w:t xml:space="preserve"> Please note that these recommendations </w:t>
      </w:r>
      <w:r>
        <w:rPr>
          <w:bCs/>
          <w:lang w:eastAsia="en-AU"/>
        </w:rPr>
        <w:t xml:space="preserve">have been numbered for ease of use and </w:t>
      </w:r>
      <w:r w:rsidRPr="000E29F3">
        <w:rPr>
          <w:bCs/>
          <w:lang w:eastAsia="en-AU"/>
        </w:rPr>
        <w:t>are not in order of priority.</w:t>
      </w:r>
    </w:p>
    <w:p w:rsidR="00292380" w:rsidRPr="005E6618" w:rsidRDefault="00292380" w:rsidP="00292380">
      <w:pPr>
        <w:pStyle w:val="ListParagraph"/>
        <w:numPr>
          <w:ilvl w:val="0"/>
          <w:numId w:val="9"/>
        </w:numPr>
      </w:pPr>
      <w:r w:rsidRPr="005E6618">
        <w:t>A recurrent program must be funded to maintain existing houses, preserve functionality and increase the life of housing assets</w:t>
      </w:r>
      <w:r>
        <w:t>.</w:t>
      </w:r>
    </w:p>
    <w:p w:rsidR="00292380" w:rsidRPr="005E6618" w:rsidRDefault="00292380" w:rsidP="00292380">
      <w:pPr>
        <w:pStyle w:val="ListParagraph"/>
        <w:numPr>
          <w:ilvl w:val="0"/>
          <w:numId w:val="9"/>
        </w:numPr>
      </w:pPr>
      <w:r w:rsidRPr="005E6618">
        <w:t xml:space="preserve">Investment for an additional 5,500 houses by 2028 </w:t>
      </w:r>
      <w:r>
        <w:t>is</w:t>
      </w:r>
      <w:r w:rsidRPr="005E6618">
        <w:t xml:space="preserve"> needed to contin</w:t>
      </w:r>
      <w:r>
        <w:t>ue efforts on Closing the Gap on Indigenous D</w:t>
      </w:r>
      <w:r w:rsidRPr="005E6618">
        <w:t>isadvantage</w:t>
      </w:r>
      <w:r>
        <w:t>.</w:t>
      </w:r>
    </w:p>
    <w:p w:rsidR="00292380" w:rsidRPr="005E6618" w:rsidRDefault="00292380" w:rsidP="00292380">
      <w:pPr>
        <w:pStyle w:val="ListParagraph"/>
        <w:numPr>
          <w:ilvl w:val="0"/>
          <w:numId w:val="9"/>
        </w:numPr>
      </w:pPr>
      <w:r w:rsidRPr="005E6618">
        <w:t xml:space="preserve">The costs of a remote Indigenous housing program should be </w:t>
      </w:r>
      <w:r>
        <w:t>equally shared (50:50)</w:t>
      </w:r>
      <w:r w:rsidRPr="005E6618">
        <w:t xml:space="preserve"> between the</w:t>
      </w:r>
      <w:r>
        <w:t xml:space="preserve"> Commonwealth and the </w:t>
      </w:r>
      <w:r w:rsidR="0004739C">
        <w:t>jurisdiction</w:t>
      </w:r>
      <w:r>
        <w:t>s.</w:t>
      </w:r>
    </w:p>
    <w:p w:rsidR="00292380" w:rsidRPr="005E6618" w:rsidRDefault="00292380" w:rsidP="00292380">
      <w:pPr>
        <w:pStyle w:val="ListParagraph"/>
        <w:numPr>
          <w:ilvl w:val="0"/>
          <w:numId w:val="9"/>
        </w:numPr>
      </w:pPr>
      <w:r>
        <w:t xml:space="preserve">A </w:t>
      </w:r>
      <w:r w:rsidRPr="005E6618">
        <w:t xml:space="preserve">regional governance structure </w:t>
      </w:r>
      <w:r>
        <w:t xml:space="preserve">should be established </w:t>
      </w:r>
      <w:r w:rsidRPr="005E6618">
        <w:t>to facilitate better administration of the program.</w:t>
      </w:r>
    </w:p>
    <w:p w:rsidR="00292380" w:rsidRDefault="00292380" w:rsidP="00292380">
      <w:pPr>
        <w:pStyle w:val="ListParagraph"/>
        <w:numPr>
          <w:ilvl w:val="0"/>
          <w:numId w:val="9"/>
        </w:numPr>
      </w:pPr>
      <w:r w:rsidRPr="005E6618">
        <w:t>A higher level of transparency is required: a sound performance framework and information processes that are relevant to individuals and communities, and derivative of the information that is needed for regional governance of the program</w:t>
      </w:r>
      <w:r>
        <w:t>.</w:t>
      </w:r>
      <w:r w:rsidRPr="005E6618">
        <w:t xml:space="preserve"> </w:t>
      </w:r>
    </w:p>
    <w:p w:rsidR="00292380" w:rsidRPr="005E6618" w:rsidRDefault="00292380" w:rsidP="00292380">
      <w:pPr>
        <w:pStyle w:val="ListParagraph"/>
        <w:numPr>
          <w:ilvl w:val="0"/>
          <w:numId w:val="9"/>
        </w:numPr>
      </w:pPr>
      <w:r w:rsidRPr="00F62816">
        <w:t xml:space="preserve">Best practice fora should be established to share information across the Commonwealth, </w:t>
      </w:r>
      <w:r w:rsidR="0004739C">
        <w:t>jurisdiction</w:t>
      </w:r>
      <w:r w:rsidRPr="00F62816">
        <w:t>s, regional governance bodies and service providers</w:t>
      </w:r>
      <w:r w:rsidRPr="00F62816">
        <w:rPr>
          <w:webHidden/>
        </w:rPr>
        <w:tab/>
      </w:r>
      <w:r>
        <w:rPr>
          <w:webHidden/>
        </w:rPr>
        <w:t>.</w:t>
      </w:r>
    </w:p>
    <w:p w:rsidR="00292380" w:rsidRPr="005E6618" w:rsidRDefault="00292380" w:rsidP="00292380">
      <w:pPr>
        <w:pStyle w:val="ListParagraph"/>
        <w:numPr>
          <w:ilvl w:val="0"/>
          <w:numId w:val="9"/>
        </w:numPr>
      </w:pPr>
      <w:r w:rsidRPr="005E6618">
        <w:t>A minimum five year rolling plan for th</w:t>
      </w:r>
      <w:r>
        <w:t>e program should be established.</w:t>
      </w:r>
      <w:r w:rsidRPr="005E6618">
        <w:t xml:space="preserve"> </w:t>
      </w:r>
    </w:p>
    <w:p w:rsidR="00292380" w:rsidRPr="005E6618" w:rsidRDefault="00292380" w:rsidP="00292380">
      <w:pPr>
        <w:pStyle w:val="ListParagraph"/>
        <w:numPr>
          <w:ilvl w:val="0"/>
          <w:numId w:val="9"/>
        </w:numPr>
      </w:pPr>
      <w:r w:rsidRPr="005E6618">
        <w:t xml:space="preserve">Regional sample surveys (using the survey and fix methodology of the Fixing Houses for Better Health program) must form a </w:t>
      </w:r>
      <w:r>
        <w:t>core part of the</w:t>
      </w:r>
      <w:r w:rsidRPr="005E6618">
        <w:t xml:space="preserve"> regional governance and monitoring strategy.</w:t>
      </w:r>
    </w:p>
    <w:p w:rsidR="00292380" w:rsidRPr="005E6618" w:rsidRDefault="00292380" w:rsidP="00292380">
      <w:pPr>
        <w:pStyle w:val="ListParagraph"/>
        <w:numPr>
          <w:ilvl w:val="0"/>
          <w:numId w:val="9"/>
        </w:numPr>
      </w:pPr>
      <w:r w:rsidRPr="005E6618">
        <w:t>Details about certification of properties (at all stages of building and for life after acceptance and tenanting) should be reported to the governance structure to ensure construction in remote communities is compliant with the appropriate building and certification standards and sub-standard builders are eliminated</w:t>
      </w:r>
      <w:r>
        <w:t>.</w:t>
      </w:r>
    </w:p>
    <w:p w:rsidR="00292380" w:rsidRPr="005E6618" w:rsidRDefault="00292380" w:rsidP="00292380">
      <w:pPr>
        <w:pStyle w:val="ListParagraph"/>
        <w:numPr>
          <w:ilvl w:val="0"/>
          <w:numId w:val="9"/>
        </w:numPr>
      </w:pPr>
      <w:r w:rsidRPr="005E6618">
        <w:t>The regional governance body should work with local employers to plan how to develop the local work force and create more local employment</w:t>
      </w:r>
      <w:r>
        <w:t>.</w:t>
      </w:r>
    </w:p>
    <w:p w:rsidR="00292380" w:rsidRPr="005E6618" w:rsidRDefault="00292380" w:rsidP="00292380">
      <w:pPr>
        <w:pStyle w:val="ListParagraph"/>
        <w:numPr>
          <w:ilvl w:val="0"/>
          <w:numId w:val="9"/>
        </w:numPr>
      </w:pPr>
      <w:r w:rsidRPr="005E6618">
        <w:t>Comprehensive planning across government</w:t>
      </w:r>
      <w:r>
        <w:t xml:space="preserve"> – </w:t>
      </w:r>
      <w:r w:rsidRPr="005E6618">
        <w:t>involving</w:t>
      </w:r>
      <w:r>
        <w:t xml:space="preserve"> </w:t>
      </w:r>
      <w:r w:rsidRPr="005E6618">
        <w:t>local communities</w:t>
      </w:r>
      <w:r>
        <w:t xml:space="preserve"> –</w:t>
      </w:r>
      <w:r w:rsidRPr="005E6618">
        <w:t xml:space="preserve"> is</w:t>
      </w:r>
      <w:r>
        <w:t xml:space="preserve"> </w:t>
      </w:r>
      <w:r w:rsidRPr="005E6618">
        <w:t>essential for the next remote Indigenous housing national program</w:t>
      </w:r>
      <w:r>
        <w:t>.</w:t>
      </w:r>
    </w:p>
    <w:p w:rsidR="00292380" w:rsidRPr="005E6618" w:rsidRDefault="00292380" w:rsidP="00292380">
      <w:pPr>
        <w:pStyle w:val="ListParagraph"/>
        <w:numPr>
          <w:ilvl w:val="0"/>
          <w:numId w:val="9"/>
        </w:numPr>
      </w:pPr>
      <w:r w:rsidRPr="005E6618">
        <w:t>Tenancy education programs should be implemented. Outreach services for tenancy tribunals to improve access in remote communities should be funded</w:t>
      </w:r>
      <w:r>
        <w:t>.</w:t>
      </w:r>
      <w:r w:rsidRPr="005E6618">
        <w:t xml:space="preserve"> </w:t>
      </w:r>
    </w:p>
    <w:p w:rsidR="00E01192" w:rsidRDefault="00E01192" w:rsidP="00042574">
      <w:pPr>
        <w:pStyle w:val="Bullet"/>
        <w:numPr>
          <w:ilvl w:val="0"/>
          <w:numId w:val="9"/>
        </w:numPr>
        <w:spacing w:before="120" w:after="120" w:line="240" w:lineRule="auto"/>
        <w:sectPr w:rsidR="00E01192" w:rsidSect="00C87F70">
          <w:footerReference w:type="even" r:id="rId20"/>
          <w:footerReference w:type="default" r:id="rId21"/>
          <w:pgSz w:w="11906" w:h="16838" w:code="9"/>
          <w:pgMar w:top="1985" w:right="1418" w:bottom="1843" w:left="1531" w:header="567" w:footer="567" w:gutter="0"/>
          <w:pgNumType w:start="1"/>
          <w:cols w:space="708"/>
          <w:docGrid w:linePitch="360"/>
        </w:sectPr>
      </w:pPr>
    </w:p>
    <w:p w:rsidR="00E01192" w:rsidRPr="00F64698" w:rsidRDefault="003E1003" w:rsidP="00211750">
      <w:pPr>
        <w:pStyle w:val="H3"/>
        <w:numPr>
          <w:ilvl w:val="0"/>
          <w:numId w:val="0"/>
        </w:numPr>
      </w:pPr>
      <w:bookmarkStart w:id="13" w:name="_Toc490218683"/>
      <w:r w:rsidRPr="00F64698">
        <w:lastRenderedPageBreak/>
        <w:t xml:space="preserve">Assessment of </w:t>
      </w:r>
      <w:r w:rsidR="0004739C">
        <w:t>jurisdiction</w:t>
      </w:r>
      <w:r w:rsidRPr="00F64698">
        <w:t>s’ performance against key objectives of the Strategy</w:t>
      </w:r>
      <w:bookmarkEnd w:id="13"/>
    </w:p>
    <w:tbl>
      <w:tblPr>
        <w:tblStyle w:val="NousTable"/>
        <w:tblW w:w="13672" w:type="dxa"/>
        <w:tblLook w:val="04A0" w:firstRow="1" w:lastRow="0" w:firstColumn="1" w:lastColumn="0" w:noHBand="0" w:noVBand="1"/>
        <w:tblCaption w:val="Assessment of states’ performance against key objectives of the Strategy"/>
        <w:tblDescription w:val="Assessment of states’ performance against key objectives of the Strategy, issues grouped by State"/>
      </w:tblPr>
      <w:tblGrid>
        <w:gridCol w:w="1834"/>
        <w:gridCol w:w="2517"/>
        <w:gridCol w:w="3402"/>
        <w:gridCol w:w="3119"/>
        <w:gridCol w:w="2800"/>
      </w:tblGrid>
      <w:tr w:rsidR="008D5C7E" w:rsidRPr="00995285" w:rsidTr="00995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995285" w:rsidRDefault="008D5C7E" w:rsidP="00211750">
            <w:pPr>
              <w:pStyle w:val="Heading5"/>
              <w:outlineLvl w:val="4"/>
            </w:pPr>
            <w:r w:rsidRPr="00995285">
              <w:t>Issue</w:t>
            </w:r>
          </w:p>
        </w:tc>
        <w:tc>
          <w:tcPr>
            <w:tcW w:w="2517" w:type="dxa"/>
            <w:shd w:val="clear" w:color="auto" w:fill="5CADFF" w:themeFill="text2" w:themeFillTint="66"/>
          </w:tcPr>
          <w:p w:rsidR="008D5C7E" w:rsidRPr="00995285" w:rsidRDefault="008D5C7E" w:rsidP="00211750">
            <w:pPr>
              <w:pStyle w:val="Heading5"/>
              <w:outlineLvl w:val="4"/>
              <w:cnfStyle w:val="100000000000" w:firstRow="1" w:lastRow="0" w:firstColumn="0" w:lastColumn="0" w:oddVBand="0" w:evenVBand="0" w:oddHBand="0" w:evenHBand="0" w:firstRowFirstColumn="0" w:firstRowLastColumn="0" w:lastRowFirstColumn="0" w:lastRowLastColumn="0"/>
            </w:pPr>
            <w:r w:rsidRPr="00995285">
              <w:t>Queensland</w:t>
            </w:r>
          </w:p>
        </w:tc>
        <w:tc>
          <w:tcPr>
            <w:tcW w:w="3402" w:type="dxa"/>
            <w:shd w:val="clear" w:color="auto" w:fill="5CADFF" w:themeFill="text2" w:themeFillTint="66"/>
          </w:tcPr>
          <w:p w:rsidR="008D5C7E" w:rsidRPr="00995285" w:rsidRDefault="00D358AC" w:rsidP="00211750">
            <w:pPr>
              <w:pStyle w:val="Heading5"/>
              <w:outlineLvl w:val="4"/>
              <w:cnfStyle w:val="100000000000" w:firstRow="1" w:lastRow="0" w:firstColumn="0" w:lastColumn="0" w:oddVBand="0" w:evenVBand="0" w:oddHBand="0" w:evenHBand="0" w:firstRowFirstColumn="0" w:firstRowLastColumn="0" w:lastRowFirstColumn="0" w:lastRowLastColumn="0"/>
            </w:pPr>
            <w:r w:rsidRPr="00995285">
              <w:t>Western Australia</w:t>
            </w:r>
          </w:p>
        </w:tc>
        <w:tc>
          <w:tcPr>
            <w:tcW w:w="3119" w:type="dxa"/>
            <w:shd w:val="clear" w:color="auto" w:fill="5CADFF" w:themeFill="text2" w:themeFillTint="66"/>
          </w:tcPr>
          <w:p w:rsidR="008D5C7E" w:rsidRPr="00995285" w:rsidRDefault="00D358AC" w:rsidP="00211750">
            <w:pPr>
              <w:pStyle w:val="Heading5"/>
              <w:outlineLvl w:val="4"/>
              <w:cnfStyle w:val="100000000000" w:firstRow="1" w:lastRow="0" w:firstColumn="0" w:lastColumn="0" w:oddVBand="0" w:evenVBand="0" w:oddHBand="0" w:evenHBand="0" w:firstRowFirstColumn="0" w:firstRowLastColumn="0" w:lastRowFirstColumn="0" w:lastRowLastColumn="0"/>
            </w:pPr>
            <w:r w:rsidRPr="00995285">
              <w:t>South Australia</w:t>
            </w:r>
          </w:p>
        </w:tc>
        <w:tc>
          <w:tcPr>
            <w:tcW w:w="2800" w:type="dxa"/>
            <w:shd w:val="clear" w:color="auto" w:fill="5CADFF" w:themeFill="text2" w:themeFillTint="66"/>
          </w:tcPr>
          <w:p w:rsidR="008D5C7E" w:rsidRPr="00995285" w:rsidRDefault="008D5C7E" w:rsidP="00211750">
            <w:pPr>
              <w:pStyle w:val="Heading5"/>
              <w:outlineLvl w:val="4"/>
              <w:cnfStyle w:val="100000000000" w:firstRow="1" w:lastRow="0" w:firstColumn="0" w:lastColumn="0" w:oddVBand="0" w:evenVBand="0" w:oddHBand="0" w:evenHBand="0" w:firstRowFirstColumn="0" w:firstRowLastColumn="0" w:lastRowFirstColumn="0" w:lastRowLastColumn="0"/>
            </w:pPr>
            <w:r w:rsidRPr="00995285">
              <w:t>Northern Territory</w:t>
            </w:r>
          </w:p>
        </w:tc>
      </w:tr>
      <w:tr w:rsidR="008D5C7E" w:rsidRPr="00995285" w:rsidTr="00995285">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C65A29" w:rsidRDefault="00995285" w:rsidP="005D56D1">
            <w:pPr>
              <w:pStyle w:val="Heading6"/>
              <w:outlineLvl w:val="5"/>
            </w:pPr>
            <w:r w:rsidRPr="00C65A29">
              <w:t>New b</w:t>
            </w:r>
            <w:r w:rsidR="001E5A27" w:rsidRPr="00C65A29">
              <w:t>uilds</w:t>
            </w:r>
            <w:r w:rsidR="001272D9" w:rsidRPr="00C65A29">
              <w:t>*</w:t>
            </w:r>
          </w:p>
        </w:tc>
        <w:tc>
          <w:tcPr>
            <w:tcW w:w="2517" w:type="dxa"/>
            <w:vAlign w:val="top"/>
          </w:tcPr>
          <w:p w:rsidR="008D5C7E" w:rsidRPr="00995285" w:rsidRDefault="001E5A27"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1,144 (+</w:t>
            </w:r>
            <w:r w:rsidR="00EB2748" w:rsidRPr="00995285">
              <w:rPr>
                <w:sz w:val="20"/>
                <w:szCs w:val="20"/>
              </w:rPr>
              <w:t>0</w:t>
            </w:r>
            <w:r w:rsidRPr="00995285">
              <w:rPr>
                <w:sz w:val="20"/>
                <w:szCs w:val="20"/>
              </w:rPr>
              <w:t>.26%)</w:t>
            </w:r>
          </w:p>
        </w:tc>
        <w:tc>
          <w:tcPr>
            <w:tcW w:w="3402"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 xml:space="preserve">841 </w:t>
            </w:r>
            <w:r w:rsidRPr="00995285">
              <w:rPr>
                <w:color w:val="FF0000"/>
                <w:sz w:val="20"/>
                <w:szCs w:val="20"/>
              </w:rPr>
              <w:t>(-16.</w:t>
            </w:r>
            <w:r w:rsidR="002D6198" w:rsidRPr="00995285">
              <w:rPr>
                <w:color w:val="FF0000"/>
                <w:sz w:val="20"/>
                <w:szCs w:val="20"/>
              </w:rPr>
              <w:t>90</w:t>
            </w:r>
            <w:r w:rsidRPr="00995285">
              <w:rPr>
                <w:color w:val="FF0000"/>
                <w:sz w:val="20"/>
                <w:szCs w:val="20"/>
              </w:rPr>
              <w:t>%)</w:t>
            </w:r>
          </w:p>
        </w:tc>
        <w:tc>
          <w:tcPr>
            <w:tcW w:w="3119"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256 (+6.</w:t>
            </w:r>
            <w:r w:rsidR="002D6198" w:rsidRPr="00995285">
              <w:rPr>
                <w:sz w:val="20"/>
                <w:szCs w:val="20"/>
              </w:rPr>
              <w:t>2</w:t>
            </w:r>
            <w:r w:rsidRPr="00995285">
              <w:rPr>
                <w:sz w:val="20"/>
                <w:szCs w:val="20"/>
              </w:rPr>
              <w:t>2%)</w:t>
            </w:r>
          </w:p>
        </w:tc>
        <w:tc>
          <w:tcPr>
            <w:tcW w:w="2800"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1</w:t>
            </w:r>
            <w:r w:rsidR="00995285" w:rsidRPr="00995285">
              <w:rPr>
                <w:sz w:val="20"/>
                <w:szCs w:val="20"/>
              </w:rPr>
              <w:t>,</w:t>
            </w:r>
            <w:r w:rsidRPr="00995285">
              <w:rPr>
                <w:sz w:val="20"/>
                <w:szCs w:val="20"/>
              </w:rPr>
              <w:t>504 (+3.</w:t>
            </w:r>
            <w:r w:rsidR="002D6198" w:rsidRPr="00995285">
              <w:rPr>
                <w:sz w:val="20"/>
                <w:szCs w:val="20"/>
              </w:rPr>
              <w:t>30</w:t>
            </w:r>
            <w:r w:rsidRPr="00995285">
              <w:rPr>
                <w:sz w:val="20"/>
                <w:szCs w:val="20"/>
              </w:rPr>
              <w:t>%)</w:t>
            </w:r>
          </w:p>
        </w:tc>
      </w:tr>
      <w:tr w:rsidR="008D5C7E" w:rsidRPr="00995285" w:rsidTr="00995285">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C65A29" w:rsidRDefault="001E5A27" w:rsidP="005D56D1">
            <w:pPr>
              <w:pStyle w:val="Heading6"/>
              <w:outlineLvl w:val="5"/>
            </w:pPr>
            <w:r w:rsidRPr="00C65A29">
              <w:t>Refurbishments</w:t>
            </w:r>
            <w:r w:rsidR="001272D9" w:rsidRPr="00C65A29">
              <w:t>*</w:t>
            </w:r>
          </w:p>
        </w:tc>
        <w:tc>
          <w:tcPr>
            <w:tcW w:w="2517"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1,490 (</w:t>
            </w:r>
            <w:r w:rsidR="001E5A27" w:rsidRPr="00995285">
              <w:rPr>
                <w:sz w:val="20"/>
                <w:szCs w:val="20"/>
              </w:rPr>
              <w:t>+22.53%)</w:t>
            </w:r>
          </w:p>
        </w:tc>
        <w:tc>
          <w:tcPr>
            <w:tcW w:w="3402" w:type="dxa"/>
            <w:vAlign w:val="top"/>
          </w:tcPr>
          <w:p w:rsidR="008D5C7E"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1</w:t>
            </w:r>
            <w:r w:rsidR="00995285" w:rsidRPr="00995285">
              <w:rPr>
                <w:sz w:val="20"/>
                <w:szCs w:val="20"/>
              </w:rPr>
              <w:t>,</w:t>
            </w:r>
            <w:r w:rsidRPr="00995285">
              <w:rPr>
                <w:sz w:val="20"/>
                <w:szCs w:val="20"/>
              </w:rPr>
              <w:t>742 (+35.2</w:t>
            </w:r>
            <w:r w:rsidR="002D6198" w:rsidRPr="00995285">
              <w:rPr>
                <w:sz w:val="20"/>
                <w:szCs w:val="20"/>
              </w:rPr>
              <w:t>5</w:t>
            </w:r>
            <w:r w:rsidRPr="00995285">
              <w:rPr>
                <w:sz w:val="20"/>
                <w:szCs w:val="20"/>
              </w:rPr>
              <w:t>%)</w:t>
            </w:r>
          </w:p>
        </w:tc>
        <w:tc>
          <w:tcPr>
            <w:tcW w:w="3119"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330 (+60.19%)</w:t>
            </w:r>
          </w:p>
        </w:tc>
        <w:tc>
          <w:tcPr>
            <w:tcW w:w="2800" w:type="dxa"/>
            <w:vAlign w:val="top"/>
          </w:tcPr>
          <w:p w:rsidR="008D5C7E" w:rsidRPr="00995285" w:rsidRDefault="00D358AC" w:rsidP="00995285">
            <w:pPr>
              <w:pStyle w:val="Bulle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2</w:t>
            </w:r>
            <w:r w:rsidR="00995285" w:rsidRPr="00995285">
              <w:rPr>
                <w:sz w:val="20"/>
                <w:szCs w:val="20"/>
              </w:rPr>
              <w:t>,</w:t>
            </w:r>
            <w:r w:rsidRPr="00995285">
              <w:rPr>
                <w:sz w:val="20"/>
                <w:szCs w:val="20"/>
              </w:rPr>
              <w:t>929 (</w:t>
            </w:r>
            <w:r w:rsidR="00A06D6D" w:rsidRPr="00995285">
              <w:rPr>
                <w:sz w:val="20"/>
                <w:szCs w:val="20"/>
              </w:rPr>
              <w:t>+</w:t>
            </w:r>
            <w:r w:rsidRPr="00995285">
              <w:rPr>
                <w:sz w:val="20"/>
                <w:szCs w:val="20"/>
              </w:rPr>
              <w:t>42.7</w:t>
            </w:r>
            <w:r w:rsidR="002D6198" w:rsidRPr="00995285">
              <w:rPr>
                <w:sz w:val="20"/>
                <w:szCs w:val="20"/>
              </w:rPr>
              <w:t>4</w:t>
            </w:r>
            <w:r w:rsidRPr="00995285">
              <w:rPr>
                <w:sz w:val="20"/>
                <w:szCs w:val="20"/>
              </w:rPr>
              <w:t>%)</w:t>
            </w:r>
          </w:p>
        </w:tc>
      </w:tr>
      <w:tr w:rsidR="008D5C7E" w:rsidRPr="00995285" w:rsidTr="00995285">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C65A29" w:rsidRDefault="008D5C7E" w:rsidP="005D56D1">
            <w:pPr>
              <w:pStyle w:val="Heading6"/>
              <w:outlineLvl w:val="5"/>
            </w:pPr>
            <w:r w:rsidRPr="00C65A29">
              <w:t xml:space="preserve">Housing </w:t>
            </w:r>
            <w:r w:rsidR="00995285" w:rsidRPr="00C65A29">
              <w:t>q</w:t>
            </w:r>
            <w:r w:rsidRPr="00C65A29">
              <w:t>uality</w:t>
            </w:r>
          </w:p>
        </w:tc>
        <w:tc>
          <w:tcPr>
            <w:tcW w:w="2517" w:type="dxa"/>
            <w:vAlign w:val="top"/>
          </w:tcPr>
          <w:p w:rsidR="008D5C7E" w:rsidRPr="00995285" w:rsidRDefault="00C2198B"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Good:</w:t>
            </w:r>
            <w:r w:rsidR="00D358AC" w:rsidRPr="00995285">
              <w:rPr>
                <w:b/>
                <w:sz w:val="20"/>
                <w:szCs w:val="20"/>
              </w:rPr>
              <w:t xml:space="preserve"> </w:t>
            </w:r>
            <w:r w:rsidRPr="00995285">
              <w:rPr>
                <w:sz w:val="20"/>
                <w:szCs w:val="20"/>
              </w:rPr>
              <w:t>A</w:t>
            </w:r>
            <w:r w:rsidR="008D5C7E" w:rsidRPr="00995285">
              <w:rPr>
                <w:sz w:val="20"/>
                <w:szCs w:val="20"/>
              </w:rPr>
              <w:t>fter some early challenges</w:t>
            </w:r>
          </w:p>
          <w:p w:rsidR="008D5C7E" w:rsidRPr="00995285" w:rsidRDefault="008D5C7E" w:rsidP="00995285">
            <w:pPr>
              <w:pStyle w:val="ListParagraph"/>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3402" w:type="dxa"/>
            <w:vAlign w:val="top"/>
          </w:tcPr>
          <w:p w:rsidR="00D358AC"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Poor</w:t>
            </w:r>
            <w:r w:rsidR="00C2198B" w:rsidRPr="00995285">
              <w:rPr>
                <w:rFonts w:eastAsia="Times New Roman"/>
                <w:b/>
                <w:sz w:val="20"/>
                <w:szCs w:val="20"/>
                <w:lang w:eastAsia="en-AU"/>
              </w:rPr>
              <w:t>:</w:t>
            </w:r>
            <w:r w:rsidR="001D0A16" w:rsidRPr="00995285">
              <w:rPr>
                <w:rFonts w:eastAsia="Times New Roman"/>
                <w:sz w:val="20"/>
                <w:szCs w:val="20"/>
                <w:lang w:eastAsia="en-AU"/>
              </w:rPr>
              <w:t xml:space="preserve"> </w:t>
            </w:r>
            <w:r w:rsidRPr="00995285">
              <w:rPr>
                <w:rFonts w:eastAsia="Times New Roman"/>
                <w:sz w:val="20"/>
                <w:szCs w:val="20"/>
                <w:lang w:eastAsia="en-AU"/>
              </w:rPr>
              <w:t>Construction quality consistently reported to be poor</w:t>
            </w:r>
          </w:p>
          <w:p w:rsidR="008D5C7E" w:rsidRPr="00995285" w:rsidRDefault="008D5C7E" w:rsidP="00995285">
            <w:pPr>
              <w:pStyle w:val="Bullet"/>
              <w:numPr>
                <w:ilvl w:val="0"/>
                <w:numId w:val="0"/>
              </w:numPr>
              <w:spacing w:before="12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119" w:type="dxa"/>
            <w:vAlign w:val="top"/>
          </w:tcPr>
          <w:p w:rsidR="00D358AC"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Good</w:t>
            </w:r>
            <w:r w:rsidR="00C2198B" w:rsidRPr="00995285">
              <w:rPr>
                <w:b/>
                <w:sz w:val="20"/>
                <w:szCs w:val="20"/>
              </w:rPr>
              <w:t xml:space="preserve">: </w:t>
            </w:r>
            <w:r w:rsidR="00C2198B" w:rsidRPr="00995285">
              <w:rPr>
                <w:sz w:val="20"/>
                <w:szCs w:val="20"/>
              </w:rPr>
              <w:t>Also</w:t>
            </w:r>
            <w:r w:rsidRPr="00995285">
              <w:rPr>
                <w:sz w:val="20"/>
                <w:szCs w:val="20"/>
              </w:rPr>
              <w:t xml:space="preserve"> well designed for communities</w:t>
            </w:r>
          </w:p>
          <w:p w:rsidR="008D5C7E" w:rsidRPr="00995285" w:rsidRDefault="008D5C7E"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800" w:type="dxa"/>
            <w:vAlign w:val="top"/>
          </w:tcPr>
          <w:p w:rsidR="008D5C7E" w:rsidRPr="00995285" w:rsidRDefault="001E5A27"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Good</w:t>
            </w:r>
            <w:r w:rsidR="00C2198B" w:rsidRPr="00995285">
              <w:rPr>
                <w:rFonts w:eastAsia="Times New Roman"/>
                <w:b/>
                <w:sz w:val="20"/>
                <w:szCs w:val="20"/>
                <w:lang w:eastAsia="en-AU"/>
              </w:rPr>
              <w:t>:</w:t>
            </w:r>
            <w:r w:rsidRPr="00995285">
              <w:rPr>
                <w:rFonts w:eastAsia="Times New Roman"/>
                <w:sz w:val="20"/>
                <w:szCs w:val="20"/>
                <w:lang w:eastAsia="en-AU"/>
              </w:rPr>
              <w:t xml:space="preserve"> </w:t>
            </w:r>
            <w:r w:rsidR="00C2198B" w:rsidRPr="00995285">
              <w:rPr>
                <w:rFonts w:eastAsia="Times New Roman"/>
                <w:sz w:val="20"/>
                <w:szCs w:val="20"/>
                <w:lang w:eastAsia="en-AU"/>
              </w:rPr>
              <w:t>W</w:t>
            </w:r>
            <w:r w:rsidR="008D5C7E" w:rsidRPr="00995285">
              <w:rPr>
                <w:rFonts w:eastAsia="Times New Roman"/>
                <w:sz w:val="20"/>
                <w:szCs w:val="20"/>
                <w:lang w:eastAsia="en-AU"/>
              </w:rPr>
              <w:t xml:space="preserve">ith a </w:t>
            </w:r>
            <w:r w:rsidRPr="00995285">
              <w:rPr>
                <w:rFonts w:eastAsia="Times New Roman"/>
                <w:sz w:val="20"/>
                <w:szCs w:val="20"/>
                <w:lang w:eastAsia="en-AU"/>
              </w:rPr>
              <w:t xml:space="preserve">strong focus now </w:t>
            </w:r>
            <w:r w:rsidR="008D5C7E" w:rsidRPr="00995285">
              <w:rPr>
                <w:rFonts w:eastAsia="Times New Roman"/>
                <w:sz w:val="20"/>
                <w:szCs w:val="20"/>
                <w:lang w:eastAsia="en-AU"/>
              </w:rPr>
              <w:t>on housing resilience</w:t>
            </w:r>
          </w:p>
          <w:p w:rsidR="008D5C7E" w:rsidRPr="00995285" w:rsidRDefault="008D5C7E" w:rsidP="00995285">
            <w:pPr>
              <w:spacing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p>
        </w:tc>
      </w:tr>
      <w:tr w:rsidR="008D5C7E" w:rsidRPr="00995285" w:rsidTr="00995285">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C65A29" w:rsidRDefault="00995285" w:rsidP="005D56D1">
            <w:pPr>
              <w:pStyle w:val="Heading6"/>
              <w:outlineLvl w:val="5"/>
            </w:pPr>
            <w:r w:rsidRPr="00C65A29">
              <w:t>Cyclical m</w:t>
            </w:r>
            <w:r w:rsidR="008D5C7E" w:rsidRPr="00C65A29">
              <w:t>aintenance</w:t>
            </w:r>
          </w:p>
        </w:tc>
        <w:tc>
          <w:tcPr>
            <w:tcW w:w="2517" w:type="dxa"/>
            <w:vAlign w:val="top"/>
          </w:tcPr>
          <w:p w:rsidR="008D5C7E" w:rsidRPr="00995285" w:rsidRDefault="00995285"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Good</w:t>
            </w:r>
            <w:r w:rsidR="00C2198B" w:rsidRPr="00995285">
              <w:rPr>
                <w:sz w:val="20"/>
                <w:szCs w:val="20"/>
              </w:rPr>
              <w:t>:</w:t>
            </w:r>
            <w:r w:rsidR="008D5C7E" w:rsidRPr="00995285">
              <w:rPr>
                <w:sz w:val="20"/>
                <w:szCs w:val="20"/>
              </w:rPr>
              <w:t xml:space="preserve"> </w:t>
            </w:r>
            <w:r w:rsidR="00C2198B" w:rsidRPr="00995285">
              <w:rPr>
                <w:sz w:val="20"/>
                <w:szCs w:val="20"/>
              </w:rPr>
              <w:t>S</w:t>
            </w:r>
            <w:r w:rsidR="008D5C7E" w:rsidRPr="00995285">
              <w:rPr>
                <w:sz w:val="20"/>
                <w:szCs w:val="20"/>
              </w:rPr>
              <w:t>ystem is robust and working well</w:t>
            </w:r>
          </w:p>
        </w:tc>
        <w:tc>
          <w:tcPr>
            <w:tcW w:w="3402" w:type="dxa"/>
            <w:vAlign w:val="top"/>
          </w:tcPr>
          <w:p w:rsidR="008D5C7E"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Poor</w:t>
            </w:r>
            <w:r w:rsidR="00C2198B" w:rsidRPr="00995285">
              <w:rPr>
                <w:rFonts w:eastAsia="Times New Roman"/>
                <w:b/>
                <w:sz w:val="20"/>
                <w:szCs w:val="20"/>
                <w:lang w:eastAsia="en-AU"/>
              </w:rPr>
              <w:t>:</w:t>
            </w:r>
            <w:r w:rsidRPr="00995285">
              <w:rPr>
                <w:rFonts w:eastAsia="Times New Roman"/>
                <w:sz w:val="20"/>
                <w:szCs w:val="20"/>
                <w:lang w:eastAsia="en-AU"/>
              </w:rPr>
              <w:t xml:space="preserve"> Repairs are taking too long to fix and there is no capacity for proactive works</w:t>
            </w:r>
          </w:p>
        </w:tc>
        <w:tc>
          <w:tcPr>
            <w:tcW w:w="3119" w:type="dxa"/>
            <w:vAlign w:val="top"/>
          </w:tcPr>
          <w:p w:rsidR="00D358AC"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Average</w:t>
            </w:r>
            <w:r w:rsidR="00C2198B" w:rsidRPr="00995285">
              <w:rPr>
                <w:b/>
                <w:sz w:val="20"/>
                <w:szCs w:val="20"/>
              </w:rPr>
              <w:t>:</w:t>
            </w:r>
            <w:r w:rsidRPr="00995285">
              <w:rPr>
                <w:sz w:val="20"/>
                <w:szCs w:val="20"/>
              </w:rPr>
              <w:t xml:space="preserve"> </w:t>
            </w:r>
            <w:r w:rsidR="00C2198B" w:rsidRPr="00995285">
              <w:rPr>
                <w:sz w:val="20"/>
                <w:szCs w:val="20"/>
              </w:rPr>
              <w:t>S</w:t>
            </w:r>
            <w:r w:rsidRPr="00995285">
              <w:rPr>
                <w:sz w:val="20"/>
                <w:szCs w:val="20"/>
              </w:rPr>
              <w:t>ome is in place.</w:t>
            </w:r>
          </w:p>
          <w:p w:rsidR="008D5C7E"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sz w:val="20"/>
                <w:szCs w:val="20"/>
              </w:rPr>
              <w:t xml:space="preserve">Rental arrears are extremely low but rent charges are </w:t>
            </w:r>
            <w:r w:rsidR="00257B55" w:rsidRPr="00995285">
              <w:rPr>
                <w:sz w:val="20"/>
                <w:szCs w:val="20"/>
              </w:rPr>
              <w:t>also very low</w:t>
            </w:r>
          </w:p>
        </w:tc>
        <w:tc>
          <w:tcPr>
            <w:tcW w:w="2800" w:type="dxa"/>
            <w:vAlign w:val="top"/>
          </w:tcPr>
          <w:p w:rsidR="008D5C7E" w:rsidRPr="00995285" w:rsidRDefault="00C2198B"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 xml:space="preserve">Poor: </w:t>
            </w:r>
            <w:r w:rsidR="001E5A27" w:rsidRPr="00995285">
              <w:rPr>
                <w:rFonts w:eastAsia="Times New Roman"/>
                <w:sz w:val="20"/>
                <w:szCs w:val="20"/>
                <w:lang w:eastAsia="en-AU"/>
              </w:rPr>
              <w:t xml:space="preserve">Needs further effort. Starting to </w:t>
            </w:r>
            <w:r w:rsidR="008D5C7E" w:rsidRPr="00995285">
              <w:rPr>
                <w:rFonts w:eastAsia="Times New Roman"/>
                <w:sz w:val="20"/>
                <w:szCs w:val="20"/>
                <w:lang w:eastAsia="en-AU"/>
              </w:rPr>
              <w:t xml:space="preserve">bundle works </w:t>
            </w:r>
            <w:r w:rsidR="001E5A27" w:rsidRPr="00995285">
              <w:rPr>
                <w:rFonts w:eastAsia="Times New Roman"/>
                <w:sz w:val="20"/>
                <w:szCs w:val="20"/>
                <w:lang w:eastAsia="en-AU"/>
              </w:rPr>
              <w:t xml:space="preserve">but </w:t>
            </w:r>
            <w:r w:rsidR="008D5C7E" w:rsidRPr="00995285">
              <w:rPr>
                <w:rFonts w:eastAsia="Times New Roman"/>
                <w:sz w:val="20"/>
                <w:szCs w:val="20"/>
                <w:lang w:eastAsia="en-AU"/>
              </w:rPr>
              <w:t>little evidence of proactive maintenance</w:t>
            </w:r>
          </w:p>
          <w:p w:rsidR="008D5C7E" w:rsidRPr="00995285" w:rsidRDefault="008D5C7E" w:rsidP="00995285">
            <w:pPr>
              <w:pStyle w:val="Bullet"/>
              <w:numPr>
                <w:ilvl w:val="0"/>
                <w:numId w:val="0"/>
              </w:numPr>
              <w:spacing w:before="12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D5C7E" w:rsidRPr="00995285" w:rsidTr="00995285">
        <w:tc>
          <w:tcPr>
            <w:cnfStyle w:val="001000000000" w:firstRow="0" w:lastRow="0" w:firstColumn="1" w:lastColumn="0" w:oddVBand="0" w:evenVBand="0" w:oddHBand="0" w:evenHBand="0" w:firstRowFirstColumn="0" w:firstRowLastColumn="0" w:lastRowFirstColumn="0" w:lastRowLastColumn="0"/>
            <w:tcW w:w="1834" w:type="dxa"/>
            <w:shd w:val="clear" w:color="auto" w:fill="5CADFF" w:themeFill="text2" w:themeFillTint="66"/>
            <w:vAlign w:val="top"/>
          </w:tcPr>
          <w:p w:rsidR="008D5C7E" w:rsidRPr="00C65A29" w:rsidRDefault="00995285" w:rsidP="005D56D1">
            <w:pPr>
              <w:pStyle w:val="Heading6"/>
              <w:outlineLvl w:val="5"/>
            </w:pPr>
            <w:r w:rsidRPr="00C65A29">
              <w:t>Community e</w:t>
            </w:r>
            <w:r w:rsidR="008D5C7E" w:rsidRPr="00C65A29">
              <w:t>ngagement</w:t>
            </w:r>
            <w:r w:rsidRPr="00C65A29">
              <w:t>, and</w:t>
            </w:r>
            <w:r w:rsidR="008D5C7E" w:rsidRPr="00C65A29">
              <w:t xml:space="preserve"> </w:t>
            </w:r>
            <w:r w:rsidRPr="00C65A29">
              <w:t>e</w:t>
            </w:r>
            <w:r w:rsidR="008D5C7E" w:rsidRPr="00C65A29">
              <w:t xml:space="preserve">mployment and </w:t>
            </w:r>
            <w:r w:rsidRPr="00C65A29">
              <w:t>b</w:t>
            </w:r>
            <w:r w:rsidR="008D5C7E" w:rsidRPr="00C65A29">
              <w:t>usiness initiatives</w:t>
            </w:r>
          </w:p>
        </w:tc>
        <w:tc>
          <w:tcPr>
            <w:tcW w:w="2517" w:type="dxa"/>
            <w:vAlign w:val="top"/>
          </w:tcPr>
          <w:p w:rsidR="008D5C7E"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Good</w:t>
            </w:r>
            <w:r w:rsidR="00C2198B" w:rsidRPr="00995285">
              <w:rPr>
                <w:b/>
                <w:sz w:val="20"/>
                <w:szCs w:val="20"/>
              </w:rPr>
              <w:t>:</w:t>
            </w:r>
            <w:r w:rsidRPr="00995285">
              <w:rPr>
                <w:sz w:val="20"/>
                <w:szCs w:val="20"/>
              </w:rPr>
              <w:t xml:space="preserve"> </w:t>
            </w:r>
            <w:r w:rsidR="00C2198B" w:rsidRPr="00995285">
              <w:rPr>
                <w:sz w:val="20"/>
                <w:szCs w:val="20"/>
              </w:rPr>
              <w:t>E</w:t>
            </w:r>
            <w:r w:rsidR="008D5C7E" w:rsidRPr="00995285">
              <w:rPr>
                <w:sz w:val="20"/>
                <w:szCs w:val="20"/>
              </w:rPr>
              <w:t>ngagement with local councils resulting in strong local employment</w:t>
            </w:r>
          </w:p>
          <w:p w:rsidR="008D5C7E" w:rsidRPr="00995285" w:rsidRDefault="008D5C7E" w:rsidP="00995285">
            <w:pPr>
              <w:pStyle w:val="Bullet"/>
              <w:numPr>
                <w:ilvl w:val="0"/>
                <w:numId w:val="0"/>
              </w:numPr>
              <w:spacing w:before="12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402" w:type="dxa"/>
            <w:vAlign w:val="top"/>
          </w:tcPr>
          <w:p w:rsidR="00D358AC"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Very limited</w:t>
            </w:r>
            <w:r w:rsidR="00C2198B" w:rsidRPr="00995285">
              <w:rPr>
                <w:rFonts w:eastAsia="Times New Roman"/>
                <w:b/>
                <w:sz w:val="20"/>
                <w:szCs w:val="20"/>
                <w:lang w:eastAsia="en-AU"/>
              </w:rPr>
              <w:t xml:space="preserve">: </w:t>
            </w:r>
            <w:r w:rsidR="00C2198B" w:rsidRPr="00995285">
              <w:rPr>
                <w:rFonts w:eastAsia="Times New Roman"/>
                <w:sz w:val="20"/>
                <w:szCs w:val="20"/>
                <w:lang w:eastAsia="en-AU"/>
              </w:rPr>
              <w:t>S</w:t>
            </w:r>
            <w:r w:rsidRPr="00995285">
              <w:rPr>
                <w:rFonts w:eastAsia="Times New Roman"/>
                <w:sz w:val="20"/>
                <w:szCs w:val="20"/>
                <w:lang w:eastAsia="en-AU"/>
              </w:rPr>
              <w:t xml:space="preserve">hort term, often menial local employment opportunities reported by communities </w:t>
            </w:r>
          </w:p>
          <w:p w:rsidR="008D5C7E" w:rsidRPr="00995285" w:rsidRDefault="008D5C7E" w:rsidP="00995285">
            <w:pPr>
              <w:pStyle w:val="Bullet"/>
              <w:numPr>
                <w:ilvl w:val="0"/>
                <w:numId w:val="0"/>
              </w:numPr>
              <w:spacing w:before="12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119" w:type="dxa"/>
            <w:vAlign w:val="top"/>
          </w:tcPr>
          <w:p w:rsidR="00D358AC" w:rsidRPr="00995285" w:rsidRDefault="00D358AC"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95285">
              <w:rPr>
                <w:b/>
                <w:sz w:val="20"/>
                <w:szCs w:val="20"/>
              </w:rPr>
              <w:t xml:space="preserve">More </w:t>
            </w:r>
            <w:r w:rsidR="00AC1C60" w:rsidRPr="00995285">
              <w:rPr>
                <w:b/>
                <w:sz w:val="20"/>
                <w:szCs w:val="20"/>
              </w:rPr>
              <w:t>work needed</w:t>
            </w:r>
            <w:r w:rsidR="00C2198B" w:rsidRPr="00995285">
              <w:rPr>
                <w:b/>
                <w:sz w:val="20"/>
                <w:szCs w:val="20"/>
              </w:rPr>
              <w:t>:</w:t>
            </w:r>
            <w:r w:rsidRPr="00995285">
              <w:rPr>
                <w:sz w:val="20"/>
                <w:szCs w:val="20"/>
              </w:rPr>
              <w:t xml:space="preserve"> </w:t>
            </w:r>
            <w:r w:rsidR="00C2198B" w:rsidRPr="00995285">
              <w:rPr>
                <w:sz w:val="20"/>
                <w:szCs w:val="20"/>
              </w:rPr>
              <w:t>O</w:t>
            </w:r>
            <w:r w:rsidRPr="00995285">
              <w:rPr>
                <w:sz w:val="20"/>
                <w:szCs w:val="20"/>
              </w:rPr>
              <w:t>n local employment and business but initiatives are being put in place to improve these outcomes</w:t>
            </w:r>
          </w:p>
          <w:p w:rsidR="008D5C7E" w:rsidRPr="00995285" w:rsidRDefault="008D5C7E"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800" w:type="dxa"/>
            <w:vAlign w:val="top"/>
          </w:tcPr>
          <w:p w:rsidR="008D5C7E" w:rsidRDefault="00AC1C60" w:rsidP="009952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995285">
              <w:rPr>
                <w:rFonts w:eastAsia="Times New Roman"/>
                <w:b/>
                <w:sz w:val="20"/>
                <w:szCs w:val="20"/>
                <w:lang w:eastAsia="en-AU"/>
              </w:rPr>
              <w:t>More work needed</w:t>
            </w:r>
            <w:r w:rsidR="00C2198B" w:rsidRPr="00995285">
              <w:rPr>
                <w:rFonts w:eastAsia="Times New Roman"/>
                <w:b/>
                <w:sz w:val="20"/>
                <w:szCs w:val="20"/>
                <w:lang w:eastAsia="en-AU"/>
              </w:rPr>
              <w:t>:</w:t>
            </w:r>
            <w:r w:rsidRPr="00995285">
              <w:rPr>
                <w:rFonts w:eastAsia="Times New Roman"/>
                <w:sz w:val="20"/>
                <w:szCs w:val="20"/>
                <w:lang w:eastAsia="en-AU"/>
              </w:rPr>
              <w:t xml:space="preserve"> </w:t>
            </w:r>
            <w:r w:rsidR="00C2198B" w:rsidRPr="00995285">
              <w:rPr>
                <w:rFonts w:eastAsia="Times New Roman"/>
                <w:sz w:val="20"/>
                <w:szCs w:val="20"/>
                <w:lang w:eastAsia="en-AU"/>
              </w:rPr>
              <w:t>T</w:t>
            </w:r>
            <w:r w:rsidRPr="00995285">
              <w:rPr>
                <w:rFonts w:eastAsia="Times New Roman"/>
                <w:sz w:val="20"/>
                <w:szCs w:val="20"/>
                <w:lang w:eastAsia="en-AU"/>
              </w:rPr>
              <w:t xml:space="preserve">o focus on local employment. </w:t>
            </w:r>
            <w:r w:rsidR="008D5C7E" w:rsidRPr="00995285">
              <w:rPr>
                <w:rFonts w:eastAsia="Times New Roman"/>
                <w:sz w:val="20"/>
                <w:szCs w:val="20"/>
                <w:lang w:eastAsia="en-AU"/>
              </w:rPr>
              <w:t>This should improve with new longer term contracts and the Remote Jobs Contracting Policy</w:t>
            </w:r>
            <w:r w:rsidRPr="00995285">
              <w:rPr>
                <w:rFonts w:eastAsia="Times New Roman"/>
                <w:sz w:val="20"/>
                <w:szCs w:val="20"/>
                <w:lang w:eastAsia="en-AU"/>
              </w:rPr>
              <w:t xml:space="preserve"> </w:t>
            </w:r>
          </w:p>
          <w:p w:rsidR="00995285" w:rsidRPr="00995285" w:rsidRDefault="00995285" w:rsidP="0099528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bl>
    <w:p w:rsidR="001272D9" w:rsidRDefault="001272D9" w:rsidP="001E5A27">
      <w:pPr>
        <w:spacing w:after="120" w:line="240" w:lineRule="auto"/>
      </w:pPr>
      <w:r>
        <w:t>*Achievement against Strategy targets</w:t>
      </w:r>
    </w:p>
    <w:p w:rsidR="008D5C7E" w:rsidRDefault="008D5C7E" w:rsidP="001E5A27">
      <w:pPr>
        <w:spacing w:after="120" w:line="240" w:lineRule="auto"/>
        <w:sectPr w:rsidR="008D5C7E" w:rsidSect="00E01192">
          <w:pgSz w:w="16838" w:h="11906" w:orient="landscape" w:code="9"/>
          <w:pgMar w:top="1531" w:right="1985" w:bottom="1418" w:left="1843" w:header="567" w:footer="567" w:gutter="0"/>
          <w:cols w:space="708"/>
          <w:docGrid w:linePitch="360"/>
        </w:sectPr>
      </w:pPr>
    </w:p>
    <w:p w:rsidR="00E02055" w:rsidRPr="00C65A29" w:rsidRDefault="00627AAC" w:rsidP="00627AAC">
      <w:pPr>
        <w:pStyle w:val="H2"/>
        <w:numPr>
          <w:ilvl w:val="0"/>
          <w:numId w:val="38"/>
        </w:numPr>
        <w:ind w:left="426" w:hanging="426"/>
      </w:pPr>
      <w:bookmarkStart w:id="14" w:name="_Toc490218684"/>
      <w:bookmarkStart w:id="15" w:name="_Toc476644143"/>
      <w:bookmarkStart w:id="16" w:name="_Toc476650836"/>
      <w:bookmarkStart w:id="17" w:name="_Toc476658496"/>
      <w:bookmarkStart w:id="18" w:name="_Toc476659199"/>
      <w:bookmarkStart w:id="19" w:name="_Toc476661005"/>
      <w:bookmarkStart w:id="20" w:name="_Toc476663401"/>
      <w:bookmarkStart w:id="21" w:name="_Toc476669843"/>
      <w:bookmarkStart w:id="22" w:name="_Toc476665858"/>
      <w:bookmarkStart w:id="23" w:name="_Toc476671333"/>
      <w:bookmarkStart w:id="24" w:name="_Toc476676491"/>
      <w:bookmarkStart w:id="25" w:name="_Toc476677773"/>
      <w:bookmarkStart w:id="26" w:name="_Toc476678207"/>
      <w:r>
        <w:lastRenderedPageBreak/>
        <w:t>Introduction</w:t>
      </w:r>
      <w:bookmarkStart w:id="27" w:name="introduction"/>
      <w:bookmarkEnd w:id="27"/>
      <w:bookmarkEnd w:id="14"/>
    </w:p>
    <w:p w:rsidR="00E02055" w:rsidRPr="00E02055" w:rsidRDefault="00E02055" w:rsidP="002E776B">
      <w:r w:rsidRPr="00E02055">
        <w:t xml:space="preserve">The Remote Housing Review (the Review) was commissioned in October 2016 by the Commonwealth Minister for Indigenous Affairs, Senator the Hon Nigel Scullion. </w:t>
      </w:r>
    </w:p>
    <w:p w:rsidR="00E02055" w:rsidRPr="00E02055" w:rsidRDefault="00E02055" w:rsidP="002E776B">
      <w:r w:rsidRPr="00E02055">
        <w:t xml:space="preserve">The Review examines the performance and outcomes of the National Partnership Agreement on Remote Indigenous Housing (NPARIH) and the Remote Housing Strategy (the Strategy), which followed it. Together they will invest $5.4 billion of Commonwealth funding in remote Indigenous housing by 2018. Their aim is to address overcrowding, poor housing condition and severe housing shortage in remote Indigenous communities within 10 years to June 2018. </w:t>
      </w:r>
    </w:p>
    <w:p w:rsidR="00E02055" w:rsidRDefault="00E02055" w:rsidP="002E776B">
      <w:r w:rsidRPr="00E02055">
        <w:t xml:space="preserve">In this introduction chapter we start by outlining the history of Commonwealth investment in remote Indigenous housing. We then move on to identifying a number of lessons </w:t>
      </w:r>
      <w:r w:rsidR="003376F8">
        <w:t>learned</w:t>
      </w:r>
      <w:r w:rsidRPr="00E02055">
        <w:t xml:space="preserve"> from these successive national programs. We set out the objectives under NPARIH and subsequently the Strategy, which were shaped by a number of these historic lessons.</w:t>
      </w:r>
    </w:p>
    <w:p w:rsidR="00257B55" w:rsidRPr="00E02055" w:rsidRDefault="00641FF8" w:rsidP="002E776B">
      <w:r>
        <w:t>Through this report we use ‘</w:t>
      </w:r>
      <w:r w:rsidR="00257B55">
        <w:t>the Strategy</w:t>
      </w:r>
      <w:r>
        <w:t>’</w:t>
      </w:r>
      <w:r w:rsidR="00257B55">
        <w:t xml:space="preserve"> as a less cumbersome way to refer to the combination of NPARIH and the Strategy, except where it is clear in the text that we are making a specific point about the </w:t>
      </w:r>
      <w:r w:rsidR="00815B90">
        <w:t xml:space="preserve">NPARIH or </w:t>
      </w:r>
      <w:r w:rsidR="00257B55">
        <w:t>revised Strategy signed in 2016.</w:t>
      </w:r>
    </w:p>
    <w:p w:rsidR="00E02055" w:rsidRPr="00C65A29" w:rsidRDefault="00E02055" w:rsidP="00B02D35">
      <w:pPr>
        <w:pStyle w:val="Heading2"/>
        <w:numPr>
          <w:ilvl w:val="1"/>
          <w:numId w:val="39"/>
        </w:numPr>
      </w:pPr>
      <w:bookmarkStart w:id="28" w:name="_Toc477178058"/>
      <w:bookmarkStart w:id="29" w:name="_Toc477248697"/>
      <w:bookmarkStart w:id="30" w:name="_Toc477252683"/>
      <w:bookmarkStart w:id="31" w:name="_Toc490218685"/>
      <w:r w:rsidRPr="00C65A29">
        <w:t>Background</w:t>
      </w:r>
      <w:bookmarkEnd w:id="28"/>
      <w:bookmarkEnd w:id="29"/>
      <w:bookmarkEnd w:id="30"/>
      <w:bookmarkEnd w:id="31"/>
    </w:p>
    <w:p w:rsidR="00E02055" w:rsidRPr="00E02055" w:rsidRDefault="00954BA7" w:rsidP="002E776B">
      <w:r>
        <w:t xml:space="preserve">In </w:t>
      </w:r>
      <w:r w:rsidR="00E02055" w:rsidRPr="00E02055">
        <w:t xml:space="preserve">1967 the Australian Constitution was amended to give the </w:t>
      </w:r>
      <w:r>
        <w:t>F</w:t>
      </w:r>
      <w:r w:rsidR="00E02055" w:rsidRPr="00E02055">
        <w:t>ederal Parliament the power to make laws relating to Aboriginal and Torres Strait Islander people. The Commonwealth first provided funding for Indigenous housing programs in 1968. Over th</w:t>
      </w:r>
      <w:r w:rsidR="00C573DC">
        <w:t xml:space="preserve">e </w:t>
      </w:r>
      <w:r w:rsidR="00E02055" w:rsidRPr="00E02055">
        <w:t xml:space="preserve">50 year period to 2018 it has invested a total of $9.047 billion, more than half of which has been provided under the programs being evaluated in this Review. </w:t>
      </w:r>
    </w:p>
    <w:p w:rsidR="00E02055" w:rsidRPr="00211750" w:rsidRDefault="009073D5" w:rsidP="00F3240A">
      <w:pPr>
        <w:pStyle w:val="tbsfigs"/>
      </w:pPr>
      <w:r w:rsidRPr="00211750">
        <w:lastRenderedPageBreak/>
        <w:t>Table</w:t>
      </w:r>
      <w:r w:rsidR="00E02055" w:rsidRPr="00211750">
        <w:t xml:space="preserve"> 1.1– History of Commonwealth investment in Indigenous housing</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w:tblDescription w:val="Table 1.1 shows Commonwealth investment in Indigenous Housing programs (in $ millions) between 1967 and 2018."/>
      </w:tblPr>
      <w:tblGrid>
        <w:gridCol w:w="7099"/>
        <w:gridCol w:w="1275"/>
        <w:gridCol w:w="1418"/>
      </w:tblGrid>
      <w:tr w:rsidR="00E02055" w:rsidRPr="00E02055" w:rsidTr="00710723">
        <w:trPr>
          <w:tblHeader/>
        </w:trPr>
        <w:tc>
          <w:tcPr>
            <w:tcW w:w="7099" w:type="dxa"/>
            <w:shd w:val="clear" w:color="auto" w:fill="5CADFF" w:themeFill="text2" w:themeFillTint="66"/>
          </w:tcPr>
          <w:p w:rsidR="00E02055" w:rsidRPr="00E02055" w:rsidRDefault="00E02055" w:rsidP="004C115D">
            <w:pPr>
              <w:pStyle w:val="Heading6"/>
            </w:pPr>
            <w:r w:rsidRPr="00E02055">
              <w:t>Program</w:t>
            </w:r>
          </w:p>
        </w:tc>
        <w:tc>
          <w:tcPr>
            <w:tcW w:w="1275" w:type="dxa"/>
            <w:shd w:val="clear" w:color="auto" w:fill="5CADFF" w:themeFill="text2" w:themeFillTint="66"/>
          </w:tcPr>
          <w:p w:rsidR="00E02055" w:rsidRPr="00E02055" w:rsidRDefault="00E02055" w:rsidP="004C115D">
            <w:pPr>
              <w:pStyle w:val="Heading6"/>
              <w:rPr>
                <w:rFonts w:cstheme="minorHAnsi"/>
                <w:sz w:val="20"/>
                <w:szCs w:val="20"/>
              </w:rPr>
            </w:pPr>
            <w:r w:rsidRPr="00E02055">
              <w:rPr>
                <w:rFonts w:cstheme="minorHAnsi"/>
                <w:sz w:val="20"/>
                <w:szCs w:val="20"/>
              </w:rPr>
              <w:t>Year of investment</w:t>
            </w:r>
          </w:p>
        </w:tc>
        <w:tc>
          <w:tcPr>
            <w:tcW w:w="1418" w:type="dxa"/>
            <w:shd w:val="clear" w:color="auto" w:fill="5CADFF" w:themeFill="text2" w:themeFillTint="66"/>
          </w:tcPr>
          <w:p w:rsidR="00E02055" w:rsidRPr="00E02055" w:rsidRDefault="00E02055" w:rsidP="004C115D">
            <w:pPr>
              <w:pStyle w:val="Heading6"/>
              <w:rPr>
                <w:rFonts w:cstheme="minorHAnsi"/>
                <w:sz w:val="20"/>
                <w:szCs w:val="20"/>
              </w:rPr>
            </w:pPr>
            <w:r w:rsidRPr="00E02055">
              <w:rPr>
                <w:rFonts w:cstheme="minorHAnsi"/>
                <w:sz w:val="20"/>
                <w:szCs w:val="20"/>
              </w:rPr>
              <w:t>Funding investment</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Ad hoc investment</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1968-1972</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$10.4 million</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 xml:space="preserve">Direct community grants (1972-1980) and </w:t>
            </w:r>
            <w:r w:rsidR="0004739C">
              <w:rPr>
                <w:rFonts w:eastAsiaTheme="majorEastAsia" w:cstheme="minorHAnsi"/>
                <w:bCs/>
                <w:sz w:val="20"/>
                <w:szCs w:val="20"/>
              </w:rPr>
              <w:t>jurisdiction</w:t>
            </w:r>
            <w:r w:rsidRPr="00E02055">
              <w:rPr>
                <w:rFonts w:eastAsiaTheme="majorEastAsia" w:cstheme="minorHAnsi"/>
                <w:bCs/>
                <w:sz w:val="20"/>
                <w:szCs w:val="20"/>
              </w:rPr>
              <w:t xml:space="preserve"> grants (1980-1990), including the Town Camps Assistance Program </w:t>
            </w:r>
          </w:p>
          <w:p w:rsidR="00E02055" w:rsidRPr="00E02055" w:rsidRDefault="00E02055" w:rsidP="00995285">
            <w:pPr>
              <w:numPr>
                <w:ilvl w:val="0"/>
                <w:numId w:val="11"/>
              </w:numPr>
              <w:spacing w:after="60"/>
              <w:contextualSpacing/>
              <w:rPr>
                <w:rFonts w:eastAsiaTheme="majorEastAsia" w:cstheme="minorHAnsi"/>
                <w:bCs/>
                <w:sz w:val="20"/>
                <w:szCs w:val="20"/>
              </w:rPr>
            </w:pPr>
            <w:r w:rsidRPr="00E02055">
              <w:rPr>
                <w:rFonts w:eastAsiaTheme="majorEastAsia" w:cstheme="minorHAnsi"/>
                <w:bCs/>
                <w:sz w:val="20"/>
                <w:szCs w:val="20"/>
              </w:rPr>
              <w:t xml:space="preserve">Delivered by the Department of Aboriginal Affairs </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1972-1990</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$219.1 million</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 xml:space="preserve">Community Housing and Infrastructure Program (CHIP)/Rental Accommodation Program </w:t>
            </w:r>
          </w:p>
          <w:p w:rsidR="00E02055" w:rsidRPr="00E02055" w:rsidRDefault="00E02055" w:rsidP="00042574">
            <w:pPr>
              <w:numPr>
                <w:ilvl w:val="0"/>
                <w:numId w:val="11"/>
              </w:numPr>
              <w:spacing w:after="60"/>
              <w:contextualSpacing/>
              <w:rPr>
                <w:rFonts w:eastAsiaTheme="majorEastAsia" w:cstheme="minorHAnsi"/>
                <w:bCs/>
                <w:sz w:val="20"/>
                <w:szCs w:val="20"/>
              </w:rPr>
            </w:pPr>
            <w:r w:rsidRPr="00E02055">
              <w:rPr>
                <w:rFonts w:eastAsiaTheme="majorEastAsia" w:cstheme="minorHAnsi"/>
                <w:bCs/>
                <w:sz w:val="20"/>
                <w:szCs w:val="20"/>
              </w:rPr>
              <w:t xml:space="preserve">Delivered by the Aboriginal Development Commission </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1980-1990</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$350.9 million</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CHIP/National Aboriginal Health Strategy (NAHS) since 1992-93</w:t>
            </w:r>
          </w:p>
          <w:p w:rsidR="00E02055" w:rsidRPr="00E02055" w:rsidRDefault="00E02055" w:rsidP="00995285">
            <w:pPr>
              <w:keepNext/>
              <w:keepLines/>
              <w:spacing w:after="60"/>
              <w:rPr>
                <w:rFonts w:eastAsiaTheme="majorEastAsia" w:cstheme="minorHAnsi"/>
                <w:bCs/>
                <w:sz w:val="20"/>
                <w:szCs w:val="20"/>
              </w:rPr>
            </w:pPr>
            <w:r w:rsidRPr="00E02055">
              <w:rPr>
                <w:rFonts w:eastAsiaTheme="majorEastAsia" w:cstheme="minorHAnsi"/>
                <w:bCs/>
                <w:sz w:val="20"/>
                <w:szCs w:val="20"/>
              </w:rPr>
              <w:t>Delivered by:</w:t>
            </w:r>
          </w:p>
          <w:p w:rsidR="00E02055" w:rsidRPr="00E02055" w:rsidRDefault="00E02055" w:rsidP="00995285">
            <w:pPr>
              <w:keepNext/>
              <w:keepLines/>
              <w:numPr>
                <w:ilvl w:val="0"/>
                <w:numId w:val="10"/>
              </w:numPr>
              <w:spacing w:after="60"/>
              <w:ind w:left="873" w:hanging="426"/>
              <w:contextualSpacing/>
              <w:rPr>
                <w:rFonts w:eastAsiaTheme="majorEastAsia" w:cstheme="minorHAnsi"/>
                <w:bCs/>
                <w:sz w:val="20"/>
                <w:szCs w:val="20"/>
              </w:rPr>
            </w:pPr>
            <w:r w:rsidRPr="00E02055">
              <w:rPr>
                <w:rFonts w:eastAsiaTheme="majorEastAsia" w:cstheme="minorHAnsi"/>
                <w:bCs/>
                <w:sz w:val="20"/>
                <w:szCs w:val="20"/>
              </w:rPr>
              <w:t>Aboriginal and Torres Strait Islander Commission (AITSIC) (1990-2003)</w:t>
            </w:r>
          </w:p>
          <w:p w:rsidR="00E02055" w:rsidRPr="00E02055" w:rsidRDefault="00E02055" w:rsidP="00042574">
            <w:pPr>
              <w:numPr>
                <w:ilvl w:val="0"/>
                <w:numId w:val="10"/>
              </w:numPr>
              <w:spacing w:after="60"/>
              <w:ind w:left="873" w:hanging="426"/>
              <w:contextualSpacing/>
              <w:rPr>
                <w:rFonts w:eastAsiaTheme="majorEastAsia" w:cstheme="minorHAnsi"/>
                <w:bCs/>
                <w:sz w:val="20"/>
                <w:szCs w:val="20"/>
              </w:rPr>
            </w:pPr>
            <w:r w:rsidRPr="00E02055">
              <w:rPr>
                <w:rFonts w:eastAsiaTheme="majorEastAsia" w:cstheme="minorHAnsi"/>
                <w:bCs/>
                <w:sz w:val="20"/>
                <w:szCs w:val="20"/>
              </w:rPr>
              <w:t>Aboriginal and Torres Strait Islander Services (ATSIS) (2003-2005)</w:t>
            </w:r>
          </w:p>
          <w:p w:rsidR="00E02055" w:rsidRPr="00E02055" w:rsidRDefault="00995285" w:rsidP="00042574">
            <w:pPr>
              <w:numPr>
                <w:ilvl w:val="0"/>
                <w:numId w:val="10"/>
              </w:numPr>
              <w:spacing w:after="60"/>
              <w:ind w:left="873" w:hanging="426"/>
              <w:contextualSpacing/>
              <w:rPr>
                <w:rFonts w:eastAsiaTheme="majorEastAsia" w:cstheme="minorHAnsi"/>
                <w:bCs/>
                <w:sz w:val="20"/>
                <w:szCs w:val="20"/>
              </w:rPr>
            </w:pPr>
            <w:r>
              <w:rPr>
                <w:rFonts w:eastAsiaTheme="majorEastAsia" w:cstheme="minorHAnsi"/>
                <w:bCs/>
                <w:sz w:val="20"/>
                <w:szCs w:val="20"/>
              </w:rPr>
              <w:t xml:space="preserve">The </w:t>
            </w:r>
            <w:r w:rsidR="00E02055" w:rsidRPr="00E02055">
              <w:rPr>
                <w:rFonts w:eastAsiaTheme="majorEastAsia" w:cstheme="minorHAnsi"/>
                <w:bCs/>
                <w:sz w:val="20"/>
                <w:szCs w:val="20"/>
              </w:rPr>
              <w:t>Department of Families, Housing, Community Services and Indigenous Affairs (FaHCSIA) (and predecessor departments) (2005-2007)</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1990-2007</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$2.210 billion</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Australian Remote Indigenous Accommodation Program (ARIA)/Strategic Indigenous Housing and Infrastructure Program (SIHIP)</w:t>
            </w:r>
          </w:p>
          <w:p w:rsidR="00E02055" w:rsidRPr="00E02055" w:rsidRDefault="00E02055" w:rsidP="00042574">
            <w:pPr>
              <w:numPr>
                <w:ilvl w:val="0"/>
                <w:numId w:val="10"/>
              </w:numPr>
              <w:spacing w:after="60"/>
              <w:ind w:left="873" w:hanging="426"/>
              <w:contextualSpacing/>
              <w:rPr>
                <w:rFonts w:eastAsiaTheme="majorEastAsia" w:cstheme="minorHAnsi"/>
                <w:bCs/>
                <w:sz w:val="20"/>
                <w:szCs w:val="20"/>
              </w:rPr>
            </w:pPr>
            <w:r w:rsidRPr="00E02055">
              <w:rPr>
                <w:rFonts w:eastAsiaTheme="majorEastAsia" w:cstheme="minorHAnsi"/>
                <w:bCs/>
                <w:sz w:val="20"/>
                <w:szCs w:val="20"/>
              </w:rPr>
              <w:t>Delivered by FaHCSIA</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2007-2009</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$780.1 million</w:t>
            </w:r>
          </w:p>
        </w:tc>
      </w:tr>
      <w:tr w:rsidR="00E02055" w:rsidRPr="00E02055" w:rsidTr="00710723">
        <w:trPr>
          <w:tblHeader/>
        </w:trPr>
        <w:tc>
          <w:tcPr>
            <w:tcW w:w="7099" w:type="dxa"/>
          </w:tcPr>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NPARIH/Strategy</w:t>
            </w:r>
          </w:p>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Stronger Futures in the Northern Territory/National Partnership on Northern Territory Remote Aboriginal Investment (2012-2018)</w:t>
            </w:r>
          </w:p>
          <w:p w:rsidR="00E02055" w:rsidRPr="00E02055" w:rsidRDefault="00E02055" w:rsidP="00E02055">
            <w:pPr>
              <w:spacing w:after="60"/>
              <w:rPr>
                <w:rFonts w:eastAsiaTheme="majorEastAsia" w:cstheme="minorHAnsi"/>
                <w:bCs/>
                <w:sz w:val="20"/>
                <w:szCs w:val="20"/>
              </w:rPr>
            </w:pPr>
            <w:r w:rsidRPr="00E02055">
              <w:rPr>
                <w:rFonts w:eastAsiaTheme="majorEastAsia" w:cstheme="minorHAnsi"/>
                <w:bCs/>
                <w:sz w:val="20"/>
                <w:szCs w:val="20"/>
              </w:rPr>
              <w:t>Delivered by:</w:t>
            </w:r>
          </w:p>
          <w:p w:rsidR="00E02055" w:rsidRPr="00E02055" w:rsidRDefault="00E02055" w:rsidP="00042574">
            <w:pPr>
              <w:numPr>
                <w:ilvl w:val="0"/>
                <w:numId w:val="10"/>
              </w:numPr>
              <w:spacing w:after="60"/>
              <w:ind w:left="873" w:hanging="426"/>
              <w:contextualSpacing/>
              <w:rPr>
                <w:rFonts w:eastAsiaTheme="majorEastAsia" w:cstheme="minorHAnsi"/>
                <w:bCs/>
                <w:sz w:val="20"/>
                <w:szCs w:val="20"/>
              </w:rPr>
            </w:pPr>
            <w:r w:rsidRPr="00E02055">
              <w:rPr>
                <w:rFonts w:eastAsiaTheme="majorEastAsia" w:cstheme="minorHAnsi"/>
                <w:bCs/>
                <w:sz w:val="20"/>
                <w:szCs w:val="20"/>
              </w:rPr>
              <w:t>FaHCSIA (2008-2013)</w:t>
            </w:r>
          </w:p>
          <w:p w:rsidR="00E02055" w:rsidRPr="00E02055" w:rsidRDefault="00E02055" w:rsidP="00042574">
            <w:pPr>
              <w:numPr>
                <w:ilvl w:val="0"/>
                <w:numId w:val="10"/>
              </w:numPr>
              <w:spacing w:after="60"/>
              <w:ind w:left="873" w:hanging="426"/>
              <w:contextualSpacing/>
              <w:rPr>
                <w:rFonts w:eastAsiaTheme="majorEastAsia" w:cstheme="minorHAnsi"/>
                <w:bCs/>
                <w:sz w:val="20"/>
                <w:szCs w:val="20"/>
              </w:rPr>
            </w:pPr>
            <w:r w:rsidRPr="00E02055">
              <w:rPr>
                <w:rFonts w:eastAsiaTheme="majorEastAsia" w:cstheme="minorHAnsi"/>
                <w:bCs/>
                <w:sz w:val="20"/>
                <w:szCs w:val="20"/>
              </w:rPr>
              <w:t>The Department of the Prime Minister and Cabinet (2013-currrent)</w:t>
            </w:r>
          </w:p>
        </w:tc>
        <w:tc>
          <w:tcPr>
            <w:tcW w:w="1275"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2008-2018</w:t>
            </w:r>
          </w:p>
        </w:tc>
        <w:tc>
          <w:tcPr>
            <w:tcW w:w="1418" w:type="dxa"/>
          </w:tcPr>
          <w:p w:rsidR="00E02055" w:rsidRPr="00E02055" w:rsidRDefault="00E02055" w:rsidP="00E02055">
            <w:pPr>
              <w:rPr>
                <w:rFonts w:eastAsiaTheme="majorEastAsia" w:cstheme="minorHAnsi"/>
                <w:bCs/>
                <w:sz w:val="20"/>
                <w:szCs w:val="20"/>
              </w:rPr>
            </w:pPr>
            <w:r w:rsidRPr="00E02055">
              <w:rPr>
                <w:rFonts w:eastAsiaTheme="majorEastAsia" w:cstheme="minorHAnsi"/>
                <w:bCs/>
                <w:sz w:val="20"/>
                <w:szCs w:val="20"/>
              </w:rPr>
              <w:t xml:space="preserve">$5.477 billion </w:t>
            </w:r>
          </w:p>
        </w:tc>
      </w:tr>
      <w:tr w:rsidR="00E02055" w:rsidRPr="00E02055" w:rsidTr="00710723">
        <w:trPr>
          <w:tblHeader/>
        </w:trPr>
        <w:tc>
          <w:tcPr>
            <w:tcW w:w="7099" w:type="dxa"/>
          </w:tcPr>
          <w:p w:rsidR="00E02055" w:rsidRPr="00E02055" w:rsidRDefault="00E02055" w:rsidP="00E02055">
            <w:pPr>
              <w:rPr>
                <w:rFonts w:eastAsiaTheme="majorEastAsia" w:cstheme="minorHAnsi"/>
                <w:b/>
                <w:bCs/>
                <w:sz w:val="20"/>
                <w:szCs w:val="20"/>
              </w:rPr>
            </w:pPr>
          </w:p>
        </w:tc>
        <w:tc>
          <w:tcPr>
            <w:tcW w:w="1275" w:type="dxa"/>
          </w:tcPr>
          <w:p w:rsidR="00E02055" w:rsidRPr="00E02055" w:rsidRDefault="00E02055" w:rsidP="00E02055">
            <w:pPr>
              <w:rPr>
                <w:rFonts w:eastAsiaTheme="majorEastAsia" w:cstheme="minorHAnsi"/>
                <w:b/>
                <w:bCs/>
                <w:sz w:val="20"/>
                <w:szCs w:val="20"/>
              </w:rPr>
            </w:pPr>
            <w:r w:rsidRPr="00E02055">
              <w:rPr>
                <w:rFonts w:eastAsiaTheme="majorEastAsia" w:cstheme="minorHAnsi"/>
                <w:b/>
                <w:bCs/>
                <w:sz w:val="20"/>
                <w:szCs w:val="20"/>
              </w:rPr>
              <w:t>Total</w:t>
            </w:r>
          </w:p>
        </w:tc>
        <w:tc>
          <w:tcPr>
            <w:tcW w:w="1418" w:type="dxa"/>
          </w:tcPr>
          <w:p w:rsidR="00E02055" w:rsidRPr="00E02055" w:rsidRDefault="00E02055" w:rsidP="00E02055">
            <w:pPr>
              <w:rPr>
                <w:rFonts w:eastAsiaTheme="majorEastAsia" w:cstheme="minorHAnsi"/>
                <w:b/>
                <w:bCs/>
                <w:sz w:val="20"/>
                <w:szCs w:val="20"/>
              </w:rPr>
            </w:pPr>
            <w:r w:rsidRPr="00E02055">
              <w:rPr>
                <w:rFonts w:eastAsiaTheme="majorEastAsia" w:cstheme="minorHAnsi"/>
                <w:b/>
                <w:bCs/>
                <w:sz w:val="20"/>
                <w:szCs w:val="20"/>
              </w:rPr>
              <w:t>$9.047 billion</w:t>
            </w:r>
          </w:p>
        </w:tc>
      </w:tr>
    </w:tbl>
    <w:p w:rsidR="00E02055" w:rsidRPr="00AD77F4" w:rsidRDefault="00E02055" w:rsidP="00627AAC">
      <w:pPr>
        <w:pStyle w:val="H4"/>
        <w:numPr>
          <w:ilvl w:val="2"/>
          <w:numId w:val="31"/>
        </w:numPr>
      </w:pPr>
      <w:bookmarkStart w:id="32" w:name="_Toc477178059"/>
      <w:bookmarkStart w:id="33" w:name="_Toc477248698"/>
      <w:bookmarkStart w:id="34" w:name="_Toc477252684"/>
      <w:r w:rsidRPr="00AD77F4">
        <w:t>Funding and responsibility for remote housing has not been clear</w:t>
      </w:r>
      <w:bookmarkEnd w:id="32"/>
      <w:bookmarkEnd w:id="33"/>
      <w:bookmarkEnd w:id="34"/>
    </w:p>
    <w:p w:rsidR="00E02055" w:rsidRPr="00E02055" w:rsidRDefault="00292380" w:rsidP="002E776B">
      <w:r w:rsidRPr="00E02055">
        <w:t xml:space="preserve">Australia’s model of federation has resulted in unclear lines of responsibility for the delivery of Indigenous housing. The </w:t>
      </w:r>
      <w:r w:rsidR="0004739C">
        <w:t>jurisdiction</w:t>
      </w:r>
      <w:r w:rsidRPr="00E02055">
        <w:t xml:space="preserve">s are responsible for the delivery and regulation of public housing, including for Aboriginal and Torres Strait Islander people. The Commonwealth has also, however, taken substantial responsibility due to the high proportion of Aboriginal and Torres Strait Islander </w:t>
      </w:r>
      <w:r>
        <w:t xml:space="preserve">people living in remote areas. </w:t>
      </w:r>
      <w:r w:rsidRPr="00E02055">
        <w:t xml:space="preserve">In the </w:t>
      </w:r>
      <w:r>
        <w:t>Northern Territory,</w:t>
      </w:r>
      <w:r w:rsidRPr="00E02055">
        <w:t xml:space="preserve"> there has also been a significant backlog in remote Indigenous housing, more significant than in any other </w:t>
      </w:r>
      <w:r w:rsidR="0004739C">
        <w:t>jurisdiction</w:t>
      </w:r>
      <w:r>
        <w:t>s, which existed prior to self</w:t>
      </w:r>
      <w:r>
        <w:noBreakHyphen/>
      </w:r>
      <w:r w:rsidRPr="00E02055">
        <w:t>government in 1978.</w:t>
      </w:r>
    </w:p>
    <w:p w:rsidR="00E02055" w:rsidRPr="00E02055" w:rsidRDefault="00E02055" w:rsidP="00211750">
      <w:pPr>
        <w:pStyle w:val="H3"/>
      </w:pPr>
      <w:bookmarkStart w:id="35" w:name="_Toc477178060"/>
      <w:bookmarkStart w:id="36" w:name="_Toc477248699"/>
      <w:bookmarkStart w:id="37" w:name="_Toc477252685"/>
      <w:bookmarkStart w:id="38" w:name="_Toc490218686"/>
      <w:r w:rsidRPr="00E02055">
        <w:lastRenderedPageBreak/>
        <w:t>Policy change has been the norm</w:t>
      </w:r>
      <w:bookmarkEnd w:id="35"/>
      <w:bookmarkEnd w:id="36"/>
      <w:bookmarkEnd w:id="37"/>
      <w:bookmarkEnd w:id="38"/>
    </w:p>
    <w:p w:rsidR="00E02055" w:rsidRPr="00E02055" w:rsidRDefault="00E02055" w:rsidP="002E776B">
      <w:r w:rsidRPr="00E02055">
        <w:t>Since the 19</w:t>
      </w:r>
      <w:r w:rsidR="001D0A16">
        <w:t>60</w:t>
      </w:r>
      <w:r w:rsidRPr="00E02055">
        <w:t xml:space="preserve">s there have been many changes to the policy settings underpinning remote Indigenous housing delivery. The NPARIH, and now the Strategy, are the latest programs in a policy area that has faced constant reform. </w:t>
      </w:r>
    </w:p>
    <w:p w:rsidR="00E02055" w:rsidRPr="00E02055" w:rsidRDefault="00E02055" w:rsidP="002E776B">
      <w:r w:rsidRPr="00E02055">
        <w:t xml:space="preserve">Nonetheless many lessons have been </w:t>
      </w:r>
      <w:r w:rsidR="00F82427">
        <w:t>learned</w:t>
      </w:r>
      <w:r w:rsidRPr="00E02055">
        <w:t xml:space="preserve"> over time. </w:t>
      </w:r>
      <w:r w:rsidR="007169C2">
        <w:t xml:space="preserve"> </w:t>
      </w:r>
    </w:p>
    <w:p w:rsidR="00E02055" w:rsidRPr="006C6F19" w:rsidRDefault="00E02055" w:rsidP="00211750">
      <w:pPr>
        <w:pStyle w:val="H4"/>
      </w:pPr>
      <w:bookmarkStart w:id="39" w:name="_Toc477178061"/>
      <w:bookmarkStart w:id="40" w:name="_Toc477248700"/>
      <w:bookmarkStart w:id="41" w:name="_Toc477252686"/>
      <w:r w:rsidRPr="006C6F19">
        <w:t>Lesson 1: Detailed planning of both housing and housing-related infrastructure is crucial</w:t>
      </w:r>
      <w:bookmarkEnd w:id="39"/>
      <w:bookmarkEnd w:id="40"/>
      <w:bookmarkEnd w:id="41"/>
    </w:p>
    <w:p w:rsidR="00B02D35" w:rsidRPr="00E02055" w:rsidRDefault="00292380" w:rsidP="00B02D35">
      <w:r w:rsidRPr="00E02055">
        <w:t>The Review of the Community Housing and Infrastructure Program (CHIP)</w:t>
      </w:r>
      <w:r>
        <w:t>, which</w:t>
      </w:r>
      <w:r w:rsidRPr="00E02055">
        <w:t xml:space="preserve"> had ended in 2007, </w:t>
      </w:r>
      <w:r w:rsidRPr="00E02055">
        <w:rPr>
          <w:i/>
        </w:rPr>
        <w:t>Living in a Sunburnt Country (released in 2012)</w:t>
      </w:r>
      <w:r w:rsidRPr="00E02055">
        <w:t xml:space="preserve"> identified many issues with the program. The report identified that an absence of regulation </w:t>
      </w:r>
      <w:r>
        <w:t xml:space="preserve">and enforcement </w:t>
      </w:r>
      <w:r w:rsidRPr="00E02055">
        <w:t>of housing standards had resulted in poor construction of new houses</w:t>
      </w:r>
      <w:r>
        <w:t>,</w:t>
      </w:r>
      <w:r w:rsidRPr="00E02055">
        <w:t xml:space="preserve"> a lack of maintenance of existing housing and incidents of financial</w:t>
      </w:r>
      <w:r>
        <w:t xml:space="preserve"> and operational mismanagement. </w:t>
      </w:r>
      <w:r w:rsidRPr="00E02055">
        <w:t xml:space="preserve">The </w:t>
      </w:r>
      <w:r>
        <w:t xml:space="preserve">CHIP </w:t>
      </w:r>
      <w:r w:rsidRPr="00E02055">
        <w:t xml:space="preserve">review also identified that a failure to collect </w:t>
      </w:r>
      <w:r w:rsidR="00B02D35" w:rsidRPr="00E02055">
        <w:t xml:space="preserve">and manage data around existing and new housing stock and housing-related infrastructure had contributed to poor planning and design. </w:t>
      </w:r>
    </w:p>
    <w:p w:rsidR="00E02055" w:rsidRPr="00E02055" w:rsidRDefault="00B02D35" w:rsidP="002E776B">
      <w:r w:rsidRPr="00E02055">
        <w:t>Based on these findings, the report recommended public housing services for Aboriginal and Torres Strait Islander people should be facilitated by governments, rather than by the Indigenous Community Housing sector. It further determined that an audit of housing should be conducted to understand the location of the asset, state of disrepair and any infrastructure needs</w:t>
      </w:r>
      <w:r w:rsidR="00E02055" w:rsidRPr="00E02055">
        <w:t>.</w:t>
      </w:r>
      <w:r w:rsidR="00E02055" w:rsidRPr="00E02055">
        <w:rPr>
          <w:rFonts w:cs="Times New Roman"/>
          <w:color w:val="404040" w:themeColor="text1" w:themeTint="BF"/>
          <w:sz w:val="20"/>
          <w:szCs w:val="20"/>
          <w:vertAlign w:val="superscript"/>
        </w:rPr>
        <w:t xml:space="preserve"> </w:t>
      </w:r>
      <w:r w:rsidR="00E02055" w:rsidRPr="00E02055">
        <w:rPr>
          <w:rFonts w:cs="Times New Roman"/>
          <w:color w:val="404040" w:themeColor="text1" w:themeTint="BF"/>
          <w:sz w:val="20"/>
          <w:szCs w:val="20"/>
          <w:vertAlign w:val="superscript"/>
        </w:rPr>
        <w:footnoteReference w:id="4"/>
      </w:r>
    </w:p>
    <w:p w:rsidR="00E02055" w:rsidRPr="00E02055" w:rsidRDefault="00E02055" w:rsidP="00211750">
      <w:pPr>
        <w:pStyle w:val="H4"/>
      </w:pPr>
      <w:bookmarkStart w:id="42" w:name="_Toc477178062"/>
      <w:bookmarkStart w:id="43" w:name="_Toc477248701"/>
      <w:bookmarkStart w:id="44" w:name="_Toc477252687"/>
      <w:r w:rsidRPr="00E02055">
        <w:t>Lesson 2: Cyclical maintenance is required to keep houses functional and people healthy</w:t>
      </w:r>
      <w:bookmarkEnd w:id="42"/>
      <w:bookmarkEnd w:id="43"/>
      <w:bookmarkEnd w:id="44"/>
    </w:p>
    <w:p w:rsidR="00E02055" w:rsidRPr="00E02055" w:rsidRDefault="00B02D35" w:rsidP="002E776B">
      <w:r w:rsidRPr="00E02055">
        <w:t>In 1999, governments funded a scaling up of what had previously been a small project in remote South Australia based on surveying the health hardware of homes, fixing small items and requiring a qualified tradesperson to return to fix major faults. The national Fixing Housing for Better Health program demonstrated 66 per cent of housing failures with health consequences could have been fixed by regular maintenance</w:t>
      </w:r>
      <w:r w:rsidR="00E02055" w:rsidRPr="00E02055">
        <w:t>.</w:t>
      </w:r>
      <w:r w:rsidR="00E02055" w:rsidRPr="00E02055">
        <w:rPr>
          <w:rFonts w:cs="Times New Roman"/>
          <w:color w:val="404040" w:themeColor="text1" w:themeTint="BF"/>
          <w:sz w:val="20"/>
          <w:szCs w:val="20"/>
          <w:vertAlign w:val="superscript"/>
        </w:rPr>
        <w:footnoteReference w:id="5"/>
      </w:r>
      <w:r w:rsidR="00E02055" w:rsidRPr="00E02055">
        <w:t xml:space="preserve"> </w:t>
      </w:r>
    </w:p>
    <w:p w:rsidR="00E02055" w:rsidRPr="00E02055" w:rsidRDefault="00E02055" w:rsidP="00211750">
      <w:pPr>
        <w:pStyle w:val="H4"/>
      </w:pPr>
      <w:bookmarkStart w:id="45" w:name="_Toc477178063"/>
      <w:bookmarkStart w:id="46" w:name="_Toc477248702"/>
      <w:bookmarkStart w:id="47" w:name="_Toc477252688"/>
      <w:r w:rsidRPr="00E02055">
        <w:t>Lesson 3: Housing in remote Indigenous communities should be of the same standard as housing in urban areas</w:t>
      </w:r>
      <w:bookmarkEnd w:id="45"/>
      <w:bookmarkEnd w:id="46"/>
      <w:bookmarkEnd w:id="47"/>
    </w:p>
    <w:p w:rsidR="00E02055" w:rsidRPr="00E02055" w:rsidRDefault="00B02D35" w:rsidP="002E776B">
      <w:r w:rsidRPr="00E02055">
        <w:t>In the work quoted above, a further 25</w:t>
      </w:r>
      <w:r>
        <w:t xml:space="preserve"> per cent</w:t>
      </w:r>
      <w:r w:rsidRPr="00E02055">
        <w:t xml:space="preserve"> of housing failures endangering health resulted from poor initial construction. As a result, in 1999, the Commonwealth Government invested in the </w:t>
      </w:r>
      <w:r w:rsidRPr="00E02055">
        <w:lastRenderedPageBreak/>
        <w:t>development of the National Indigenous Housing Guide. The Guide supplements the Building Code of Australia, Australian Standards</w:t>
      </w:r>
      <w:r>
        <w:t>,</w:t>
      </w:r>
      <w:r w:rsidRPr="00E02055">
        <w:t xml:space="preserve"> and </w:t>
      </w:r>
      <w:r w:rsidR="0004739C">
        <w:t>jurisdiction</w:t>
      </w:r>
      <w:r w:rsidRPr="00E02055">
        <w:t xml:space="preserve"> building acts and regulations as a resource to assist the design, construction and maintenance of housing for Aboriginal and Torres Strait Islander people</w:t>
      </w:r>
      <w:r w:rsidR="00E02055" w:rsidRPr="00E02055">
        <w:t>.</w:t>
      </w:r>
    </w:p>
    <w:p w:rsidR="00E02055" w:rsidRPr="00E02055" w:rsidRDefault="00E02055" w:rsidP="00211750">
      <w:pPr>
        <w:pStyle w:val="H4"/>
      </w:pPr>
      <w:bookmarkStart w:id="48" w:name="_Toc477178064"/>
      <w:bookmarkStart w:id="49" w:name="_Toc477248703"/>
      <w:bookmarkStart w:id="50" w:name="_Toc477252689"/>
      <w:r w:rsidRPr="00E02055">
        <w:t>Lesson 4: There are trade-offs between speed and cost of construction with local Indigenous employment and economic development, at least in the short term</w:t>
      </w:r>
      <w:bookmarkEnd w:id="48"/>
      <w:bookmarkEnd w:id="49"/>
      <w:bookmarkEnd w:id="50"/>
    </w:p>
    <w:p w:rsidR="00E02055" w:rsidRPr="00E02055" w:rsidRDefault="00B02D35" w:rsidP="002E776B">
      <w:r w:rsidRPr="00E02055">
        <w:t>The Strategic Indigenous Housing and Infrastructure Program (SIHIP) was the program response post CHIP. It was limited to the Northern Territory and set ambitious targets to resolve overcrowding. The program was eventually subsumed into the Strategy</w:t>
      </w:r>
      <w:r>
        <w:t>.</w:t>
      </w:r>
      <w:r w:rsidRPr="00E02055">
        <w:t xml:space="preserve"> </w:t>
      </w:r>
      <w:r>
        <w:t>F</w:t>
      </w:r>
      <w:r w:rsidRPr="00E02055">
        <w:t xml:space="preserve">or the Northern Territory, this also represented the first of many program </w:t>
      </w:r>
      <w:r w:rsidR="00E02055" w:rsidRPr="00E02055">
        <w:t>renegotiations.</w:t>
      </w:r>
    </w:p>
    <w:p w:rsidR="00E02055" w:rsidRPr="00E02055" w:rsidRDefault="00B02D35" w:rsidP="002E776B">
      <w:r w:rsidRPr="00E02055">
        <w:t>Following the SIHIP review of program performance, which found the program was slow to deliver housing and too costly (total cost and unit cost), the Northern Territory Government established three alliance consortia to deliver works. The aim of the alliance model was to speed up delivery and lower overall costs. The alliance consortia met construction targets and delivered cost efficiencies but, while employment targets were met, there is little evidence of ongoing local capacity building or employment benefits in the remote communities that received housing investment</w:t>
      </w:r>
      <w:r w:rsidR="00E02055" w:rsidRPr="00E02055">
        <w:t>.</w:t>
      </w:r>
      <w:r w:rsidR="00E02055" w:rsidRPr="00E02055">
        <w:rPr>
          <w:rFonts w:cs="Times New Roman"/>
          <w:color w:val="404040" w:themeColor="text1" w:themeTint="BF"/>
          <w:sz w:val="20"/>
          <w:szCs w:val="20"/>
          <w:vertAlign w:val="superscript"/>
        </w:rPr>
        <w:footnoteReference w:id="6"/>
      </w:r>
      <w:r w:rsidR="00E02055" w:rsidRPr="00E02055">
        <w:t xml:space="preserve"> </w:t>
      </w:r>
    </w:p>
    <w:p w:rsidR="00E02055" w:rsidRPr="00E02055" w:rsidRDefault="00E02055" w:rsidP="00211750">
      <w:pPr>
        <w:pStyle w:val="H4"/>
      </w:pPr>
      <w:bookmarkStart w:id="51" w:name="_Toc477178065"/>
      <w:bookmarkStart w:id="52" w:name="_Toc477248704"/>
      <w:bookmarkStart w:id="53" w:name="_Toc477252690"/>
      <w:r w:rsidRPr="00E02055">
        <w:t>Lesson 5: Strong, joint oversight of housing works improves outcomes for government and communities</w:t>
      </w:r>
      <w:bookmarkEnd w:id="51"/>
      <w:bookmarkEnd w:id="52"/>
      <w:bookmarkEnd w:id="53"/>
    </w:p>
    <w:p w:rsidR="00E02055" w:rsidRPr="00E02055" w:rsidRDefault="001D0A16" w:rsidP="002E776B">
      <w:r>
        <w:t xml:space="preserve">The 2011 ANAO Audit, </w:t>
      </w:r>
      <w:r w:rsidR="00E02055" w:rsidRPr="00E02055">
        <w:t>Implementation of the National Partnership Agreement on Remote Indigenous Housing in the Northern Territory, found under</w:t>
      </w:r>
      <w:r w:rsidR="00E02055" w:rsidRPr="00E02055">
        <w:rPr>
          <w:i/>
        </w:rPr>
        <w:t xml:space="preserve"> </w:t>
      </w:r>
      <w:r w:rsidR="00E02055" w:rsidRPr="00E02055">
        <w:t>SIHIP there were</w:t>
      </w:r>
      <w:r w:rsidR="00E02055" w:rsidRPr="00E02055">
        <w:rPr>
          <w:i/>
        </w:rPr>
        <w:t xml:space="preserve"> ‘unresolved leadership and capacity issues, and substantially greater involvement by the Australian and Northern Territory Governments was required, with strong oversight at the day‐to‐day operational level.</w:t>
      </w:r>
      <w:r w:rsidR="00995285">
        <w:rPr>
          <w:i/>
        </w:rPr>
        <w:t>’</w:t>
      </w:r>
      <w:r w:rsidR="00E02055" w:rsidRPr="00E02055">
        <w:rPr>
          <w:i/>
        </w:rPr>
        <w:t xml:space="preserve"> </w:t>
      </w:r>
      <w:r w:rsidR="00E02055" w:rsidRPr="00E02055">
        <w:t>This led to governments adopting a joint management approach to the program until 2013 whereby both governments were ‘</w:t>
      </w:r>
      <w:r w:rsidR="00E02055" w:rsidRPr="00E02055">
        <w:rPr>
          <w:i/>
        </w:rPr>
        <w:t xml:space="preserve">jointly responsible, accountable and in direct control of program management and </w:t>
      </w:r>
      <w:r w:rsidR="00995285">
        <w:rPr>
          <w:i/>
        </w:rPr>
        <w:t>direction.</w:t>
      </w:r>
      <w:r w:rsidR="00E02055" w:rsidRPr="00E02055">
        <w:t>’</w:t>
      </w:r>
      <w:r w:rsidR="000856B1">
        <w:rPr>
          <w:rStyle w:val="FootnoteReference"/>
        </w:rPr>
        <w:footnoteReference w:id="7"/>
      </w:r>
    </w:p>
    <w:p w:rsidR="00E02055" w:rsidRPr="00E02055" w:rsidRDefault="00E02055" w:rsidP="002E776B">
      <w:r w:rsidRPr="00E02055">
        <w:t>Joint management arrangements resulted in faster decision making, including in program fund</w:t>
      </w:r>
      <w:r w:rsidR="000F5317">
        <w:t xml:space="preserve">ing and policy decision making. </w:t>
      </w:r>
      <w:r w:rsidRPr="00E02055">
        <w:t>The new management arrangements allowed for flexibility to adjust the program around unexpected obstacles</w:t>
      </w:r>
      <w:r w:rsidR="00995285">
        <w:t>,</w:t>
      </w:r>
      <w:r w:rsidRPr="00E02055">
        <w:t xml:space="preserve"> and shared the risk and responsibility of delivering capital works between both levels of government. </w:t>
      </w:r>
    </w:p>
    <w:p w:rsidR="00E02055" w:rsidRPr="00E02055" w:rsidRDefault="006935E1" w:rsidP="00211750">
      <w:pPr>
        <w:pStyle w:val="H3"/>
      </w:pPr>
      <w:bookmarkStart w:id="54" w:name="_Toc477178066"/>
      <w:bookmarkStart w:id="55" w:name="_Toc477248705"/>
      <w:bookmarkStart w:id="56" w:name="_Toc477252691"/>
      <w:bookmarkStart w:id="57" w:name="_Toc490218687"/>
      <w:r>
        <w:lastRenderedPageBreak/>
        <w:t xml:space="preserve">This Review’s focus – </w:t>
      </w:r>
      <w:r w:rsidR="00E02055" w:rsidRPr="00E02055">
        <w:t>NPARIH</w:t>
      </w:r>
      <w:r>
        <w:t xml:space="preserve"> </w:t>
      </w:r>
      <w:r w:rsidR="00E02055" w:rsidRPr="00E02055">
        <w:t>and the Strategy</w:t>
      </w:r>
      <w:bookmarkEnd w:id="54"/>
      <w:bookmarkEnd w:id="55"/>
      <w:bookmarkEnd w:id="56"/>
      <w:bookmarkEnd w:id="57"/>
    </w:p>
    <w:p w:rsidR="00E02055" w:rsidRPr="00E02055" w:rsidRDefault="00E02055" w:rsidP="002E776B">
      <w:r w:rsidRPr="00E02055">
        <w:t>In 2008 COAG agreed to the National Indigenous Reform Agreement (NIRA) which sets out a joint commitment to a National Integrated Strategy for Closing the Gap in Indigenous Disadvantage. Closing the Gap originally included six targets focused on health, education and employment</w:t>
      </w:r>
      <w:r w:rsidR="00995285">
        <w:t>,</w:t>
      </w:r>
      <w:r w:rsidRPr="00E02055">
        <w:t xml:space="preserve"> and set out seven building blocks where additional effort was needed to achieve the Closing the Gap targets. A key building block in the NIRA was ‘Healthy Homes’:</w:t>
      </w:r>
    </w:p>
    <w:p w:rsidR="00E02055" w:rsidRPr="00E02055" w:rsidRDefault="00641FF8" w:rsidP="00E02055">
      <w:pPr>
        <w:ind w:left="426"/>
        <w:rPr>
          <w:i/>
          <w:iCs/>
          <w:color w:val="000000" w:themeColor="text1"/>
          <w:sz w:val="20"/>
        </w:rPr>
      </w:pPr>
      <w:r>
        <w:rPr>
          <w:i/>
          <w:iCs/>
          <w:color w:val="000000"/>
          <w:szCs w:val="23"/>
        </w:rPr>
        <w:t>‘</w:t>
      </w:r>
      <w:r w:rsidR="00E02055" w:rsidRPr="00E02055">
        <w:rPr>
          <w:i/>
          <w:iCs/>
          <w:color w:val="000000"/>
          <w:szCs w:val="23"/>
        </w:rPr>
        <w:t>A healthy home is a fundamental precondition of a healthy population. Important contributors to the current unsatisfactory living conditions include inadequate water and sewerage systems, waste collection, electricity and housing infrastructure (design, stock and maintenance). Children need to live in accommodation with adequate infrastructure conducive to good hygiene and s</w:t>
      </w:r>
      <w:r>
        <w:rPr>
          <w:i/>
          <w:iCs/>
          <w:color w:val="000000"/>
          <w:szCs w:val="23"/>
        </w:rPr>
        <w:t>tudy, and free of overcrowding.’</w:t>
      </w:r>
    </w:p>
    <w:p w:rsidR="00E02055" w:rsidRPr="00E02055" w:rsidRDefault="00E02055" w:rsidP="002E776B">
      <w:r w:rsidRPr="00E02055">
        <w:t xml:space="preserve">To support this building block, the </w:t>
      </w:r>
      <w:r w:rsidR="005D7085">
        <w:t>Strategy</w:t>
      </w:r>
      <w:r w:rsidRPr="00E02055">
        <w:t xml:space="preserve"> was agreed between the Commonwealth and all </w:t>
      </w:r>
      <w:r w:rsidR="0004739C">
        <w:t>jurisdiction</w:t>
      </w:r>
      <w:r w:rsidRPr="00E02055">
        <w:t xml:space="preserve">s with the exception of the </w:t>
      </w:r>
      <w:r w:rsidR="007058E9">
        <w:t>Australian Capital Territory</w:t>
      </w:r>
      <w:r w:rsidRPr="00E02055">
        <w:t>. The main aims of the agreement were to decrease overcrowding and increase housing amenity. There were also a series of other objectives, many of which attempted to respond to lessons learned from previous programs.</w:t>
      </w:r>
    </w:p>
    <w:p w:rsidR="00E02055" w:rsidRPr="00E02055" w:rsidRDefault="00E02055" w:rsidP="002E776B">
      <w:r w:rsidRPr="00E02055">
        <w:t xml:space="preserve">The Commonwealth committed $5.4 billion through the </w:t>
      </w:r>
      <w:r w:rsidR="005D7085">
        <w:t>Strategy</w:t>
      </w:r>
      <w:r w:rsidRPr="00E02055">
        <w:t xml:space="preserve"> from 2008 to 2018 to:</w:t>
      </w:r>
    </w:p>
    <w:p w:rsidR="00B02D35" w:rsidRPr="00E02055" w:rsidRDefault="00B02D35" w:rsidP="00B02D35">
      <w:pPr>
        <w:pStyle w:val="ListParagraph"/>
        <w:numPr>
          <w:ilvl w:val="0"/>
          <w:numId w:val="16"/>
        </w:numPr>
      </w:pPr>
      <w:r>
        <w:t>b</w:t>
      </w:r>
      <w:r w:rsidRPr="00E02055">
        <w:t>uild and refurbish houses in remote Indigenous communities and, where appropriate, town camps, including delivery of housing-related infrastructure</w:t>
      </w:r>
    </w:p>
    <w:p w:rsidR="00B02D35" w:rsidRPr="00E02055" w:rsidRDefault="00B02D35" w:rsidP="00B02D35">
      <w:pPr>
        <w:pStyle w:val="ListParagraph"/>
        <w:numPr>
          <w:ilvl w:val="0"/>
          <w:numId w:val="16"/>
        </w:numPr>
      </w:pPr>
      <w:r>
        <w:t>i</w:t>
      </w:r>
      <w:r w:rsidRPr="00E02055">
        <w:t>mplement robust and standardised Property and Tenancy Management (PTM) of all remote Indigenous housing</w:t>
      </w:r>
    </w:p>
    <w:p w:rsidR="00B02D35" w:rsidRPr="00E02055" w:rsidRDefault="00B02D35" w:rsidP="00B02D35">
      <w:pPr>
        <w:pStyle w:val="ListParagraph"/>
        <w:numPr>
          <w:ilvl w:val="0"/>
          <w:numId w:val="16"/>
        </w:numPr>
      </w:pPr>
      <w:r>
        <w:t>i</w:t>
      </w:r>
      <w:r w:rsidRPr="00E02055">
        <w:t>ncrease employment opportunities for local residents in remote Indigenous communities</w:t>
      </w:r>
    </w:p>
    <w:p w:rsidR="00B02D35" w:rsidRPr="00E02055" w:rsidRDefault="00B02D35" w:rsidP="00B02D35">
      <w:pPr>
        <w:pStyle w:val="ListParagraph"/>
        <w:numPr>
          <w:ilvl w:val="0"/>
          <w:numId w:val="16"/>
        </w:numPr>
      </w:pPr>
      <w:r>
        <w:t>b</w:t>
      </w:r>
      <w:r w:rsidRPr="00E02055">
        <w:t>uild accommodation in regional areas to support people from remote communities to access training, education, employment and support services</w:t>
      </w:r>
    </w:p>
    <w:p w:rsidR="00B02D35" w:rsidRPr="00E02055" w:rsidRDefault="00B02D35" w:rsidP="00B02D35">
      <w:pPr>
        <w:pStyle w:val="ListParagraph"/>
        <w:numPr>
          <w:ilvl w:val="0"/>
          <w:numId w:val="16"/>
        </w:numPr>
      </w:pPr>
      <w:r>
        <w:t>r</w:t>
      </w:r>
      <w:r w:rsidRPr="00E02055">
        <w:t>esolve land tenure on remote community-titled land in order to secure government and commercial investment, and economic and home ownership opportunities</w:t>
      </w:r>
      <w:r>
        <w:t>,</w:t>
      </w:r>
      <w:r w:rsidRPr="00E02055">
        <w:t xml:space="preserve"> and</w:t>
      </w:r>
    </w:p>
    <w:p w:rsidR="00B02D35" w:rsidRPr="00E02055" w:rsidRDefault="00B02D35" w:rsidP="00B02D35">
      <w:pPr>
        <w:pStyle w:val="ListParagraph"/>
        <w:numPr>
          <w:ilvl w:val="0"/>
          <w:numId w:val="16"/>
        </w:numPr>
      </w:pPr>
      <w:r>
        <w:t>s</w:t>
      </w:r>
      <w:r w:rsidRPr="00E02055">
        <w:t>upport Indigenous Community Housing Organisations (ICHOs) to improve their governance, become formally accredited and upgrade their stock.</w:t>
      </w:r>
    </w:p>
    <w:p w:rsidR="00E02055" w:rsidRPr="00E02055" w:rsidRDefault="00B02D35" w:rsidP="00B02D35">
      <w:r w:rsidRPr="00E02055">
        <w:t>An independent progress review of the NPARIH was</w:t>
      </w:r>
      <w:r>
        <w:t xml:space="preserve"> commissioned in 2013.</w:t>
      </w:r>
      <w:r>
        <w:rPr>
          <w:rStyle w:val="FootnoteReference"/>
        </w:rPr>
        <w:footnoteReference w:id="8"/>
      </w:r>
      <w:r>
        <w:t xml:space="preserve"> </w:t>
      </w:r>
      <w:r w:rsidRPr="00E02055">
        <w:t xml:space="preserve">This 2013 review, authored by Ms Di Hawgood, found governments were on track to deliver the outcomes of the NPARIH by 2018. The targets for capital works and Indigenous employment had been exceeded, severe overcrowding was reduced in locations where there had been NPARIH investment and comprehensive PTM reforms were underway in all </w:t>
      </w:r>
      <w:r w:rsidR="0004739C">
        <w:t>jurisdiction</w:t>
      </w:r>
      <w:r w:rsidRPr="00E02055">
        <w:t>s.</w:t>
      </w:r>
    </w:p>
    <w:p w:rsidR="00E02055" w:rsidRPr="00E02055" w:rsidRDefault="00E02055" w:rsidP="002E776B">
      <w:r w:rsidRPr="00E02055">
        <w:t>The 2013 review made several recommendations, including the need for:</w:t>
      </w:r>
    </w:p>
    <w:p w:rsidR="00E02055" w:rsidRPr="00E02055" w:rsidRDefault="00E02055" w:rsidP="00627AAC">
      <w:pPr>
        <w:pStyle w:val="ListParagraph"/>
        <w:numPr>
          <w:ilvl w:val="0"/>
          <w:numId w:val="17"/>
        </w:numPr>
      </w:pPr>
      <w:r w:rsidRPr="00E02055">
        <w:t>further investment in i</w:t>
      </w:r>
      <w:r w:rsidR="00641FF8">
        <w:t>nfrastructure</w:t>
      </w:r>
    </w:p>
    <w:p w:rsidR="00E02055" w:rsidRPr="00E02055" w:rsidRDefault="00E02055" w:rsidP="00627AAC">
      <w:pPr>
        <w:pStyle w:val="ListParagraph"/>
        <w:numPr>
          <w:ilvl w:val="0"/>
          <w:numId w:val="17"/>
        </w:numPr>
      </w:pPr>
      <w:r w:rsidRPr="00E02055">
        <w:lastRenderedPageBreak/>
        <w:t>better links with the Community Development Program (formerly the Remote Jobs an</w:t>
      </w:r>
      <w:r w:rsidR="00641FF8">
        <w:t>d Communities Program, or RJCP)</w:t>
      </w:r>
    </w:p>
    <w:p w:rsidR="00E02055" w:rsidRPr="00E02055" w:rsidRDefault="00641FF8" w:rsidP="00627AAC">
      <w:pPr>
        <w:pStyle w:val="ListParagraph"/>
        <w:numPr>
          <w:ilvl w:val="0"/>
          <w:numId w:val="17"/>
        </w:numPr>
      </w:pPr>
      <w:r>
        <w:t>greater transparency</w:t>
      </w:r>
    </w:p>
    <w:p w:rsidR="00E02055" w:rsidRPr="00E02055" w:rsidRDefault="00E02055" w:rsidP="00627AAC">
      <w:pPr>
        <w:pStyle w:val="ListParagraph"/>
        <w:numPr>
          <w:ilvl w:val="0"/>
          <w:numId w:val="17"/>
        </w:numPr>
      </w:pPr>
      <w:r w:rsidRPr="00E02055">
        <w:t>clearer benchmarks for PTM</w:t>
      </w:r>
    </w:p>
    <w:p w:rsidR="00E02055" w:rsidRPr="00E02055" w:rsidRDefault="00E02055" w:rsidP="00627AAC">
      <w:pPr>
        <w:pStyle w:val="ListParagraph"/>
        <w:numPr>
          <w:ilvl w:val="0"/>
          <w:numId w:val="17"/>
        </w:numPr>
      </w:pPr>
      <w:r w:rsidRPr="00E02055">
        <w:t>land reform to support private home ownership and economic development</w:t>
      </w:r>
      <w:r w:rsidR="00641FF8">
        <w:t>,</w:t>
      </w:r>
      <w:r w:rsidRPr="00E02055">
        <w:t xml:space="preserve"> and</w:t>
      </w:r>
    </w:p>
    <w:p w:rsidR="00E02055" w:rsidRPr="00E02055" w:rsidRDefault="00E02055" w:rsidP="00627AAC">
      <w:pPr>
        <w:pStyle w:val="ListParagraph"/>
        <w:numPr>
          <w:ilvl w:val="0"/>
          <w:numId w:val="17"/>
        </w:numPr>
      </w:pPr>
      <w:r w:rsidRPr="00E02055">
        <w:t>long-term sustainability of the housing investment.</w:t>
      </w:r>
    </w:p>
    <w:p w:rsidR="00E02055" w:rsidRPr="00E02055" w:rsidRDefault="00E02055" w:rsidP="002E776B">
      <w:r w:rsidRPr="00E02055">
        <w:t xml:space="preserve">Victoria and Tasmania exited the </w:t>
      </w:r>
      <w:r w:rsidR="005D7085">
        <w:t>Strategy</w:t>
      </w:r>
      <w:r w:rsidRPr="00E02055">
        <w:t xml:space="preserve"> in 2014 and New South Wales in 2016. These exits</w:t>
      </w:r>
      <w:r w:rsidR="002440FB">
        <w:t xml:space="preserve"> were an</w:t>
      </w:r>
      <w:r w:rsidRPr="00E02055">
        <w:t xml:space="preserve"> </w:t>
      </w:r>
      <w:r w:rsidR="002440FB" w:rsidRPr="00E02055">
        <w:t>acknowledg</w:t>
      </w:r>
      <w:r w:rsidR="002440FB">
        <w:t>ment of</w:t>
      </w:r>
      <w:r w:rsidR="002440FB" w:rsidRPr="00E02055">
        <w:t xml:space="preserve"> </w:t>
      </w:r>
      <w:r w:rsidRPr="00E02055">
        <w:t xml:space="preserve">the different circumstances in these </w:t>
      </w:r>
      <w:r w:rsidR="0004739C">
        <w:t>jurisdiction</w:t>
      </w:r>
      <w:r w:rsidRPr="00E02055">
        <w:t>s and mean</w:t>
      </w:r>
      <w:r w:rsidR="002440FB">
        <w:t xml:space="preserve">s that </w:t>
      </w:r>
      <w:r w:rsidRPr="00E02055">
        <w:t xml:space="preserve">these </w:t>
      </w:r>
      <w:r w:rsidR="0004739C">
        <w:t>jurisdiction</w:t>
      </w:r>
      <w:r w:rsidRPr="00E02055">
        <w:t>s are no longer subject to the arrangements.</w:t>
      </w:r>
    </w:p>
    <w:p w:rsidR="00E02055" w:rsidRPr="00E02055" w:rsidRDefault="00E02055" w:rsidP="002E776B">
      <w:r w:rsidRPr="00E02055">
        <w:t>On 1 July 2016, the Strategy replaced the NPARIH. This renegotiated agreement took on board the recommendations from the 2013 review and restructured the arrangement to include outcomes</w:t>
      </w:r>
      <w:r w:rsidR="001654D8">
        <w:noBreakHyphen/>
      </w:r>
      <w:r w:rsidRPr="00E02055">
        <w:t xml:space="preserve">based payments focused on improvements in specified areas alongside funding for capital works. The Strategy partnered the Commonwealth with Queensland, Western Australia, South Australia and the Northern Territory to continue to deliver housing in remote Indigenous communities. </w:t>
      </w:r>
    </w:p>
    <w:p w:rsidR="00E02055" w:rsidRPr="00E02055" w:rsidRDefault="00E02055" w:rsidP="002E776B">
      <w:r w:rsidRPr="00E02055">
        <w:t xml:space="preserve">The Strategy included a heightened focus on improved PTM outcomes so houses last longer; increased employment and participation outcomes for Aboriginal and Torres Strait Islander people from 20 per cent to 30 per cent across all </w:t>
      </w:r>
      <w:r w:rsidR="0004739C">
        <w:t>jurisdiction</w:t>
      </w:r>
      <w:r w:rsidR="00954BA7">
        <w:t>s</w:t>
      </w:r>
      <w:r w:rsidRPr="00E02055">
        <w:t>; more Indigenous businesses building houses and delivering housing services; and greater home ownership opportunities for Aboriginal and Torres Strait Islander people, particularly those from remote communities.</w:t>
      </w:r>
    </w:p>
    <w:p w:rsidR="00E02055" w:rsidRPr="00E02055" w:rsidRDefault="0084258B" w:rsidP="002E776B">
      <w:r w:rsidRPr="00E02055">
        <w:t>There were parallel developments with the arrangements in the Northern Territory. In addition to the $1.7 billion allocated to the Northern Territory under the Strategy, $230 million was committed under the National Partnership Agreement on Stronger Futures in the Northern Territory (SFNT) 2012-2018 for additional upgrades of houses in the Northern Territory to improve their durability and amenity. The investment continued when the SFNT was replaced by the National Partnership on Northern Territory Remote Aboriginal Investment in 2016. This funding was provided in recognition of the significant need and poor condition of existing dwellings across the Northern</w:t>
      </w:r>
      <w:r>
        <w:t> </w:t>
      </w:r>
      <w:r w:rsidRPr="00E02055">
        <w:t>Territory</w:t>
      </w:r>
      <w:r w:rsidR="00E02055" w:rsidRPr="00E02055">
        <w:t xml:space="preserve">. </w:t>
      </w:r>
    </w:p>
    <w:p w:rsidR="0084258B" w:rsidRPr="00E02055" w:rsidRDefault="0084258B" w:rsidP="0084258B">
      <w:r w:rsidRPr="00E02055">
        <w:t xml:space="preserve">In one sense this Review is evaluating the NPARIH and the Strategy against their objectives. In a wider sense we are evaluating the extent to which governments have </w:t>
      </w:r>
      <w:r>
        <w:t>learned</w:t>
      </w:r>
      <w:r w:rsidRPr="00E02055">
        <w:t xml:space="preserve"> the lessons of a now lengthy history of addressing </w:t>
      </w:r>
      <w:r>
        <w:t xml:space="preserve">the crucial issue of housing provision to </w:t>
      </w:r>
      <w:r w:rsidRPr="00E02055">
        <w:t>the wellbeing of Aboriginal and Torres Strait Islander people.</w:t>
      </w:r>
    </w:p>
    <w:p w:rsidR="00E02055" w:rsidRPr="00E02055" w:rsidRDefault="0084258B" w:rsidP="0084258B">
      <w:r w:rsidRPr="00E02055">
        <w:t>Following is a map of NPARIH and Strategy sites across Australia since 2008</w:t>
      </w:r>
      <w:r w:rsidR="00E02055" w:rsidRPr="00E02055">
        <w:t>.</w:t>
      </w:r>
    </w:p>
    <w:p w:rsidR="00E02055" w:rsidRPr="00E02055" w:rsidRDefault="00E02055" w:rsidP="00F3240A">
      <w:pPr>
        <w:pStyle w:val="tbsfigs"/>
      </w:pPr>
      <w:bookmarkStart w:id="58" w:name="figure12"/>
      <w:bookmarkEnd w:id="58"/>
      <w:r w:rsidRPr="00E02055">
        <w:lastRenderedPageBreak/>
        <w:t xml:space="preserve">Figure 1.2: Location of </w:t>
      </w:r>
      <w:r w:rsidR="005D7085">
        <w:t>Strategy</w:t>
      </w:r>
      <w:r w:rsidRPr="00E02055">
        <w:t xml:space="preserve"> delivery locations</w:t>
      </w:r>
    </w:p>
    <w:p w:rsidR="00E02055" w:rsidRPr="00E02055" w:rsidRDefault="00E02055" w:rsidP="00E02055">
      <w:r w:rsidRPr="00E02055">
        <w:rPr>
          <w:noProof/>
          <w:lang w:eastAsia="en-AU"/>
        </w:rPr>
        <w:drawing>
          <wp:inline distT="0" distB="0" distL="0" distR="0" wp14:anchorId="7A1AE0C8" wp14:editId="7A1AE0C9">
            <wp:extent cx="6188710" cy="5625820"/>
            <wp:effectExtent l="0" t="0" r="2540" b="0"/>
            <wp:docPr id="10" name="Picture 10" descr="Link to extended text description is below" title="Link to extended text descrip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5625820"/>
                    </a:xfrm>
                    <a:prstGeom prst="rect">
                      <a:avLst/>
                    </a:prstGeom>
                    <a:noFill/>
                    <a:ln>
                      <a:noFill/>
                    </a:ln>
                  </pic:spPr>
                </pic:pic>
              </a:graphicData>
            </a:graphic>
          </wp:inline>
        </w:drawing>
      </w:r>
    </w:p>
    <w:p w:rsidR="00052D04" w:rsidRDefault="00052D04">
      <w:r>
        <w:t xml:space="preserve">View the </w:t>
      </w:r>
      <w:hyperlink w:anchor="fig12" w:history="1">
        <w:r w:rsidRPr="00667862">
          <w:rPr>
            <w:rStyle w:val="Hyperlink"/>
            <w:color w:val="0B84FF" w:themeColor="text2" w:themeTint="99"/>
          </w:rPr>
          <w:t>text version for Figure 1.2</w:t>
        </w:r>
      </w:hyperlink>
    </w:p>
    <w:p w:rsidR="00DA5786" w:rsidRDefault="00DA5786">
      <w:r>
        <w:br w:type="page"/>
      </w:r>
    </w:p>
    <w:p w:rsidR="00E02055" w:rsidRPr="00E02055" w:rsidRDefault="00E02055" w:rsidP="00211750">
      <w:pPr>
        <w:pStyle w:val="H3"/>
      </w:pPr>
      <w:bookmarkStart w:id="59" w:name="_Toc477178067"/>
      <w:bookmarkStart w:id="60" w:name="_Toc477248706"/>
      <w:bookmarkStart w:id="61" w:name="_Toc477252692"/>
      <w:bookmarkStart w:id="62" w:name="_Toc490218688"/>
      <w:r w:rsidRPr="00E02055">
        <w:lastRenderedPageBreak/>
        <w:t>Governance of the Review</w:t>
      </w:r>
      <w:bookmarkEnd w:id="59"/>
      <w:bookmarkEnd w:id="60"/>
      <w:bookmarkEnd w:id="61"/>
      <w:bookmarkEnd w:id="62"/>
    </w:p>
    <w:p w:rsidR="00E02055" w:rsidRPr="00E02055" w:rsidRDefault="00E02055" w:rsidP="002E776B">
      <w:r w:rsidRPr="00E02055">
        <w:t xml:space="preserve">The Review was conducted by an independent expert panel (the </w:t>
      </w:r>
      <w:r w:rsidR="00D4068D">
        <w:t>Panel</w:t>
      </w:r>
      <w:r w:rsidR="0084258B">
        <w:t>) with support from a Consultative Committee and S</w:t>
      </w:r>
      <w:r w:rsidRPr="00E02055">
        <w:t>ecretariat.</w:t>
      </w:r>
    </w:p>
    <w:p w:rsidR="00E02055" w:rsidRPr="00E02055" w:rsidRDefault="00E02055" w:rsidP="00211750">
      <w:pPr>
        <w:pStyle w:val="H4"/>
      </w:pPr>
      <w:bookmarkStart w:id="63" w:name="_Toc477178068"/>
      <w:bookmarkStart w:id="64" w:name="_Toc477248707"/>
      <w:bookmarkStart w:id="65" w:name="_Toc477252693"/>
      <w:r w:rsidRPr="00E02055">
        <w:t xml:space="preserve">Expert </w:t>
      </w:r>
      <w:r w:rsidR="00D4068D">
        <w:t>Panel</w:t>
      </w:r>
      <w:bookmarkEnd w:id="63"/>
      <w:bookmarkEnd w:id="64"/>
      <w:bookmarkEnd w:id="65"/>
      <w:r w:rsidRPr="00E02055">
        <w:t xml:space="preserve"> </w:t>
      </w:r>
    </w:p>
    <w:p w:rsidR="00E02055" w:rsidRPr="00E02055" w:rsidRDefault="0084258B" w:rsidP="002E776B">
      <w:r w:rsidRPr="00E02055">
        <w:t xml:space="preserve">The </w:t>
      </w:r>
      <w:r>
        <w:t>P</w:t>
      </w:r>
      <w:r w:rsidRPr="00E02055">
        <w:t>anel was co-chaired by Robert Griew and Rachelle Towart and</w:t>
      </w:r>
      <w:r>
        <w:t xml:space="preserve"> included Fred Pascoe and Susan </w:t>
      </w:r>
      <w:r w:rsidRPr="00E02055">
        <w:t>Murphy as members. The</w:t>
      </w:r>
      <w:r w:rsidRPr="00E02055" w:rsidDel="00761F0E">
        <w:t xml:space="preserve"> </w:t>
      </w:r>
      <w:r>
        <w:t>Panel</w:t>
      </w:r>
      <w:r w:rsidRPr="00E02055">
        <w:t xml:space="preserve"> brought deep experience in Aboriginal and Torres Strait Islander issues and a range of expertise from financing, leadership, housing delivery and government, including experience in senior Commonwealth and </w:t>
      </w:r>
      <w:r w:rsidR="0004739C">
        <w:t>jurisdiction</w:t>
      </w:r>
      <w:r w:rsidRPr="00E02055">
        <w:t xml:space="preserve"> public services, local government, community governance and business</w:t>
      </w:r>
      <w:r w:rsidR="00E02055" w:rsidRPr="00E02055">
        <w:t xml:space="preserve">. </w:t>
      </w:r>
    </w:p>
    <w:p w:rsidR="00E02055" w:rsidRPr="00E02055" w:rsidRDefault="0084258B" w:rsidP="002E776B">
      <w:r w:rsidRPr="00E02055">
        <w:t>The</w:t>
      </w:r>
      <w:r w:rsidRPr="00E02055" w:rsidDel="00761F0E">
        <w:t xml:space="preserve"> </w:t>
      </w:r>
      <w:r>
        <w:t>Panel</w:t>
      </w:r>
      <w:r w:rsidRPr="00E02055">
        <w:t xml:space="preserve"> drew from a variety of sources, including consultation with key stakeholders, international best practice and program data, to form its views, make findings on the effectiveness of the program and develop options for moving forward</w:t>
      </w:r>
      <w:r w:rsidR="00E02055" w:rsidRPr="00E02055">
        <w:t>.</w:t>
      </w:r>
    </w:p>
    <w:p w:rsidR="00E02055" w:rsidRPr="00E02055" w:rsidRDefault="0084258B" w:rsidP="00211750">
      <w:pPr>
        <w:pStyle w:val="H4"/>
      </w:pPr>
      <w:bookmarkStart w:id="66" w:name="_Toc477178069"/>
      <w:bookmarkStart w:id="67" w:name="_Toc477248708"/>
      <w:bookmarkStart w:id="68" w:name="_Toc477252694"/>
      <w:r>
        <w:t>Consultative C</w:t>
      </w:r>
      <w:r w:rsidR="00E02055" w:rsidRPr="00E02055">
        <w:t>ommittee</w:t>
      </w:r>
      <w:bookmarkEnd w:id="66"/>
      <w:bookmarkEnd w:id="67"/>
      <w:bookmarkEnd w:id="68"/>
    </w:p>
    <w:p w:rsidR="00E02055" w:rsidRPr="00E02055" w:rsidRDefault="0084258B" w:rsidP="002E776B">
      <w:r>
        <w:t>A Consultative C</w:t>
      </w:r>
      <w:r w:rsidR="00E02055" w:rsidRPr="00E02055">
        <w:t>ommittee was established to support the Review with representatives from the Commonwealth, Queensland, Western Australia, South Austra</w:t>
      </w:r>
      <w:r w:rsidR="001654D8">
        <w:t>lia and the Northern Territory G</w:t>
      </w:r>
      <w:r>
        <w:t>overnments. The role of the C</w:t>
      </w:r>
      <w:r w:rsidR="00E02055" w:rsidRPr="00E02055">
        <w:t xml:space="preserve">ommittee was to act as a consultative body throughout the Review, facilitate the collection of evidence to support the Review and provide advice and feedback to the </w:t>
      </w:r>
      <w:r w:rsidR="00D4068D">
        <w:t>Panel</w:t>
      </w:r>
      <w:r w:rsidR="00E02055" w:rsidRPr="00E02055">
        <w:t xml:space="preserve">. </w:t>
      </w:r>
    </w:p>
    <w:p w:rsidR="00E02055" w:rsidRPr="00E02055" w:rsidRDefault="00E02055" w:rsidP="00211750">
      <w:pPr>
        <w:pStyle w:val="H4"/>
      </w:pPr>
      <w:bookmarkStart w:id="69" w:name="_Toc477178070"/>
      <w:bookmarkStart w:id="70" w:name="_Toc477248709"/>
      <w:bookmarkStart w:id="71" w:name="_Toc477252695"/>
      <w:r w:rsidRPr="00E02055">
        <w:t>Secretariat</w:t>
      </w:r>
      <w:bookmarkEnd w:id="69"/>
      <w:bookmarkEnd w:id="70"/>
      <w:bookmarkEnd w:id="71"/>
    </w:p>
    <w:p w:rsidR="00E02055" w:rsidRPr="00E02055" w:rsidRDefault="00E02055" w:rsidP="002E776B">
      <w:r w:rsidRPr="00E02055">
        <w:t>The</w:t>
      </w:r>
      <w:r w:rsidRPr="00E02055" w:rsidDel="00482053">
        <w:t xml:space="preserve"> </w:t>
      </w:r>
      <w:r w:rsidR="00D4068D">
        <w:t>Panel</w:t>
      </w:r>
      <w:r w:rsidRPr="00E02055">
        <w:t xml:space="preserve"> and consultative committee were supported by a team within the Department of the Prime Minister and Cabinet. </w:t>
      </w:r>
    </w:p>
    <w:p w:rsidR="00E02055" w:rsidRPr="00E02055" w:rsidRDefault="00E02055" w:rsidP="00211750">
      <w:pPr>
        <w:pStyle w:val="H4"/>
      </w:pPr>
      <w:bookmarkStart w:id="72" w:name="_Toc477178071"/>
      <w:bookmarkStart w:id="73" w:name="_Toc477248710"/>
      <w:bookmarkStart w:id="74" w:name="_Toc477252696"/>
      <w:r w:rsidRPr="00E02055">
        <w:t>Consultation process</w:t>
      </w:r>
      <w:bookmarkEnd w:id="72"/>
      <w:bookmarkEnd w:id="73"/>
      <w:bookmarkEnd w:id="74"/>
      <w:r w:rsidRPr="00E02055">
        <w:t xml:space="preserve"> </w:t>
      </w:r>
    </w:p>
    <w:p w:rsidR="00E02055" w:rsidRPr="00E02055" w:rsidRDefault="00E02055" w:rsidP="002E776B">
      <w:r w:rsidRPr="00E02055">
        <w:t>The</w:t>
      </w:r>
      <w:r w:rsidRPr="00E02055" w:rsidDel="00482053">
        <w:t xml:space="preserve"> </w:t>
      </w:r>
      <w:r w:rsidR="00D4068D">
        <w:t>Panel</w:t>
      </w:r>
      <w:r w:rsidRPr="00E02055">
        <w:t xml:space="preserve"> consulted with a wide range of stakeholders including Aboriginal and Torres Strait Islander community representatives, land councils, local government representatives, housing service providers, academics, and </w:t>
      </w:r>
      <w:r w:rsidR="0004739C">
        <w:t>jurisdiction</w:t>
      </w:r>
      <w:r w:rsidRPr="00E02055">
        <w:t xml:space="preserve"> government representatives. </w:t>
      </w:r>
    </w:p>
    <w:p w:rsidR="00E02055" w:rsidRPr="00053599" w:rsidRDefault="00E02055" w:rsidP="002E776B">
      <w:r w:rsidRPr="00E02055">
        <w:t>The</w:t>
      </w:r>
      <w:r w:rsidRPr="00E02055" w:rsidDel="00482053">
        <w:t xml:space="preserve"> </w:t>
      </w:r>
      <w:r w:rsidR="00D4068D">
        <w:t>Panel</w:t>
      </w:r>
      <w:r w:rsidRPr="00E02055">
        <w:t xml:space="preserve"> met with Aboriginal and Torres Strait Islander people and community leaders in remote </w:t>
      </w:r>
      <w:r w:rsidRPr="00053599">
        <w:t xml:space="preserve">Indigenous communities, and in some instances were invited by tenants to see first-hand the condition of housing </w:t>
      </w:r>
      <w:r w:rsidR="005F088C">
        <w:t>in these places. A list of the 41</w:t>
      </w:r>
      <w:r w:rsidRPr="00053599">
        <w:t xml:space="preserve"> communities and towns visited is provided at </w:t>
      </w:r>
      <w:r w:rsidR="00053599" w:rsidRPr="00053599">
        <w:t>Appendix III</w:t>
      </w:r>
      <w:r w:rsidRPr="00053599">
        <w:t>.</w:t>
      </w:r>
    </w:p>
    <w:p w:rsidR="00E02055" w:rsidRPr="00E02055" w:rsidRDefault="00E02055" w:rsidP="002E776B">
      <w:r w:rsidRPr="00053599">
        <w:lastRenderedPageBreak/>
        <w:t xml:space="preserve">Information about the Review was provided on the Department of the Prime Minister and Cabinet’s website and public submissions were invited. The </w:t>
      </w:r>
      <w:r w:rsidR="00D4068D" w:rsidRPr="00053599">
        <w:t>Panel</w:t>
      </w:r>
      <w:r w:rsidRPr="00053599">
        <w:t xml:space="preserve"> also wrote to stakeholders, inviting their contribution. Twenty-one submissions were received. These are summarised at Appendix </w:t>
      </w:r>
      <w:r w:rsidR="00053599" w:rsidRPr="00053599">
        <w:t>VI</w:t>
      </w:r>
      <w:r w:rsidRPr="00053599">
        <w:t xml:space="preserve">. </w:t>
      </w:r>
    </w:p>
    <w:p w:rsidR="00094C4B" w:rsidRDefault="00094C4B" w:rsidP="00211750">
      <w:r>
        <w:br w:type="page"/>
      </w:r>
    </w:p>
    <w:p w:rsidR="00237C7E" w:rsidRPr="00237C7E" w:rsidRDefault="00237C7E" w:rsidP="00211750">
      <w:pPr>
        <w:pStyle w:val="H2"/>
      </w:pPr>
      <w:bookmarkStart w:id="75" w:name="_Toc475804102"/>
      <w:bookmarkStart w:id="76" w:name="_Toc475991561"/>
      <w:bookmarkStart w:id="77" w:name="_Toc475991801"/>
      <w:bookmarkStart w:id="78" w:name="_Toc476483280"/>
      <w:bookmarkStart w:id="79" w:name="_Toc477178072"/>
      <w:bookmarkStart w:id="80" w:name="_Toc477248711"/>
      <w:bookmarkStart w:id="81" w:name="_Toc477252697"/>
      <w:bookmarkStart w:id="82" w:name="_Toc490218689"/>
      <w:bookmarkEnd w:id="15"/>
      <w:bookmarkEnd w:id="16"/>
      <w:bookmarkEnd w:id="17"/>
      <w:bookmarkEnd w:id="18"/>
      <w:bookmarkEnd w:id="19"/>
      <w:bookmarkEnd w:id="20"/>
      <w:bookmarkEnd w:id="21"/>
      <w:bookmarkEnd w:id="22"/>
      <w:bookmarkEnd w:id="23"/>
      <w:bookmarkEnd w:id="24"/>
      <w:bookmarkEnd w:id="25"/>
      <w:bookmarkEnd w:id="26"/>
      <w:r w:rsidRPr="00237C7E">
        <w:lastRenderedPageBreak/>
        <w:t xml:space="preserve">Secure, quality housing is needed </w:t>
      </w:r>
      <w:r w:rsidR="00547E58">
        <w:t>for Closing</w:t>
      </w:r>
      <w:r w:rsidRPr="00237C7E">
        <w:t xml:space="preserve"> the Gap</w:t>
      </w:r>
      <w:bookmarkEnd w:id="75"/>
      <w:bookmarkEnd w:id="76"/>
      <w:bookmarkEnd w:id="77"/>
      <w:bookmarkEnd w:id="78"/>
      <w:bookmarkEnd w:id="79"/>
      <w:bookmarkEnd w:id="80"/>
      <w:bookmarkEnd w:id="81"/>
      <w:bookmarkEnd w:id="82"/>
    </w:p>
    <w:p w:rsidR="00162DDD" w:rsidRDefault="00162DDD" w:rsidP="00162DDD">
      <w:r w:rsidRPr="00237C7E">
        <w:t>Housing is fundamental to the wellbeing of all Australians – it provides shelter, privacy, safety and security</w:t>
      </w:r>
      <w:r>
        <w:t>,</w:t>
      </w:r>
      <w:r w:rsidRPr="00237C7E">
        <w:t xml:space="preserve"> supports health</w:t>
      </w:r>
      <w:r>
        <w:t xml:space="preserve"> and</w:t>
      </w:r>
      <w:r w:rsidRPr="00237C7E">
        <w:t xml:space="preserve"> education, and has a significant impact on workforce participation. Aboriginal and Torres Strait Islander people have poorer housing outcomes than </w:t>
      </w:r>
      <w:r>
        <w:t>other</w:t>
      </w:r>
      <w:r w:rsidRPr="00237C7E">
        <w:t xml:space="preserve"> Australians. The 2017 Closing the Gap report confirms this.</w:t>
      </w:r>
      <w:r w:rsidRPr="00237C7E">
        <w:rPr>
          <w:rFonts w:cs="Times New Roman"/>
          <w:color w:val="404040" w:themeColor="text1" w:themeTint="BF"/>
          <w:sz w:val="20"/>
          <w:szCs w:val="20"/>
          <w:vertAlign w:val="superscript"/>
        </w:rPr>
        <w:footnoteReference w:id="9"/>
      </w:r>
    </w:p>
    <w:p w:rsidR="00162DDD" w:rsidRPr="00237C7E" w:rsidRDefault="00162DDD" w:rsidP="00162DDD">
      <w:r>
        <w:t>In this Chapter we outline the compelling evidence that the quality, amenity and sustainability of housing in remote Indigenous communities underpin progress on Closing the Gap.</w:t>
      </w:r>
    </w:p>
    <w:p w:rsidR="00162DDD" w:rsidRDefault="00162DDD" w:rsidP="00162DDD">
      <w:r w:rsidRPr="00237C7E">
        <w:t xml:space="preserve">In remote Indigenous communities the reliance on public or social housing exacerbates the challenges, as does overcrowding and the harsh environment. In other settings social housing tends to be set aside for particularly needy families and individuals. In </w:t>
      </w:r>
      <w:r>
        <w:t>many</w:t>
      </w:r>
      <w:r w:rsidRPr="00237C7E">
        <w:t xml:space="preserve"> remote Indigenous communities, this is all the housing there is</w:t>
      </w:r>
      <w:r>
        <w:t>, especially for local people</w:t>
      </w:r>
      <w:r w:rsidRPr="00237C7E">
        <w:t>. Wages do not buy a household out of social housing there</w:t>
      </w:r>
      <w:r>
        <w:t xml:space="preserve">fore preference is not given to the particularly needy. </w:t>
      </w:r>
      <w:r w:rsidRPr="00237C7E">
        <w:t xml:space="preserve">All community </w:t>
      </w:r>
      <w:r>
        <w:t xml:space="preserve">members suffer the results of a </w:t>
      </w:r>
      <w:r w:rsidRPr="00237C7E">
        <w:t xml:space="preserve">lack of housing </w:t>
      </w:r>
      <w:r>
        <w:t xml:space="preserve">and housing </w:t>
      </w:r>
      <w:r w:rsidRPr="00237C7E">
        <w:t>amenity.</w:t>
      </w:r>
    </w:p>
    <w:p w:rsidR="00162DDD" w:rsidRPr="00237C7E" w:rsidRDefault="00162DDD" w:rsidP="00162DDD">
      <w:r>
        <w:t>The Strategy improved housing amenity in remote Indigenous communities. To maintain these improvements, cyclical maintenance and tenancy reform is essential. Without further investment in this area, improvement will be lost, and the $5.4 billion investment will have been wasted.</w:t>
      </w:r>
    </w:p>
    <w:p w:rsidR="00162DDD" w:rsidRPr="00237C7E" w:rsidRDefault="00162DDD" w:rsidP="00162DDD">
      <w:r w:rsidRPr="00E02E29">
        <w:rPr>
          <w:rFonts w:cstheme="minorHAnsi"/>
        </w:rPr>
        <w:t xml:space="preserve">The </w:t>
      </w:r>
      <w:r>
        <w:rPr>
          <w:rFonts w:cstheme="minorHAnsi"/>
        </w:rPr>
        <w:t>Panel</w:t>
      </w:r>
      <w:r w:rsidRPr="00E02E29">
        <w:rPr>
          <w:rFonts w:cstheme="minorHAnsi"/>
        </w:rPr>
        <w:t xml:space="preserve"> commissioned a synthesis of research on the linkages between social and economic outcomes of good housing for Aboriginal and Torres Strait Islander people from the Australian Housing and Urban Research Institute</w:t>
      </w:r>
      <w:r w:rsidRPr="00237C7E">
        <w:t xml:space="preserve"> (AHURI).</w:t>
      </w:r>
      <w:r w:rsidRPr="00237C7E">
        <w:rPr>
          <w:rFonts w:cs="Times New Roman"/>
          <w:color w:val="404040" w:themeColor="text1" w:themeTint="BF"/>
          <w:sz w:val="20"/>
          <w:szCs w:val="20"/>
          <w:vertAlign w:val="superscript"/>
        </w:rPr>
        <w:footnoteReference w:id="10"/>
      </w:r>
      <w:r w:rsidRPr="00237C7E">
        <w:t xml:space="preserve"> </w:t>
      </w:r>
    </w:p>
    <w:p w:rsidR="00237C7E" w:rsidRPr="00237C7E" w:rsidRDefault="00162DDD" w:rsidP="00162DDD">
      <w:r w:rsidRPr="00237C7E">
        <w:t>The following information draws on this report</w:t>
      </w:r>
      <w:r w:rsidR="00237C7E" w:rsidRPr="00237C7E">
        <w:t>.</w:t>
      </w:r>
    </w:p>
    <w:p w:rsidR="00237C7E" w:rsidRPr="002E776B" w:rsidRDefault="00237C7E" w:rsidP="00211750">
      <w:pPr>
        <w:pStyle w:val="H3"/>
      </w:pPr>
      <w:bookmarkStart w:id="83" w:name="_Toc475804104"/>
      <w:bookmarkStart w:id="84" w:name="_Toc475991563"/>
      <w:bookmarkStart w:id="85" w:name="_Toc475991803"/>
      <w:bookmarkStart w:id="86" w:name="_Toc476483281"/>
      <w:bookmarkStart w:id="87" w:name="_Toc477178073"/>
      <w:bookmarkStart w:id="88" w:name="_Toc477248712"/>
      <w:bookmarkStart w:id="89" w:name="_Toc477252698"/>
      <w:bookmarkStart w:id="90" w:name="_Toc490218690"/>
      <w:r w:rsidRPr="002E776B">
        <w:t>Health</w:t>
      </w:r>
      <w:bookmarkEnd w:id="83"/>
      <w:bookmarkEnd w:id="84"/>
      <w:bookmarkEnd w:id="85"/>
      <w:bookmarkEnd w:id="86"/>
      <w:bookmarkEnd w:id="87"/>
      <w:bookmarkEnd w:id="88"/>
      <w:bookmarkEnd w:id="89"/>
      <w:bookmarkEnd w:id="90"/>
    </w:p>
    <w:p w:rsidR="00237C7E" w:rsidRPr="00237C7E" w:rsidRDefault="00237C7E" w:rsidP="00211750">
      <w:pPr>
        <w:pStyle w:val="H4"/>
      </w:pPr>
      <w:bookmarkStart w:id="91" w:name="_Toc477178074"/>
      <w:bookmarkStart w:id="92" w:name="_Toc477248713"/>
      <w:bookmarkStart w:id="93" w:name="_Toc477252699"/>
      <w:r w:rsidRPr="00237C7E">
        <w:t>Overcrowding and poor quality housing lead to poor health outcomes and make it harder to manage chronic disease</w:t>
      </w:r>
      <w:bookmarkEnd w:id="91"/>
      <w:bookmarkEnd w:id="92"/>
      <w:bookmarkEnd w:id="93"/>
    </w:p>
    <w:p w:rsidR="00237C7E" w:rsidRPr="00237C7E" w:rsidRDefault="00237C7E" w:rsidP="002E776B">
      <w:r w:rsidRPr="00237C7E">
        <w:t>Housing is considered a foundational element in physical and mental health, including for disease prevention.</w:t>
      </w:r>
      <w:r w:rsidRPr="00237C7E">
        <w:rPr>
          <w:rFonts w:cs="Times New Roman"/>
          <w:color w:val="404040" w:themeColor="text1" w:themeTint="BF"/>
          <w:sz w:val="20"/>
          <w:szCs w:val="20"/>
          <w:vertAlign w:val="superscript"/>
        </w:rPr>
        <w:footnoteReference w:id="11"/>
      </w:r>
      <w:r w:rsidRPr="00237C7E">
        <w:t xml:space="preserve"> </w:t>
      </w:r>
    </w:p>
    <w:p w:rsidR="00162DDD" w:rsidRPr="00237C7E" w:rsidRDefault="00162DDD" w:rsidP="00162DDD">
      <w:r w:rsidRPr="00237C7E">
        <w:lastRenderedPageBreak/>
        <w:t>Remote Indigenous communities experience high rates of infectious diseases. Overcrowding, lack of access to functional hygiene facilities (e.g. hot water, functional sewerage systems, safe power inside houses, and access to working washing machines) and poor hygiene behaviours facilitate the spread of common illnesses such as influenza. Overcrowding and poor hygiene can also contribute to increased difficulty in managing chronic disease and to other health priorities, such as bringing up healthy infants and children. These rates could be significantly reduced with appropriate investment in quality housing.</w:t>
      </w:r>
    </w:p>
    <w:p w:rsidR="00237C7E" w:rsidRPr="00237C7E" w:rsidRDefault="00162DDD" w:rsidP="00162DDD">
      <w:r>
        <w:t>Stakeholder submissions to the R</w:t>
      </w:r>
      <w:r w:rsidRPr="00237C7E">
        <w:t xml:space="preserve">eview highlighted some health conditions that only impact remote parts of Australia. For example, it was reported there are cases of leprosy and </w:t>
      </w:r>
      <w:r>
        <w:t>tuberculosis</w:t>
      </w:r>
      <w:r w:rsidRPr="00237C7E">
        <w:t xml:space="preserve"> in the Kimberley region of Western Australia.</w:t>
      </w:r>
      <w:r w:rsidRPr="00573A0C">
        <w:rPr>
          <w:vertAlign w:val="superscript"/>
        </w:rPr>
        <w:footnoteReference w:id="12"/>
      </w:r>
      <w:r w:rsidRPr="00237C7E">
        <w:t xml:space="preserve"> Endemic </w:t>
      </w:r>
      <w:r>
        <w:t>tuberculosis</w:t>
      </w:r>
      <w:r w:rsidRPr="00237C7E">
        <w:t xml:space="preserve"> is also present in other areas of remote northern Australia, with Aboriginal and Torres Strait Islander Australians suffering </w:t>
      </w:r>
      <w:r>
        <w:t>tuberculosis</w:t>
      </w:r>
      <w:r w:rsidRPr="00237C7E" w:rsidDel="00A14146">
        <w:t xml:space="preserve"> </w:t>
      </w:r>
      <w:r w:rsidRPr="00237C7E">
        <w:t>at a rate of seven times non-Indigenous people</w:t>
      </w:r>
      <w:r>
        <w:t>,</w:t>
      </w:r>
      <w:r w:rsidRPr="00237C7E">
        <w:t xml:space="preserve"> with the highest rate in the Northern Territory at 24.2 new cases per 100,000 population in 2007.</w:t>
      </w:r>
      <w:r w:rsidRPr="00094C4B">
        <w:rPr>
          <w:rFonts w:cs="Times New Roman"/>
          <w:color w:val="404040" w:themeColor="text1" w:themeTint="BF"/>
          <w:sz w:val="20"/>
          <w:szCs w:val="20"/>
          <w:vertAlign w:val="superscript"/>
        </w:rPr>
        <w:footnoteReference w:id="13"/>
      </w:r>
      <w:r w:rsidRPr="00237C7E">
        <w:t xml:space="preserve"> Household or other close contact with a </w:t>
      </w:r>
      <w:r>
        <w:t>tuberculosis</w:t>
      </w:r>
      <w:r w:rsidRPr="00237C7E" w:rsidDel="00A14146">
        <w:t xml:space="preserve"> </w:t>
      </w:r>
      <w:r w:rsidRPr="00237C7E">
        <w:t>patient was the most common risk factor in all patient groups in 2008</w:t>
      </w:r>
      <w:r w:rsidR="00237C7E" w:rsidRPr="00237C7E">
        <w:t>.</w:t>
      </w:r>
      <w:r w:rsidR="00237C7E" w:rsidRPr="00237C7E">
        <w:rPr>
          <w:rFonts w:cs="Times New Roman"/>
          <w:color w:val="404040" w:themeColor="text1" w:themeTint="BF"/>
          <w:sz w:val="20"/>
          <w:szCs w:val="20"/>
          <w:vertAlign w:val="superscript"/>
        </w:rPr>
        <w:footnoteReference w:id="14"/>
      </w:r>
      <w:r w:rsidR="00237C7E" w:rsidRPr="00237C7E" w:rsidDel="0037600E">
        <w:rPr>
          <w:sz w:val="16"/>
          <w:szCs w:val="16"/>
        </w:rPr>
        <w:t xml:space="preserve"> </w:t>
      </w:r>
    </w:p>
    <w:p w:rsidR="00237C7E" w:rsidRPr="00237C7E" w:rsidRDefault="00237C7E" w:rsidP="00211750">
      <w:pPr>
        <w:pStyle w:val="H4"/>
      </w:pPr>
      <w:bookmarkStart w:id="94" w:name="_Toc477178075"/>
      <w:bookmarkStart w:id="95" w:name="_Toc477248714"/>
      <w:bookmarkStart w:id="96" w:name="_Toc477252700"/>
      <w:r w:rsidRPr="00237C7E">
        <w:t>Overcrowding increases wear and tear on houses, so health hardware breaks down faster</w:t>
      </w:r>
      <w:bookmarkEnd w:id="94"/>
      <w:bookmarkEnd w:id="95"/>
      <w:bookmarkEnd w:id="96"/>
    </w:p>
    <w:p w:rsidR="00717265" w:rsidDel="00EA1FF9" w:rsidRDefault="00162DDD" w:rsidP="002E776B">
      <w:r w:rsidRPr="00237C7E">
        <w:t>Overcrowded conditions result in doors, toilets and taps being used more frequently, increasing the likelihood of wear and tear and break downs in health hardware. This not only underscores the need for regular proactive and reactive maintenance but also the need for high-quality</w:t>
      </w:r>
      <w:r>
        <w:t xml:space="preserve"> and fit</w:t>
      </w:r>
      <w:r>
        <w:noBreakHyphen/>
        <w:t>for</w:t>
      </w:r>
      <w:r>
        <w:noBreakHyphen/>
        <w:t>purpose</w:t>
      </w:r>
      <w:r>
        <w:noBreakHyphen/>
        <w:t>fittings. False economies in selection of health hardware has historically imposed a terrible burden of failing housing amenity, impacting householders’ health and leading to substantially increased restorative costs. Without investment into cyclic maintenance of houses to maintain health hardware, houses built under the Strategy will deteriorate and the investment will be wasted</w:t>
      </w:r>
      <w:r w:rsidR="00717265">
        <w:t>.</w:t>
      </w:r>
    </w:p>
    <w:p w:rsidR="00237C7E" w:rsidRPr="00237C7E" w:rsidRDefault="00162DDD" w:rsidP="002E776B">
      <w:r w:rsidRPr="00237C7E">
        <w:t>According to Healthabitat, the top three priorities for enabling positive health outcomes in homes a</w:t>
      </w:r>
      <w:r>
        <w:t xml:space="preserve">re: washing the kids once a day; washing clothes and bedding; </w:t>
      </w:r>
      <w:r w:rsidRPr="00237C7E">
        <w:t>and removing human waste safely. This means the biggest improvements to health can be attributed to functioning wet areas – the shower</w:t>
      </w:r>
      <w:r>
        <w:t>, laundry and toilet. B</w:t>
      </w:r>
      <w:r w:rsidRPr="00237C7E">
        <w:t>ox</w:t>
      </w:r>
      <w:r>
        <w:t xml:space="preserve"> 2.1 </w:t>
      </w:r>
      <w:r w:rsidRPr="00237C7E">
        <w:t>summarises this important research, carried out specifically to address the health impact of poor housing on Aboriginal and Torres Strait Islander people</w:t>
      </w:r>
      <w:r w:rsidR="00237C7E" w:rsidRPr="00237C7E">
        <w:t>.</w:t>
      </w:r>
    </w:p>
    <w:p w:rsidR="00237C7E" w:rsidRPr="00B9511A" w:rsidRDefault="00B9511A" w:rsidP="002E776B">
      <w:r w:rsidRPr="00B9511A">
        <w:t>The Productivity Commission has reinforced</w:t>
      </w:r>
      <w:r w:rsidR="007C29A0">
        <w:t xml:space="preserve"> the message in its Overcoming I</w:t>
      </w:r>
      <w:r w:rsidRPr="00B9511A">
        <w:t>ndigenous Disadvantage reports</w:t>
      </w:r>
      <w:r>
        <w:t>.</w:t>
      </w:r>
    </w:p>
    <w:p w:rsidR="00237C7E" w:rsidRDefault="00237C7E" w:rsidP="00F47261">
      <w:pPr>
        <w:spacing w:before="120" w:after="120"/>
        <w:ind w:left="720"/>
        <w:rPr>
          <w:i/>
        </w:rPr>
      </w:pPr>
      <w:r w:rsidRPr="00237C7E">
        <w:rPr>
          <w:i/>
        </w:rPr>
        <w:lastRenderedPageBreak/>
        <w:t>‘If a house is appropriately designed for the number of residents and adequately maintained, the bathroom, and adequate kitchen and laundry facilities make it easier to prevent the spread of infectious diseases and to encourage good environmental health.’</w:t>
      </w:r>
      <w:r w:rsidRPr="00237C7E">
        <w:rPr>
          <w:i/>
          <w:vertAlign w:val="superscript"/>
        </w:rPr>
        <w:footnoteReference w:id="15"/>
      </w:r>
      <w:r w:rsidRPr="00237C7E">
        <w:rPr>
          <w: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21"/>
        <w:gridCol w:w="4326"/>
      </w:tblGrid>
      <w:tr w:rsidR="00DD7426" w:rsidRPr="00237C7E" w:rsidTr="00860396">
        <w:tc>
          <w:tcPr>
            <w:tcW w:w="9242" w:type="dxa"/>
            <w:gridSpan w:val="2"/>
          </w:tcPr>
          <w:p w:rsidR="00DD7426" w:rsidRPr="001F4C87" w:rsidRDefault="00DD7426" w:rsidP="00860396">
            <w:pPr>
              <w:rPr>
                <w:b/>
              </w:rPr>
            </w:pPr>
            <w:r w:rsidRPr="001F4C87">
              <w:rPr>
                <w:b/>
              </w:rPr>
              <w:t>Box 2.1: Healthabitat</w:t>
            </w:r>
            <w:r w:rsidRPr="001F4C87">
              <w:rPr>
                <w:rFonts w:cs="Times New Roman"/>
                <w:b/>
                <w:color w:val="404040" w:themeColor="text1" w:themeTint="BF"/>
                <w:sz w:val="20"/>
                <w:szCs w:val="20"/>
                <w:vertAlign w:val="superscript"/>
              </w:rPr>
              <w:footnoteReference w:id="16"/>
            </w:r>
          </w:p>
          <w:p w:rsidR="00DD7426" w:rsidRPr="00237C7E" w:rsidRDefault="00DD7426" w:rsidP="00860396">
            <w:pPr>
              <w:spacing w:before="120" w:after="120"/>
              <w:rPr>
                <w:b/>
              </w:rPr>
            </w:pPr>
            <w:r w:rsidRPr="00237C7E">
              <w:t>Healthabitat has conducted a number of successful</w:t>
            </w:r>
            <w:r>
              <w:t xml:space="preserve"> programs for Commonwealth and jurisdiction</w:t>
            </w:r>
            <w:r w:rsidRPr="00237C7E">
              <w:t xml:space="preserve"> </w:t>
            </w:r>
            <w:r>
              <w:t>g</w:t>
            </w:r>
            <w:r w:rsidRPr="00237C7E">
              <w:t>overnments, using principles known as ‘Healthy Living Practices’ (HLP). These practices contribute to maintaining healthy families and healthy homes:</w:t>
            </w:r>
          </w:p>
        </w:tc>
      </w:tr>
      <w:tr w:rsidR="00DD7426" w:rsidRPr="00237C7E" w:rsidTr="00860396">
        <w:tc>
          <w:tcPr>
            <w:tcW w:w="4621" w:type="dxa"/>
          </w:tcPr>
          <w:p w:rsidR="00DD7426" w:rsidRPr="00237C7E" w:rsidRDefault="00DD7426" w:rsidP="00860396">
            <w:pPr>
              <w:numPr>
                <w:ilvl w:val="0"/>
                <w:numId w:val="13"/>
              </w:numPr>
              <w:spacing w:before="120" w:after="120" w:line="240" w:lineRule="auto"/>
            </w:pPr>
            <w:r w:rsidRPr="00237C7E">
              <w:t>Washing people</w:t>
            </w:r>
          </w:p>
          <w:p w:rsidR="00DD7426" w:rsidRPr="00237C7E" w:rsidRDefault="00DD7426" w:rsidP="00860396">
            <w:pPr>
              <w:numPr>
                <w:ilvl w:val="0"/>
                <w:numId w:val="13"/>
              </w:numPr>
              <w:spacing w:before="120" w:after="120" w:line="240" w:lineRule="auto"/>
            </w:pPr>
            <w:r w:rsidRPr="00237C7E">
              <w:t>Washing clothes and bedding</w:t>
            </w:r>
          </w:p>
          <w:p w:rsidR="00DD7426" w:rsidRPr="00237C7E" w:rsidRDefault="00DD7426" w:rsidP="00860396">
            <w:pPr>
              <w:numPr>
                <w:ilvl w:val="0"/>
                <w:numId w:val="13"/>
              </w:numPr>
              <w:spacing w:before="120" w:after="120" w:line="240" w:lineRule="auto"/>
            </w:pPr>
            <w:r w:rsidRPr="00237C7E">
              <w:t>Removing wastewater safely</w:t>
            </w:r>
          </w:p>
          <w:p w:rsidR="00DD7426" w:rsidRPr="00237C7E" w:rsidRDefault="00DD7426" w:rsidP="00860396">
            <w:pPr>
              <w:numPr>
                <w:ilvl w:val="0"/>
                <w:numId w:val="13"/>
              </w:numPr>
              <w:spacing w:before="120" w:after="120" w:line="240" w:lineRule="auto"/>
            </w:pPr>
            <w:r w:rsidRPr="00237C7E">
              <w:t>Improving nutrition, the ability to store and prepare and cook food</w:t>
            </w:r>
          </w:p>
          <w:p w:rsidR="00DD7426" w:rsidRPr="00237C7E" w:rsidRDefault="00DD7426" w:rsidP="00860396">
            <w:pPr>
              <w:numPr>
                <w:ilvl w:val="0"/>
                <w:numId w:val="13"/>
              </w:numPr>
              <w:spacing w:before="120" w:after="120" w:line="240" w:lineRule="auto"/>
            </w:pPr>
            <w:r w:rsidRPr="00237C7E">
              <w:t>Reducing</w:t>
            </w:r>
            <w:r>
              <w:t xml:space="preserve"> the negative impacts of over</w:t>
            </w:r>
            <w:r w:rsidRPr="00237C7E">
              <w:t>crowding</w:t>
            </w:r>
          </w:p>
        </w:tc>
        <w:tc>
          <w:tcPr>
            <w:tcW w:w="4621" w:type="dxa"/>
          </w:tcPr>
          <w:p w:rsidR="00DD7426" w:rsidRPr="00237C7E" w:rsidRDefault="00DD7426" w:rsidP="00860396">
            <w:pPr>
              <w:numPr>
                <w:ilvl w:val="0"/>
                <w:numId w:val="13"/>
              </w:numPr>
              <w:spacing w:before="120" w:after="120" w:line="240" w:lineRule="auto"/>
            </w:pPr>
            <w:r w:rsidRPr="00237C7E">
              <w:t>Reducing the negative effects of animals, insects and vermin</w:t>
            </w:r>
          </w:p>
          <w:p w:rsidR="00DD7426" w:rsidRPr="00237C7E" w:rsidRDefault="00DD7426" w:rsidP="00860396">
            <w:pPr>
              <w:numPr>
                <w:ilvl w:val="0"/>
                <w:numId w:val="13"/>
              </w:numPr>
              <w:spacing w:before="120" w:after="120" w:line="240" w:lineRule="auto"/>
            </w:pPr>
            <w:r w:rsidRPr="00237C7E">
              <w:t>Reducing the health impacts of dust</w:t>
            </w:r>
          </w:p>
          <w:p w:rsidR="00DD7426" w:rsidRPr="00237C7E" w:rsidRDefault="00DD7426" w:rsidP="00860396">
            <w:pPr>
              <w:numPr>
                <w:ilvl w:val="0"/>
                <w:numId w:val="13"/>
              </w:numPr>
              <w:spacing w:before="120" w:after="120" w:line="240" w:lineRule="auto"/>
            </w:pPr>
            <w:r w:rsidRPr="00237C7E">
              <w:t>Controlling the temperature of the living environment</w:t>
            </w:r>
          </w:p>
          <w:p w:rsidR="00DD7426" w:rsidRPr="00237C7E" w:rsidRDefault="00DD7426" w:rsidP="00860396">
            <w:pPr>
              <w:numPr>
                <w:ilvl w:val="0"/>
                <w:numId w:val="13"/>
              </w:numPr>
              <w:spacing w:before="120" w:after="120" w:line="240" w:lineRule="auto"/>
            </w:pPr>
            <w:r w:rsidRPr="00237C7E">
              <w:t>Reducing hazards that cause injury</w:t>
            </w:r>
          </w:p>
          <w:p w:rsidR="00DD7426" w:rsidRPr="00237C7E" w:rsidRDefault="00DD7426" w:rsidP="00860396">
            <w:pPr>
              <w:spacing w:before="120" w:after="120" w:line="240" w:lineRule="auto"/>
            </w:pPr>
          </w:p>
        </w:tc>
      </w:tr>
      <w:tr w:rsidR="00DD7426" w:rsidRPr="00094C4B" w:rsidTr="00860396">
        <w:tc>
          <w:tcPr>
            <w:tcW w:w="9242" w:type="dxa"/>
            <w:gridSpan w:val="2"/>
          </w:tcPr>
          <w:p w:rsidR="00DD7426" w:rsidRPr="00237C7E" w:rsidRDefault="00DD7426" w:rsidP="00860396">
            <w:pPr>
              <w:spacing w:before="120" w:after="120"/>
            </w:pPr>
            <w:r w:rsidRPr="00237C7E">
              <w:t>The Healthabitat methodology surveys and fixes critical ‘health hardware’ items such as hot water systems, taps, toilets, drains, showers and electrical fittings in houses in rural and remote Indigenous communities. The methodology includes a further survey six months later to measure the improvement in functionality of health hardware as a result of this work, again fixing items as they go. The survey and fix method follows Fred Hollows’ injunction that there should b</w:t>
            </w:r>
            <w:r>
              <w:t>e, ‘no survey without service!’</w:t>
            </w:r>
          </w:p>
          <w:p w:rsidR="00DD7426" w:rsidRPr="001F4C87" w:rsidRDefault="00DD7426" w:rsidP="00860396">
            <w:pPr>
              <w:rPr>
                <w:b/>
              </w:rPr>
            </w:pPr>
            <w:r w:rsidRPr="001F4C87">
              <w:rPr>
                <w:b/>
              </w:rPr>
              <w:t>Key findings &amp; evidence</w:t>
            </w:r>
          </w:p>
          <w:p w:rsidR="00DD7426" w:rsidRPr="00237C7E" w:rsidRDefault="00DD7426" w:rsidP="00860396">
            <w:pPr>
              <w:spacing w:before="120" w:after="120"/>
            </w:pPr>
            <w:r w:rsidRPr="00237C7E">
              <w:t xml:space="preserve">Healthabitat identified a misconception that homes are not well maintained because tenants are negligent or wilfully destructive. The CHIP Review in 2012, </w:t>
            </w:r>
            <w:r w:rsidRPr="00237C7E">
              <w:rPr>
                <w:i/>
              </w:rPr>
              <w:t>Living in a Sunburnt Country,</w:t>
            </w:r>
            <w:r w:rsidRPr="00237C7E">
              <w:t xml:space="preserve"> supported this, finding intentional or unintentional damage was the cause of maintenance problems in nine per cent of the cases. It also determined that quality of maintenance and construction are central to health in remote Indigenous communities. In 66 per cent of cases, lack of programmed maintenance is the cause of problems and in 25 per cent of cases, the cause is poor specifications or faulty workmanship in the first place.</w:t>
            </w:r>
            <w:r w:rsidRPr="00237C7E">
              <w:rPr>
                <w:rFonts w:cs="Times New Roman"/>
                <w:color w:val="404040" w:themeColor="text1" w:themeTint="BF"/>
                <w:sz w:val="20"/>
                <w:szCs w:val="20"/>
                <w:vertAlign w:val="superscript"/>
              </w:rPr>
              <w:footnoteReference w:id="17"/>
            </w:r>
            <w:r w:rsidRPr="00237C7E">
              <w:t xml:space="preserve"> </w:t>
            </w:r>
          </w:p>
          <w:p w:rsidR="00DD7426" w:rsidRPr="00237C7E" w:rsidRDefault="00DD7426" w:rsidP="00860396">
            <w:pPr>
              <w:spacing w:before="120" w:after="120"/>
            </w:pPr>
            <w:r w:rsidRPr="00237C7E">
              <w:lastRenderedPageBreak/>
              <w:t xml:space="preserve">An analysis of data </w:t>
            </w:r>
            <w:r>
              <w:t xml:space="preserve">by </w:t>
            </w:r>
            <w:r w:rsidRPr="00237C7E">
              <w:t>Healthabitat from 8,401 houses where works had been undertaken, showed that post survey:</w:t>
            </w:r>
          </w:p>
          <w:p w:rsidR="00DD7426" w:rsidRPr="00237C7E" w:rsidRDefault="00DD7426" w:rsidP="00860396">
            <w:pPr>
              <w:numPr>
                <w:ilvl w:val="0"/>
                <w:numId w:val="12"/>
              </w:numPr>
              <w:spacing w:before="120" w:after="120"/>
            </w:pPr>
            <w:r w:rsidRPr="00237C7E">
              <w:t xml:space="preserve">87 per cent of showers were functioning, increasing </w:t>
            </w:r>
            <w:r>
              <w:t>from 37 per cent before the fix</w:t>
            </w:r>
          </w:p>
          <w:p w:rsidR="00DD7426" w:rsidRPr="00237C7E" w:rsidRDefault="00DD7426" w:rsidP="00860396">
            <w:pPr>
              <w:numPr>
                <w:ilvl w:val="0"/>
                <w:numId w:val="12"/>
              </w:numPr>
              <w:spacing w:before="120" w:after="120"/>
            </w:pPr>
            <w:r w:rsidRPr="00237C7E">
              <w:t>81 per cent of houses were electrically sa</w:t>
            </w:r>
            <w:r>
              <w:t>fe, increasing from 10 per cent</w:t>
            </w:r>
          </w:p>
          <w:p w:rsidR="00DD7426" w:rsidRPr="00237C7E" w:rsidRDefault="00DD7426" w:rsidP="00860396">
            <w:pPr>
              <w:numPr>
                <w:ilvl w:val="0"/>
                <w:numId w:val="12"/>
              </w:numPr>
              <w:spacing w:before="120" w:after="120"/>
            </w:pPr>
            <w:r w:rsidRPr="00237C7E">
              <w:t>91 per cent had a working toil</w:t>
            </w:r>
            <w:r>
              <w:t>et, increasing from 59 per cent,</w:t>
            </w:r>
            <w:r w:rsidRPr="00237C7E">
              <w:t xml:space="preserve"> and</w:t>
            </w:r>
          </w:p>
          <w:p w:rsidR="00DD7426" w:rsidRPr="00237C7E" w:rsidRDefault="00DD7426" w:rsidP="00860396">
            <w:pPr>
              <w:numPr>
                <w:ilvl w:val="0"/>
                <w:numId w:val="12"/>
              </w:numPr>
              <w:spacing w:before="120" w:after="120"/>
            </w:pPr>
            <w:r w:rsidRPr="00237C7E">
              <w:t>24 per cent had a working kitchen, increasing from six per cent.</w:t>
            </w:r>
            <w:r w:rsidRPr="00237C7E">
              <w:rPr>
                <w:rFonts w:cs="Times New Roman"/>
                <w:color w:val="404040" w:themeColor="text1" w:themeTint="BF"/>
                <w:sz w:val="20"/>
                <w:szCs w:val="20"/>
                <w:vertAlign w:val="superscript"/>
              </w:rPr>
              <w:footnoteReference w:id="18"/>
            </w:r>
          </w:p>
          <w:p w:rsidR="00DD7426" w:rsidRDefault="00DD7426" w:rsidP="00860396">
            <w:pPr>
              <w:spacing w:before="120" w:after="120"/>
            </w:pPr>
            <w:r w:rsidRPr="00237C7E">
              <w:t xml:space="preserve">The </w:t>
            </w:r>
            <w:r>
              <w:t>New South Wales</w:t>
            </w:r>
            <w:r w:rsidRPr="00237C7E">
              <w:t xml:space="preserve"> Government used the Healthabitat methodology to deliver the </w:t>
            </w:r>
            <w:r w:rsidRPr="00237C7E">
              <w:rPr>
                <w:i/>
              </w:rPr>
              <w:t>Housing for Health</w:t>
            </w:r>
            <w:r w:rsidRPr="00237C7E">
              <w:t xml:space="preserve"> program. It conducted an evaluation which focused on the health benefits of the model in 71 communities that was used to fix 2,230 houses over the last 10 years. This included fixing over 51,700 individual items critical to health and safety. Residents living where the Housing for Health program had been delivered had a rate of hospital separation for infectious diseases 40 per cent lower than the rate for the rest of the rural </w:t>
            </w:r>
            <w:r>
              <w:t>New South Wales</w:t>
            </w:r>
            <w:r w:rsidRPr="00237C7E">
              <w:t xml:space="preserve"> </w:t>
            </w:r>
            <w:r>
              <w:t>Aboriginal and Torres Strait Islander</w:t>
            </w:r>
            <w:r w:rsidRPr="00237C7E">
              <w:t xml:space="preserve"> population.</w:t>
            </w:r>
            <w:r w:rsidRPr="00237C7E">
              <w:rPr>
                <w:rFonts w:cs="Times New Roman"/>
                <w:color w:val="404040" w:themeColor="text1" w:themeTint="BF"/>
                <w:sz w:val="20"/>
                <w:szCs w:val="20"/>
                <w:vertAlign w:val="superscript"/>
              </w:rPr>
              <w:footnoteReference w:id="19"/>
            </w:r>
            <w:r>
              <w:t xml:space="preserve"> </w:t>
            </w:r>
          </w:p>
          <w:p w:rsidR="00DD7426" w:rsidRPr="00162DDD" w:rsidRDefault="00DD7426" w:rsidP="00860396">
            <w:pPr>
              <w:spacing w:before="120" w:after="120"/>
              <w:rPr>
                <w:b/>
              </w:rPr>
            </w:pPr>
            <w:bookmarkStart w:id="97" w:name="figure22"/>
            <w:bookmarkEnd w:id="97"/>
            <w:r w:rsidRPr="00162DDD">
              <w:rPr>
                <w:b/>
                <w:sz w:val="20"/>
                <w:szCs w:val="20"/>
              </w:rPr>
              <w:t>Figure 2.2: Before and after rate ratios for disease conditions in populations exposed to Housing for Health (intervention group) versus rural New South Wales Aboriginal control population (non-intervention group)</w:t>
            </w:r>
          </w:p>
          <w:p w:rsidR="00DD7426" w:rsidRDefault="00DD7426" w:rsidP="00860396">
            <w:pPr>
              <w:spacing w:before="120" w:after="120"/>
            </w:pPr>
            <w:r>
              <w:rPr>
                <w:noProof/>
                <w:lang w:eastAsia="en-AU"/>
              </w:rPr>
              <w:drawing>
                <wp:inline distT="0" distB="0" distL="0" distR="0" wp14:anchorId="7A1AE0CA" wp14:editId="7A1AE0CB">
                  <wp:extent cx="5522976" cy="2066396"/>
                  <wp:effectExtent l="0" t="0" r="1905" b="0"/>
                  <wp:docPr id="3" name="Picture 3" descr="Link to extended text description is below" title="Link to extended text descrip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22849" cy="2066349"/>
                          </a:xfrm>
                          <a:prstGeom prst="rect">
                            <a:avLst/>
                          </a:prstGeom>
                        </pic:spPr>
                      </pic:pic>
                    </a:graphicData>
                  </a:graphic>
                </wp:inline>
              </w:drawing>
            </w:r>
          </w:p>
          <w:p w:rsidR="00DD7426" w:rsidRPr="009E2B79" w:rsidRDefault="00DD7426" w:rsidP="00860396">
            <w:pPr>
              <w:pStyle w:val="tbsfigs"/>
              <w:rPr>
                <w:b w:val="0"/>
                <w:i/>
                <w:sz w:val="18"/>
                <w:szCs w:val="18"/>
              </w:rPr>
            </w:pPr>
            <w:r w:rsidRPr="009E2B79">
              <w:rPr>
                <w:b w:val="0"/>
                <w:i/>
                <w:sz w:val="18"/>
                <w:szCs w:val="18"/>
              </w:rPr>
              <w:t>Note: Disease rate is measured by hospital separations.</w:t>
            </w:r>
          </w:p>
          <w:p w:rsidR="00DD7426" w:rsidRPr="009E2B79" w:rsidRDefault="00DD7426" w:rsidP="00860396">
            <w:pPr>
              <w:pStyle w:val="tbsfigs"/>
              <w:rPr>
                <w:b w:val="0"/>
                <w:i/>
                <w:sz w:val="18"/>
                <w:szCs w:val="18"/>
              </w:rPr>
            </w:pPr>
            <w:r w:rsidRPr="009E2B79">
              <w:rPr>
                <w:b w:val="0"/>
                <w:i/>
                <w:sz w:val="18"/>
                <w:szCs w:val="18"/>
              </w:rPr>
              <w:t>Source: NSW Health 2010.</w:t>
            </w:r>
          </w:p>
          <w:p w:rsidR="00DD7426" w:rsidRPr="00094C4B" w:rsidRDefault="00DD7426" w:rsidP="00860396">
            <w:pPr>
              <w:spacing w:before="120" w:after="120"/>
            </w:pPr>
            <w:r>
              <w:t xml:space="preserve">View the </w:t>
            </w:r>
            <w:hyperlink w:anchor="fig22" w:history="1">
              <w:r w:rsidRPr="00667862">
                <w:rPr>
                  <w:rStyle w:val="Hyperlink"/>
                  <w:color w:val="0B84FF" w:themeColor="text2" w:themeTint="99"/>
                </w:rPr>
                <w:t>text alternative for Figure 2.2</w:t>
              </w:r>
            </w:hyperlink>
          </w:p>
        </w:tc>
      </w:tr>
    </w:tbl>
    <w:p w:rsidR="00DD7426" w:rsidRPr="00237C7E" w:rsidRDefault="00DD7426" w:rsidP="00DD7426">
      <w:pPr>
        <w:spacing w:before="120" w:after="120"/>
        <w:rPr>
          <w:i/>
        </w:rPr>
      </w:pPr>
    </w:p>
    <w:p w:rsidR="00237C7E" w:rsidRPr="002E776B" w:rsidRDefault="00237C7E" w:rsidP="00211750">
      <w:pPr>
        <w:pStyle w:val="H3"/>
      </w:pPr>
      <w:bookmarkStart w:id="98" w:name="_Toc475804105"/>
      <w:bookmarkStart w:id="99" w:name="_Toc475991564"/>
      <w:bookmarkStart w:id="100" w:name="_Toc475991804"/>
      <w:bookmarkStart w:id="101" w:name="_Toc476483282"/>
      <w:bookmarkStart w:id="102" w:name="_Toc477178076"/>
      <w:bookmarkStart w:id="103" w:name="_Toc477248715"/>
      <w:bookmarkStart w:id="104" w:name="_Toc477252701"/>
      <w:bookmarkStart w:id="105" w:name="_Toc490218691"/>
      <w:r w:rsidRPr="002E776B">
        <w:lastRenderedPageBreak/>
        <w:t>Community safety</w:t>
      </w:r>
      <w:bookmarkEnd w:id="98"/>
      <w:bookmarkEnd w:id="99"/>
      <w:bookmarkEnd w:id="100"/>
      <w:bookmarkEnd w:id="101"/>
      <w:bookmarkEnd w:id="102"/>
      <w:bookmarkEnd w:id="103"/>
      <w:bookmarkEnd w:id="104"/>
      <w:bookmarkEnd w:id="105"/>
      <w:r w:rsidRPr="002E776B">
        <w:t xml:space="preserve"> </w:t>
      </w:r>
    </w:p>
    <w:p w:rsidR="00237C7E" w:rsidRPr="00237C7E" w:rsidRDefault="00237C7E" w:rsidP="00211750">
      <w:pPr>
        <w:pStyle w:val="H4"/>
      </w:pPr>
      <w:bookmarkStart w:id="106" w:name="_Toc477178077"/>
      <w:bookmarkStart w:id="107" w:name="_Toc477248716"/>
      <w:bookmarkStart w:id="108" w:name="_Toc477252702"/>
      <w:r w:rsidRPr="00237C7E">
        <w:t>Poor quality and overcrowded conditions increase pressure in homes, meaning tension and violence can escalate quickly</w:t>
      </w:r>
      <w:bookmarkEnd w:id="106"/>
      <w:bookmarkEnd w:id="107"/>
      <w:bookmarkEnd w:id="108"/>
    </w:p>
    <w:p w:rsidR="00237C7E" w:rsidRPr="00237C7E" w:rsidRDefault="00162DDD" w:rsidP="002E776B">
      <w:r w:rsidRPr="00237C7E">
        <w:t xml:space="preserve">The </w:t>
      </w:r>
      <w:r>
        <w:t>Western Australia</w:t>
      </w:r>
      <w:r w:rsidRPr="00237C7E">
        <w:t xml:space="preserve"> Inquiry into the </w:t>
      </w:r>
      <w:r>
        <w:t>R</w:t>
      </w:r>
      <w:r w:rsidRPr="00237C7E">
        <w:t>esponse by Government Agencies to Complaints of Family Violence and Child Abuse in Aboriginal Communities directly linked poor housing to domestic family violence. Aboriginal and Torres Strait Islander women living in rural and remote areas experience family violence at a rate 45 times higher than their non-Indigenous peers. This often takes place in a context of poor housing conditions, overcrowded dwellings and insufficient supply of housing including crisis accommodation for victims of violence or abuse</w:t>
      </w:r>
      <w:r w:rsidR="00237C7E" w:rsidRPr="00237C7E">
        <w:t>.</w:t>
      </w:r>
      <w:r w:rsidR="00237C7E" w:rsidRPr="00237C7E">
        <w:rPr>
          <w:vertAlign w:val="superscript"/>
        </w:rPr>
        <w:t xml:space="preserve"> </w:t>
      </w:r>
      <w:r w:rsidR="00237C7E" w:rsidRPr="00237C7E">
        <w:rPr>
          <w:vertAlign w:val="superscript"/>
        </w:rPr>
        <w:footnoteReference w:id="20"/>
      </w:r>
    </w:p>
    <w:p w:rsidR="00237C7E" w:rsidRPr="00237C7E" w:rsidRDefault="00162DDD" w:rsidP="002E776B">
      <w:r w:rsidRPr="00237C7E">
        <w:t xml:space="preserve">The </w:t>
      </w:r>
      <w:r>
        <w:t>Panel</w:t>
      </w:r>
      <w:r w:rsidRPr="00237C7E">
        <w:t xml:space="preserve"> saw firsthand the limited housing options for people experiencing domestic violence in remote areas and for men returning from prison, a significant number of who have been perpetrators and find it hard to stabilise their lives and avoid re-offending without stable housing with</w:t>
      </w:r>
      <w:r>
        <w:t>,</w:t>
      </w:r>
      <w:r w:rsidRPr="00237C7E">
        <w:t xml:space="preserve"> or separate from</w:t>
      </w:r>
      <w:r>
        <w:t>,</w:t>
      </w:r>
      <w:r w:rsidRPr="00237C7E">
        <w:t xml:space="preserve"> partners and children. This unstable housing situation frequently causes homelessness, increasing overcrowding and exacerbating household tensions</w:t>
      </w:r>
      <w:r w:rsidR="00237C7E" w:rsidRPr="00237C7E">
        <w:t>.</w:t>
      </w:r>
      <w:r w:rsidR="00C573DC">
        <w:t xml:space="preserve"> </w:t>
      </w:r>
    </w:p>
    <w:p w:rsidR="00237C7E" w:rsidRPr="002E776B" w:rsidRDefault="00237C7E" w:rsidP="00211750">
      <w:pPr>
        <w:pStyle w:val="H3"/>
      </w:pPr>
      <w:bookmarkStart w:id="109" w:name="_Toc475804106"/>
      <w:bookmarkStart w:id="110" w:name="_Toc475991565"/>
      <w:bookmarkStart w:id="111" w:name="_Toc475991805"/>
      <w:bookmarkStart w:id="112" w:name="_Toc476483283"/>
      <w:bookmarkStart w:id="113" w:name="_Toc477178078"/>
      <w:bookmarkStart w:id="114" w:name="_Toc477248717"/>
      <w:bookmarkStart w:id="115" w:name="_Toc477252703"/>
      <w:bookmarkStart w:id="116" w:name="_Toc490218692"/>
      <w:r w:rsidRPr="002E776B">
        <w:t>Employment and education</w:t>
      </w:r>
      <w:bookmarkEnd w:id="109"/>
      <w:bookmarkEnd w:id="110"/>
      <w:bookmarkEnd w:id="111"/>
      <w:bookmarkEnd w:id="112"/>
      <w:bookmarkEnd w:id="113"/>
      <w:bookmarkEnd w:id="114"/>
      <w:bookmarkEnd w:id="115"/>
      <w:bookmarkEnd w:id="116"/>
    </w:p>
    <w:p w:rsidR="00237C7E" w:rsidRPr="00237C7E" w:rsidRDefault="00237C7E" w:rsidP="00211750">
      <w:pPr>
        <w:pStyle w:val="H4"/>
      </w:pPr>
      <w:bookmarkStart w:id="117" w:name="_Toc477178079"/>
      <w:bookmarkStart w:id="118" w:name="_Toc477248718"/>
      <w:bookmarkStart w:id="119" w:name="_Toc477252704"/>
      <w:r w:rsidRPr="00237C7E">
        <w:t>Overcrowding negatively affects participation in education and employment</w:t>
      </w:r>
      <w:bookmarkEnd w:id="117"/>
      <w:bookmarkEnd w:id="118"/>
      <w:bookmarkEnd w:id="119"/>
    </w:p>
    <w:p w:rsidR="00237C7E" w:rsidRPr="00237C7E" w:rsidRDefault="00915549" w:rsidP="002E776B">
      <w:r w:rsidRPr="00237C7E">
        <w:t xml:space="preserve">People who have secure </w:t>
      </w:r>
      <w:r w:rsidRPr="00E6369A">
        <w:t>housing that is not overcrowded are more likely to be able to be employed.</w:t>
      </w:r>
      <w:r w:rsidRPr="00E6369A">
        <w:rPr>
          <w:rFonts w:cs="Times New Roman"/>
          <w:color w:val="404040" w:themeColor="text1" w:themeTint="BF"/>
          <w:vertAlign w:val="superscript"/>
        </w:rPr>
        <w:footnoteReference w:id="21"/>
      </w:r>
      <w:r w:rsidRPr="00E6369A">
        <w:t xml:space="preserve"> In addition to the stresses of housing tenure, living in places of high unemployment can reduce employment prospects due to negative social and behavioural effects such as limited social and employment networks, poor work</w:t>
      </w:r>
      <w:r w:rsidRPr="00237C7E">
        <w:t xml:space="preserve"> role models and low levels of social capital and community cohesion</w:t>
      </w:r>
      <w:r w:rsidR="00237C7E" w:rsidRPr="00237C7E">
        <w:t>.</w:t>
      </w:r>
      <w:r w:rsidR="00237C7E" w:rsidRPr="00237C7E">
        <w:rPr>
          <w:rFonts w:cs="Times New Roman"/>
          <w:color w:val="404040" w:themeColor="text1" w:themeTint="BF"/>
          <w:sz w:val="20"/>
          <w:szCs w:val="20"/>
          <w:vertAlign w:val="superscript"/>
        </w:rPr>
        <w:footnoteReference w:id="22"/>
      </w:r>
    </w:p>
    <w:p w:rsidR="00915549" w:rsidRPr="00237C7E" w:rsidRDefault="00915549" w:rsidP="00915549">
      <w:r w:rsidRPr="00237C7E">
        <w:t>Overcrowding can make it difficult for children to study at home and can lead to stress which adversely impacts upon school performance.</w:t>
      </w:r>
      <w:r w:rsidRPr="00237C7E">
        <w:rPr>
          <w:vertAlign w:val="superscript"/>
        </w:rPr>
        <w:footnoteReference w:id="23"/>
      </w:r>
      <w:r w:rsidRPr="00237C7E">
        <w:t xml:space="preserve"> Children in overcrowded housing may also have less sleep and irregular sleep patterns due to different schedules of household members that can lead </w:t>
      </w:r>
      <w:r w:rsidRPr="00237C7E">
        <w:lastRenderedPageBreak/>
        <w:t>to difficulty concentrating during the day and negatively affect mood and behaviour.</w:t>
      </w:r>
      <w:r w:rsidRPr="00237C7E">
        <w:rPr>
          <w:rFonts w:cs="Times New Roman"/>
          <w:color w:val="404040" w:themeColor="text1" w:themeTint="BF"/>
          <w:sz w:val="20"/>
          <w:szCs w:val="20"/>
          <w:vertAlign w:val="superscript"/>
        </w:rPr>
        <w:footnoteReference w:id="24"/>
      </w:r>
      <w:r w:rsidRPr="00237C7E">
        <w:t xml:space="preserve"> For these reasons, children sleeping in an overcrowded house are less likely to go to school.</w:t>
      </w:r>
      <w:r w:rsidRPr="00237C7E">
        <w:rPr>
          <w:rFonts w:cs="Times New Roman"/>
          <w:color w:val="404040" w:themeColor="text1" w:themeTint="BF"/>
          <w:sz w:val="20"/>
          <w:szCs w:val="20"/>
          <w:vertAlign w:val="superscript"/>
        </w:rPr>
        <w:footnoteReference w:id="25"/>
      </w:r>
      <w:r w:rsidRPr="00237C7E">
        <w:t xml:space="preserve"> </w:t>
      </w:r>
    </w:p>
    <w:p w:rsidR="00915549" w:rsidRPr="00237C7E" w:rsidRDefault="00915549" w:rsidP="00915549">
      <w:r w:rsidRPr="00237C7E">
        <w:t>Overcrowding and poor housing condition combined with poor health negatively impacts early childhood development. These factors all contribute to a person’s ability to participate later in life.</w:t>
      </w:r>
      <w:r w:rsidRPr="00237C7E">
        <w:rPr>
          <w:rFonts w:cs="Times New Roman"/>
          <w:color w:val="404040" w:themeColor="text1" w:themeTint="BF"/>
          <w:sz w:val="20"/>
          <w:szCs w:val="20"/>
          <w:vertAlign w:val="superscript"/>
        </w:rPr>
        <w:footnoteReference w:id="26"/>
      </w:r>
    </w:p>
    <w:p w:rsidR="00237C7E" w:rsidRPr="00237C7E" w:rsidRDefault="00915549" w:rsidP="00915549">
      <w:r w:rsidRPr="00237C7E">
        <w:t>At a practical level, the Panel heard from community members that overcrowded conditions often result in possessions, such as work boots or school books, being misplaced or taken, which makes it so much more difficult to actively participate in school or work</w:t>
      </w:r>
      <w:r w:rsidR="00237C7E" w:rsidRPr="00237C7E">
        <w:t xml:space="preserve">. </w:t>
      </w:r>
    </w:p>
    <w:p w:rsidR="00237C7E" w:rsidRPr="002E776B" w:rsidRDefault="00237C7E" w:rsidP="00211750">
      <w:pPr>
        <w:pStyle w:val="H3"/>
      </w:pPr>
      <w:bookmarkStart w:id="120" w:name="_Toc476483284"/>
      <w:bookmarkStart w:id="121" w:name="_Toc477178080"/>
      <w:bookmarkStart w:id="122" w:name="_Toc477248719"/>
      <w:bookmarkStart w:id="123" w:name="_Toc477252705"/>
      <w:bookmarkStart w:id="124" w:name="_Toc490218693"/>
      <w:r w:rsidRPr="002E776B">
        <w:t>Housing impacts everything you’re able to do</w:t>
      </w:r>
      <w:bookmarkEnd w:id="120"/>
      <w:bookmarkEnd w:id="121"/>
      <w:bookmarkEnd w:id="122"/>
      <w:bookmarkEnd w:id="123"/>
      <w:bookmarkEnd w:id="124"/>
      <w:r w:rsidRPr="002E776B">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47"/>
      </w:tblGrid>
      <w:tr w:rsidR="00237C7E" w:rsidRPr="00237C7E" w:rsidTr="00237C7E">
        <w:tc>
          <w:tcPr>
            <w:tcW w:w="9242" w:type="dxa"/>
          </w:tcPr>
          <w:p w:rsidR="00237C7E" w:rsidRPr="001F4C87" w:rsidRDefault="0053011A" w:rsidP="001F4C87">
            <w:pPr>
              <w:rPr>
                <w:b/>
              </w:rPr>
            </w:pPr>
            <w:r w:rsidRPr="001F4C87">
              <w:rPr>
                <w:b/>
              </w:rPr>
              <w:t>Box 2</w:t>
            </w:r>
            <w:r w:rsidR="009073D5" w:rsidRPr="001F4C87">
              <w:rPr>
                <w:b/>
              </w:rPr>
              <w:t>.3</w:t>
            </w:r>
            <w:r w:rsidR="00237C7E" w:rsidRPr="001F4C87">
              <w:rPr>
                <w:b/>
              </w:rPr>
              <w:t xml:space="preserve">: Reflections of a Panel </w:t>
            </w:r>
            <w:r w:rsidR="001654D8" w:rsidRPr="001F4C87">
              <w:rPr>
                <w:b/>
              </w:rPr>
              <w:t>m</w:t>
            </w:r>
            <w:r w:rsidR="00237C7E" w:rsidRPr="001F4C87">
              <w:rPr>
                <w:b/>
              </w:rPr>
              <w:t xml:space="preserve">ember – what it means </w:t>
            </w:r>
            <w:r w:rsidR="001654D8" w:rsidRPr="001F4C87">
              <w:rPr>
                <w:b/>
              </w:rPr>
              <w:t>to live in an overcrowded house</w:t>
            </w:r>
          </w:p>
          <w:p w:rsidR="00237C7E" w:rsidRPr="00237C7E" w:rsidRDefault="00237C7E" w:rsidP="00F47261">
            <w:pPr>
              <w:spacing w:before="120" w:after="120"/>
              <w:rPr>
                <w:rFonts w:cstheme="minorHAnsi"/>
                <w:i/>
              </w:rPr>
            </w:pPr>
            <w:r w:rsidRPr="00237C7E">
              <w:rPr>
                <w:rFonts w:cstheme="minorHAnsi"/>
                <w:i/>
              </w:rPr>
              <w:t>Mary lives in a remote community in the far north of Queensland, in a three-bedroom house that is currently accommodating 20 of her relatives. She is a single mother of two, and is the head tenant, responsible for paying the rent and ensuring good upkeep of the property, but has both a cultural obligation and a humanitarian need to welcome extended family members into her home. The shortage of accommodation in the community means that her extended family would be homeless unless they found space to stay in her home.</w:t>
            </w:r>
          </w:p>
          <w:p w:rsidR="00237C7E" w:rsidRPr="00237C7E" w:rsidRDefault="00237C7E" w:rsidP="00F47261">
            <w:pPr>
              <w:spacing w:before="120" w:after="120"/>
              <w:rPr>
                <w:rFonts w:cstheme="minorHAnsi"/>
                <w:i/>
              </w:rPr>
            </w:pPr>
            <w:r w:rsidRPr="00237C7E">
              <w:rPr>
                <w:rFonts w:cstheme="minorHAnsi"/>
                <w:i/>
              </w:rPr>
              <w:t>After a day at work, she comes home to find the weekly food shop purchased for her children has been consumed by relatives. The number of people in the house with different bedtimes and sleeping habits means her children find it very difficult to sleep and often aren’t rested or alert enough to study effectively at school the next day. And if her uncle Charlie falls over on his walking frame and dents the wall again, because he is trying to work around the people in the overcrowded living room, she will have to pay the bill to fix it, as she is head tenant.</w:t>
            </w:r>
          </w:p>
          <w:p w:rsidR="00237C7E" w:rsidRPr="00237C7E" w:rsidRDefault="00237C7E" w:rsidP="00F47261">
            <w:pPr>
              <w:keepNext/>
              <w:keepLines/>
              <w:widowControl w:val="0"/>
              <w:spacing w:before="120" w:after="120"/>
            </w:pPr>
            <w:r w:rsidRPr="00237C7E">
              <w:rPr>
                <w:rFonts w:cstheme="minorHAnsi"/>
                <w:i/>
              </w:rPr>
              <w:t>The Strategy has delivered a house for Mary to lease, but because of the shortage of housing stock, it has not yet allowed her or many others in remote communities to create a functional home.</w:t>
            </w:r>
          </w:p>
        </w:tc>
      </w:tr>
    </w:tbl>
    <w:p w:rsidR="006C443A" w:rsidRDefault="006C443A" w:rsidP="00641FF8">
      <w:bookmarkStart w:id="125" w:name="_Toc477178081"/>
      <w:bookmarkStart w:id="126" w:name="_Toc477248720"/>
      <w:bookmarkStart w:id="127" w:name="_Toc477252706"/>
    </w:p>
    <w:p w:rsidR="006C443A" w:rsidRDefault="006C443A">
      <w:r>
        <w:br w:type="page"/>
      </w:r>
    </w:p>
    <w:p w:rsidR="00641FF8" w:rsidRDefault="00641FF8" w:rsidP="00641FF8"/>
    <w:p w:rsidR="00237C7E" w:rsidRPr="002E776B" w:rsidRDefault="00F47261" w:rsidP="00211750">
      <w:pPr>
        <w:pStyle w:val="H3"/>
      </w:pPr>
      <w:bookmarkStart w:id="128" w:name="_Toc490218694"/>
      <w:r w:rsidRPr="002E776B">
        <w:t>Key Findings</w:t>
      </w:r>
      <w:bookmarkEnd w:id="125"/>
      <w:bookmarkEnd w:id="126"/>
      <w:bookmarkEnd w:id="127"/>
      <w:bookmarkEnd w:id="128"/>
    </w:p>
    <w:p w:rsidR="001F4C87" w:rsidRDefault="00237C7E" w:rsidP="001F4C87">
      <w:pPr>
        <w:spacing w:before="120" w:after="120" w:line="259" w:lineRule="auto"/>
        <w:rPr>
          <w:b/>
        </w:rPr>
      </w:pPr>
      <w:r w:rsidRPr="00237C7E">
        <w:rPr>
          <w:b/>
        </w:rPr>
        <w:t>High levels of overcrowding and poor housing condition negatively impact on outcomes in health, education, employment and safety.</w:t>
      </w:r>
    </w:p>
    <w:p w:rsidR="001F4C87" w:rsidRDefault="00237C7E" w:rsidP="001F4C87">
      <w:pPr>
        <w:spacing w:before="120" w:after="120" w:line="259" w:lineRule="auto"/>
        <w:rPr>
          <w:b/>
        </w:rPr>
      </w:pPr>
      <w:r w:rsidRPr="00237C7E">
        <w:rPr>
          <w:b/>
        </w:rPr>
        <w:t xml:space="preserve">There is particularly </w:t>
      </w:r>
      <w:r w:rsidR="00383061">
        <w:rPr>
          <w:b/>
        </w:rPr>
        <w:t xml:space="preserve">clear </w:t>
      </w:r>
      <w:r w:rsidRPr="00237C7E">
        <w:rPr>
          <w:b/>
        </w:rPr>
        <w:t xml:space="preserve">evidence </w:t>
      </w:r>
      <w:r w:rsidR="00383061">
        <w:rPr>
          <w:b/>
        </w:rPr>
        <w:t>of</w:t>
      </w:r>
      <w:r w:rsidRPr="00237C7E">
        <w:rPr>
          <w:b/>
        </w:rPr>
        <w:t xml:space="preserve"> the strong relationship between health outcomes and the installation and proactive maintenance of hardware in houses that will both stand up to the conditions and facilitate key healthy living behaviours.</w:t>
      </w:r>
    </w:p>
    <w:p w:rsidR="007479C2" w:rsidRPr="001F4C87" w:rsidRDefault="00237C7E" w:rsidP="001F4C87">
      <w:pPr>
        <w:spacing w:before="120" w:after="120" w:line="259" w:lineRule="auto"/>
        <w:rPr>
          <w:b/>
        </w:rPr>
      </w:pPr>
      <w:r w:rsidRPr="00237C7E">
        <w:rPr>
          <w:b/>
        </w:rPr>
        <w:t>Overcrowding prejudices the chances of head tenants and heads of famili</w:t>
      </w:r>
      <w:r w:rsidR="00526BEB">
        <w:rPr>
          <w:b/>
        </w:rPr>
        <w:t>es to maintain a home</w:t>
      </w:r>
      <w:r w:rsidR="00383061">
        <w:rPr>
          <w:b/>
        </w:rPr>
        <w:t xml:space="preserve"> routine and a </w:t>
      </w:r>
      <w:r w:rsidRPr="00237C7E">
        <w:rPr>
          <w:b/>
        </w:rPr>
        <w:t xml:space="preserve">calm, clean, healthy and safe environment for family members. </w:t>
      </w:r>
      <w:r w:rsidR="003F275F">
        <w:br w:type="page"/>
      </w:r>
      <w:bookmarkStart w:id="129" w:name="_Toc477178082"/>
      <w:bookmarkStart w:id="130" w:name="_Toc477248721"/>
      <w:bookmarkStart w:id="131" w:name="_Toc477252707"/>
      <w:bookmarkStart w:id="132" w:name="_Toc476644161"/>
      <w:bookmarkStart w:id="133" w:name="_Toc476650854"/>
      <w:bookmarkStart w:id="134" w:name="_Toc476658514"/>
      <w:bookmarkStart w:id="135" w:name="_Toc476659217"/>
      <w:bookmarkStart w:id="136" w:name="_Toc476661023"/>
      <w:bookmarkStart w:id="137" w:name="_Toc476663419"/>
      <w:bookmarkStart w:id="138" w:name="_Toc476669861"/>
      <w:bookmarkStart w:id="139" w:name="_Toc476665876"/>
      <w:bookmarkStart w:id="140" w:name="_Toc476671351"/>
      <w:bookmarkStart w:id="141" w:name="_Toc476676509"/>
      <w:bookmarkStart w:id="142" w:name="_Toc476677791"/>
      <w:bookmarkStart w:id="143" w:name="_Toc476678225"/>
    </w:p>
    <w:p w:rsidR="003F275F" w:rsidRPr="002D4BE2" w:rsidRDefault="003F275F" w:rsidP="00211750">
      <w:pPr>
        <w:pStyle w:val="H2"/>
      </w:pPr>
      <w:bookmarkStart w:id="144" w:name="_Toc490218695"/>
      <w:r w:rsidRPr="002D4BE2">
        <w:lastRenderedPageBreak/>
        <w:t>R</w:t>
      </w:r>
      <w:r w:rsidR="001D0C05">
        <w:t>educing o</w:t>
      </w:r>
      <w:r w:rsidR="007C29A0">
        <w:t>vercrowding in remote I</w:t>
      </w:r>
      <w:r w:rsidRPr="002D4BE2">
        <w:t>ndigenous communities</w:t>
      </w:r>
      <w:bookmarkEnd w:id="129"/>
      <w:bookmarkEnd w:id="130"/>
      <w:bookmarkEnd w:id="131"/>
      <w:bookmarkEnd w:id="144"/>
    </w:p>
    <w:p w:rsidR="00B9511A" w:rsidRDefault="006A52D7" w:rsidP="002E776B">
      <w:r>
        <w:t>In the next six c</w:t>
      </w:r>
      <w:r w:rsidR="00B9511A">
        <w:t xml:space="preserve">hapters we evaluate progress, performance and lessons </w:t>
      </w:r>
      <w:r w:rsidR="003376F8">
        <w:t>learned</w:t>
      </w:r>
      <w:r w:rsidR="00B9511A">
        <w:t xml:space="preserve"> for the future from the implementation of NPARIH and the Strategy (</w:t>
      </w:r>
      <w:r w:rsidR="00383061">
        <w:t xml:space="preserve">together referred to </w:t>
      </w:r>
      <w:r w:rsidR="00B9511A">
        <w:t>as the Strategy).</w:t>
      </w:r>
    </w:p>
    <w:p w:rsidR="003F275F" w:rsidRPr="00211750" w:rsidRDefault="003F275F" w:rsidP="00211750">
      <w:pPr>
        <w:pStyle w:val="H3"/>
      </w:pPr>
      <w:bookmarkStart w:id="145" w:name="_Toc477178083"/>
      <w:bookmarkStart w:id="146" w:name="_Toc477248722"/>
      <w:bookmarkStart w:id="147" w:name="_Toc477252708"/>
      <w:bookmarkStart w:id="148" w:name="_Toc490218696"/>
      <w:r w:rsidRPr="00211750">
        <w:rPr>
          <w:rStyle w:val="H3Char"/>
        </w:rPr>
        <w:t>Significant</w:t>
      </w:r>
      <w:r w:rsidRPr="00211750">
        <w:t xml:space="preserve"> progress has been made to reduce overcrowding</w:t>
      </w:r>
      <w:bookmarkEnd w:id="145"/>
      <w:bookmarkEnd w:id="146"/>
      <w:bookmarkEnd w:id="147"/>
      <w:bookmarkEnd w:id="148"/>
      <w:r w:rsidRPr="00211750">
        <w:t xml:space="preserve"> </w:t>
      </w:r>
      <w:bookmarkEnd w:id="132"/>
      <w:bookmarkEnd w:id="133"/>
      <w:bookmarkEnd w:id="134"/>
      <w:bookmarkEnd w:id="135"/>
      <w:bookmarkEnd w:id="136"/>
      <w:bookmarkEnd w:id="137"/>
      <w:bookmarkEnd w:id="138"/>
      <w:bookmarkEnd w:id="139"/>
      <w:bookmarkEnd w:id="140"/>
      <w:bookmarkEnd w:id="141"/>
      <w:bookmarkEnd w:id="142"/>
      <w:bookmarkEnd w:id="143"/>
    </w:p>
    <w:p w:rsidR="00915549" w:rsidRPr="00E6369A" w:rsidRDefault="00915549" w:rsidP="00915549">
      <w:bookmarkStart w:id="149" w:name="_Toc475996296"/>
      <w:bookmarkEnd w:id="149"/>
      <w:r w:rsidRPr="00E6369A">
        <w:t xml:space="preserve">A primary objective of the </w:t>
      </w:r>
      <w:r>
        <w:t>Strategy</w:t>
      </w:r>
      <w:r w:rsidRPr="00E6369A">
        <w:t xml:space="preserve"> was to significantly</w:t>
      </w:r>
      <w:r>
        <w:t xml:space="preserve"> reduce overcrowding in remote I</w:t>
      </w:r>
      <w:r w:rsidRPr="00E6369A">
        <w:t>ndigenous communities.</w:t>
      </w:r>
    </w:p>
    <w:p w:rsidR="00915549" w:rsidRPr="00E6369A" w:rsidRDefault="00915549" w:rsidP="00915549">
      <w:r>
        <w:t xml:space="preserve">This is a challenging objective. </w:t>
      </w:r>
      <w:r w:rsidRPr="00E6369A">
        <w:t>Despite the long hist</w:t>
      </w:r>
      <w:r>
        <w:t>ory and previous investment in I</w:t>
      </w:r>
      <w:r w:rsidRPr="00E6369A">
        <w:t xml:space="preserve">ndigenous housing, over 50 per cent of households in remote Australia were overcrowded in 2008. </w:t>
      </w:r>
    </w:p>
    <w:p w:rsidR="00915549" w:rsidRPr="00E6369A" w:rsidRDefault="00915549" w:rsidP="00915549">
      <w:r>
        <w:t>The challenge is being addressed.</w:t>
      </w:r>
      <w:r w:rsidRPr="00E6369A">
        <w:t xml:space="preserve"> Since the introduction of </w:t>
      </w:r>
      <w:r>
        <w:t>the Strategy,</w:t>
      </w:r>
      <w:r w:rsidRPr="00E6369A">
        <w:t xml:space="preserve"> good progress has been made on improving rates of overcrowding and housing condition in remote Indigenous communities. </w:t>
      </w:r>
    </w:p>
    <w:p w:rsidR="003F275F" w:rsidRPr="00E6369A" w:rsidRDefault="00915549" w:rsidP="00915549">
      <w:r w:rsidRPr="00E6369A">
        <w:t>The last national survey in 2014-15 showed overcrowding had fallen to 41.3 per cent</w:t>
      </w:r>
      <w:r w:rsidRPr="003F275F">
        <w:rPr>
          <w:rFonts w:ascii="Calibri" w:eastAsia="Calibri" w:hAnsi="Calibri" w:cs="Times New Roman"/>
        </w:rPr>
        <w:t>.</w:t>
      </w:r>
      <w:r w:rsidRPr="003F275F">
        <w:rPr>
          <w:rFonts w:ascii="Calibri" w:eastAsia="Calibri" w:hAnsi="Calibri" w:cs="Times New Roman"/>
          <w:vertAlign w:val="superscript"/>
        </w:rPr>
        <w:footnoteReference w:id="27"/>
      </w:r>
      <w:r w:rsidRPr="003F275F">
        <w:rPr>
          <w:rFonts w:ascii="Calibri" w:eastAsia="Calibri" w:hAnsi="Calibri" w:cs="Times New Roman"/>
        </w:rPr>
        <w:t xml:space="preserve"> </w:t>
      </w:r>
      <w:r w:rsidRPr="00E6369A">
        <w:t xml:space="preserve">Based on the available administrative data, </w:t>
      </w:r>
      <w:r>
        <w:t>the Panel</w:t>
      </w:r>
      <w:r w:rsidRPr="00E6369A">
        <w:t xml:space="preserve"> estimate</w:t>
      </w:r>
      <w:r>
        <w:t>s</w:t>
      </w:r>
      <w:r w:rsidRPr="00E6369A">
        <w:t xml:space="preserve"> that by 2018, overcrowding will</w:t>
      </w:r>
      <w:r>
        <w:t xml:space="preserve"> have fallen again, to around 37</w:t>
      </w:r>
      <w:r w:rsidRPr="00E6369A">
        <w:t xml:space="preserve"> per </w:t>
      </w:r>
      <w:r>
        <w:t>cent of households (see Figure 3</w:t>
      </w:r>
      <w:r w:rsidRPr="00E6369A">
        <w:t>.1)</w:t>
      </w:r>
      <w:r w:rsidR="003F275F" w:rsidRPr="00E6369A">
        <w:t xml:space="preserve">. </w:t>
      </w:r>
    </w:p>
    <w:p w:rsidR="00211750" w:rsidRDefault="0053011A" w:rsidP="00F3240A">
      <w:pPr>
        <w:pStyle w:val="tbsfigs"/>
      </w:pPr>
      <w:bookmarkStart w:id="150" w:name="figure31"/>
      <w:bookmarkEnd w:id="150"/>
      <w:r>
        <w:t>Figure 3</w:t>
      </w:r>
      <w:r w:rsidR="003F275F" w:rsidRPr="003F275F">
        <w:t xml:space="preserve">.1: Overcrowding by </w:t>
      </w:r>
      <w:r w:rsidR="001654D8">
        <w:t>remoteness, NATSISS 2008 – 2014-</w:t>
      </w:r>
      <w:r w:rsidR="003F275F" w:rsidRPr="003F275F">
        <w:t>15</w:t>
      </w:r>
    </w:p>
    <w:p w:rsidR="00211750" w:rsidRDefault="00211750" w:rsidP="00F3240A">
      <w:pPr>
        <w:pStyle w:val="tbsfigs"/>
        <w:rPr>
          <w:rFonts w:ascii="Calibri" w:eastAsia="Calibri" w:hAnsi="Calibri" w:cs="Times New Roman"/>
          <w:sz w:val="20"/>
        </w:rPr>
      </w:pPr>
      <w:r>
        <w:rPr>
          <w:noProof/>
          <w:lang w:eastAsia="en-AU"/>
        </w:rPr>
        <w:drawing>
          <wp:inline distT="0" distB="0" distL="0" distR="0" wp14:anchorId="7A1AE0CC" wp14:editId="7A1AE0CD">
            <wp:extent cx="4133088" cy="2497958"/>
            <wp:effectExtent l="0" t="0" r="1270" b="0"/>
            <wp:docPr id="15" name="Picture 15" descr="Link to extended text description is below" title="Link to extended text descrip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34299" cy="2498690"/>
                    </a:xfrm>
                    <a:prstGeom prst="rect">
                      <a:avLst/>
                    </a:prstGeom>
                  </pic:spPr>
                </pic:pic>
              </a:graphicData>
            </a:graphic>
          </wp:inline>
        </w:drawing>
      </w:r>
    </w:p>
    <w:p w:rsidR="003F275F" w:rsidRPr="00484E41" w:rsidRDefault="003F275F" w:rsidP="00462635">
      <w:pPr>
        <w:pStyle w:val="tbsfigs"/>
        <w:spacing w:after="120"/>
        <w:rPr>
          <w:b w:val="0"/>
          <w:i/>
          <w:sz w:val="18"/>
          <w:szCs w:val="18"/>
        </w:rPr>
      </w:pPr>
      <w:r w:rsidRPr="00484E41">
        <w:rPr>
          <w:b w:val="0"/>
          <w:i/>
          <w:sz w:val="18"/>
          <w:szCs w:val="18"/>
        </w:rPr>
        <w:t xml:space="preserve">Source: AIHW and ABS analysis of 2014-15 NATSISS, 2012-13 AATSIHS, 2008 NATSISS. Overcrowding is measured according to the Canadian National Occupancy Standard (CNOS). </w:t>
      </w:r>
    </w:p>
    <w:p w:rsidR="0004461B" w:rsidRPr="00462635" w:rsidRDefault="00052D04" w:rsidP="00052D04">
      <w:r w:rsidRPr="00462635">
        <w:t xml:space="preserve">View the </w:t>
      </w:r>
      <w:hyperlink w:anchor="fig31" w:history="1">
        <w:r w:rsidRPr="00667862">
          <w:rPr>
            <w:rStyle w:val="Hyperlink"/>
            <w:color w:val="0B84FF" w:themeColor="text2" w:themeTint="99"/>
          </w:rPr>
          <w:t xml:space="preserve">text </w:t>
        </w:r>
        <w:r w:rsidR="00462635" w:rsidRPr="00667862">
          <w:rPr>
            <w:rStyle w:val="Hyperlink"/>
            <w:color w:val="0B84FF" w:themeColor="text2" w:themeTint="99"/>
          </w:rPr>
          <w:t>alternative</w:t>
        </w:r>
        <w:r w:rsidRPr="00667862">
          <w:rPr>
            <w:rStyle w:val="Hyperlink"/>
            <w:color w:val="0B84FF" w:themeColor="text2" w:themeTint="99"/>
          </w:rPr>
          <w:t xml:space="preserve"> for Figure 3.1</w:t>
        </w:r>
      </w:hyperlink>
    </w:p>
    <w:tbl>
      <w:tblPr>
        <w:tblStyle w:val="TableGrid"/>
        <w:tblpPr w:leftFromText="180" w:rightFromText="180" w:vertAnchor="text" w:horzAnchor="margin" w:tblpY="219"/>
        <w:tblW w:w="0" w:type="auto"/>
        <w:tblLook w:val="04A0" w:firstRow="1" w:lastRow="0" w:firstColumn="1" w:lastColumn="0" w:noHBand="0" w:noVBand="1"/>
      </w:tblPr>
      <w:tblGrid>
        <w:gridCol w:w="8947"/>
      </w:tblGrid>
      <w:tr w:rsidR="003F275F" w:rsidRPr="003F275F" w:rsidTr="003F275F">
        <w:trPr>
          <w:cantSplit/>
        </w:trPr>
        <w:tc>
          <w:tcPr>
            <w:tcW w:w="9628" w:type="dxa"/>
          </w:tcPr>
          <w:p w:rsidR="003F275F" w:rsidRPr="001F4C87" w:rsidRDefault="0053011A" w:rsidP="00E26CF7">
            <w:pPr>
              <w:shd w:val="clear" w:color="auto" w:fill="FFFFFF" w:themeFill="background1"/>
              <w:rPr>
                <w:b/>
              </w:rPr>
            </w:pPr>
            <w:r w:rsidRPr="00E26CF7">
              <w:rPr>
                <w:b/>
              </w:rPr>
              <w:lastRenderedPageBreak/>
              <w:t>Box 3</w:t>
            </w:r>
            <w:r w:rsidR="009073D5" w:rsidRPr="00E26CF7">
              <w:rPr>
                <w:b/>
              </w:rPr>
              <w:t>.2</w:t>
            </w:r>
            <w:r w:rsidR="003F275F" w:rsidRPr="00E26CF7">
              <w:rPr>
                <w:b/>
              </w:rPr>
              <w:t xml:space="preserve">: </w:t>
            </w:r>
            <w:r w:rsidR="0004739C">
              <w:rPr>
                <w:b/>
              </w:rPr>
              <w:t>Jurisdiction</w:t>
            </w:r>
            <w:r w:rsidR="003F275F" w:rsidRPr="00E26CF7">
              <w:rPr>
                <w:b/>
              </w:rPr>
              <w:t xml:space="preserve"> data on overcrowding</w:t>
            </w:r>
          </w:p>
          <w:p w:rsidR="003F275F" w:rsidRDefault="0004739C" w:rsidP="002E776B">
            <w:r>
              <w:t>Jurisdiction</w:t>
            </w:r>
            <w:r w:rsidR="003F275F" w:rsidRPr="003F275F">
              <w:t xml:space="preserve"> </w:t>
            </w:r>
            <w:r w:rsidR="000E394F">
              <w:t>government</w:t>
            </w:r>
            <w:r w:rsidR="003F275F" w:rsidRPr="003F275F">
              <w:t xml:space="preserve"> data of </w:t>
            </w:r>
            <w:r w:rsidR="003F275F" w:rsidRPr="003F275F">
              <w:rPr>
                <w:i/>
              </w:rPr>
              <w:t>progress</w:t>
            </w:r>
            <w:r w:rsidR="003F275F" w:rsidRPr="003F275F">
              <w:t xml:space="preserve"> </w:t>
            </w:r>
            <w:r w:rsidR="001654D8">
              <w:t>–</w:t>
            </w:r>
            <w:r w:rsidR="003F275F" w:rsidRPr="003F275F">
              <w:t xml:space="preserve"> based</w:t>
            </w:r>
            <w:r w:rsidR="001654D8">
              <w:t xml:space="preserve"> </w:t>
            </w:r>
            <w:r w:rsidR="003F275F" w:rsidRPr="003F275F">
              <w:t xml:space="preserve">on audits of overcrowding and housing </w:t>
            </w:r>
            <w:r w:rsidR="003F275F" w:rsidRPr="003F275F">
              <w:rPr>
                <w:i/>
              </w:rPr>
              <w:t>need</w:t>
            </w:r>
            <w:r w:rsidR="003F275F" w:rsidRPr="003F275F">
              <w:t xml:space="preserve"> </w:t>
            </w:r>
            <w:r w:rsidR="001654D8">
              <w:t>–</w:t>
            </w:r>
            <w:r w:rsidR="003F275F" w:rsidRPr="003F275F">
              <w:t xml:space="preserve"> provide</w:t>
            </w:r>
            <w:r w:rsidR="001654D8">
              <w:t xml:space="preserve"> </w:t>
            </w:r>
            <w:r w:rsidR="003F275F" w:rsidRPr="003F275F">
              <w:t xml:space="preserve">a more up to date and differentiated sense of progress at a </w:t>
            </w:r>
            <w:r>
              <w:t>jurisdiction</w:t>
            </w:r>
            <w:r w:rsidR="003F275F" w:rsidRPr="003F275F">
              <w:t xml:space="preserve"> level than is available through current A</w:t>
            </w:r>
            <w:r w:rsidR="00197CB1">
              <w:t xml:space="preserve">ustralian </w:t>
            </w:r>
            <w:r w:rsidR="003F275F" w:rsidRPr="003F275F">
              <w:t>B</w:t>
            </w:r>
            <w:r w:rsidR="00197CB1">
              <w:t xml:space="preserve">ureau of </w:t>
            </w:r>
            <w:r w:rsidR="003F275F" w:rsidRPr="003F275F">
              <w:t>S</w:t>
            </w:r>
            <w:r w:rsidR="00197CB1">
              <w:t>tatistics</w:t>
            </w:r>
            <w:r w:rsidR="003F275F" w:rsidRPr="003F275F">
              <w:t xml:space="preserve"> </w:t>
            </w:r>
            <w:r w:rsidR="00197CB1">
              <w:t xml:space="preserve">(ABS) </w:t>
            </w:r>
            <w:r w:rsidR="003F275F" w:rsidRPr="003F275F">
              <w:t xml:space="preserve">data. </w:t>
            </w:r>
          </w:p>
          <w:p w:rsidR="002E776B" w:rsidRPr="003F275F" w:rsidRDefault="002E776B" w:rsidP="002E776B"/>
          <w:p w:rsidR="003F275F" w:rsidRPr="001F4C87" w:rsidRDefault="003F275F" w:rsidP="001F4C87">
            <w:pPr>
              <w:rPr>
                <w:b/>
              </w:rPr>
            </w:pPr>
            <w:r w:rsidRPr="001F4C87">
              <w:rPr>
                <w:b/>
              </w:rPr>
              <w:t>Progress:</w:t>
            </w:r>
          </w:p>
          <w:p w:rsidR="003F275F" w:rsidRPr="003F275F" w:rsidRDefault="003F275F" w:rsidP="00627AAC">
            <w:pPr>
              <w:pStyle w:val="ListParagraph"/>
              <w:numPr>
                <w:ilvl w:val="0"/>
                <w:numId w:val="19"/>
              </w:numPr>
            </w:pPr>
            <w:r w:rsidRPr="002E776B">
              <w:rPr>
                <w:bCs/>
                <w:iCs/>
              </w:rPr>
              <w:t xml:space="preserve">Queensland audits of its Aboriginal and Torres Strait Islander local government areas saw overcrowding decrease from 46.6 per cent in 2007 to 25 per cent in 2016. </w:t>
            </w:r>
          </w:p>
          <w:p w:rsidR="003F275F" w:rsidRPr="002E776B" w:rsidRDefault="003F275F" w:rsidP="00627AAC">
            <w:pPr>
              <w:pStyle w:val="ListParagraph"/>
              <w:numPr>
                <w:ilvl w:val="0"/>
                <w:numId w:val="19"/>
              </w:numPr>
              <w:rPr>
                <w:rFonts w:cs="Calibri"/>
                <w:bCs/>
                <w:iCs/>
              </w:rPr>
            </w:pPr>
            <w:r w:rsidRPr="003F275F">
              <w:t xml:space="preserve">South Australia audits show overcrowding has decreased from an average 9.9 people per house in 2008 to 5.0 in 2016 in Indulkana and from 8.5 to 4.7 in Mimili. </w:t>
            </w:r>
          </w:p>
          <w:p w:rsidR="003F275F" w:rsidRPr="001F4C87" w:rsidRDefault="003F275F" w:rsidP="001F4C87">
            <w:pPr>
              <w:rPr>
                <w:b/>
              </w:rPr>
            </w:pPr>
            <w:r w:rsidRPr="001F4C87">
              <w:rPr>
                <w:b/>
              </w:rPr>
              <w:t>Need:</w:t>
            </w:r>
          </w:p>
          <w:p w:rsidR="00420C24" w:rsidRPr="003F275F" w:rsidRDefault="00420C24" w:rsidP="00627AAC">
            <w:pPr>
              <w:pStyle w:val="ListParagraph"/>
              <w:numPr>
                <w:ilvl w:val="0"/>
                <w:numId w:val="18"/>
              </w:numPr>
            </w:pPr>
            <w:r w:rsidRPr="003F275F">
              <w:t xml:space="preserve">The Queensland </w:t>
            </w:r>
            <w:r>
              <w:t xml:space="preserve">Government advises around 1,380 new houses will be needed </w:t>
            </w:r>
            <w:r w:rsidR="007F327E">
              <w:t>up to</w:t>
            </w:r>
            <w:r>
              <w:t xml:space="preserve"> 2026. Queensland officials note caution in predicting need using ‘point in time’ data and the need to implement any new program to meet a dynamic profile of future need. </w:t>
            </w:r>
            <w:r w:rsidR="00F4509D">
              <w:t xml:space="preserve">The Queensland Government cautions against not calculating need for households requiring one or two additional bedrooms. </w:t>
            </w:r>
          </w:p>
          <w:p w:rsidR="003F275F" w:rsidRPr="003F275F" w:rsidRDefault="003F275F" w:rsidP="00627AAC">
            <w:pPr>
              <w:pStyle w:val="ListParagraph"/>
              <w:numPr>
                <w:ilvl w:val="0"/>
                <w:numId w:val="18"/>
              </w:numPr>
            </w:pPr>
            <w:r w:rsidRPr="003F275F">
              <w:t xml:space="preserve">Western Australia </w:t>
            </w:r>
            <w:r w:rsidR="004D1962">
              <w:t xml:space="preserve">officials estimate, based on waitlists overlaid with administrative data, there is residual demand for 940 new houses. It is unable to provide future demand at this point. </w:t>
            </w:r>
          </w:p>
          <w:p w:rsidR="003F275F" w:rsidRPr="003F275F" w:rsidRDefault="003F275F" w:rsidP="00627AAC">
            <w:pPr>
              <w:pStyle w:val="ListParagraph"/>
              <w:numPr>
                <w:ilvl w:val="0"/>
                <w:numId w:val="18"/>
              </w:numPr>
            </w:pPr>
            <w:r w:rsidRPr="003F275F">
              <w:t>The Northern Territory</w:t>
            </w:r>
            <w:r w:rsidR="00420C24">
              <w:t xml:space="preserve"> Government estimates an additional 4,500 new </w:t>
            </w:r>
            <w:r w:rsidR="00641FF8">
              <w:t xml:space="preserve">three bedroom </w:t>
            </w:r>
            <w:r w:rsidR="00420C24">
              <w:t xml:space="preserve">houses are required by 2028, to address overcrowded households requiring at least three additional bedrooms or homelessness. To address overcrowding in households requiring one or two additional bedrooms, another 700 new houses would be required. </w:t>
            </w:r>
          </w:p>
        </w:tc>
      </w:tr>
    </w:tbl>
    <w:p w:rsidR="003F275F" w:rsidRPr="003F275F" w:rsidRDefault="003F275F" w:rsidP="00211750">
      <w:pPr>
        <w:pStyle w:val="H3"/>
      </w:pPr>
      <w:bookmarkStart w:id="151" w:name="_Toc477178084"/>
      <w:bookmarkStart w:id="152" w:name="_Toc477248723"/>
      <w:bookmarkStart w:id="153" w:name="_Toc477252709"/>
      <w:bookmarkStart w:id="154" w:name="_Toc490218697"/>
      <w:r w:rsidRPr="003F275F">
        <w:t>Despite progress overcrowding persists and will worsen over the next ten years, unless further action is taken</w:t>
      </w:r>
      <w:bookmarkEnd w:id="151"/>
      <w:bookmarkEnd w:id="152"/>
      <w:bookmarkEnd w:id="153"/>
      <w:bookmarkEnd w:id="154"/>
      <w:r w:rsidRPr="003F275F">
        <w:t xml:space="preserve"> </w:t>
      </w:r>
    </w:p>
    <w:p w:rsidR="003F275F" w:rsidRPr="00E6369A" w:rsidRDefault="003F275F" w:rsidP="002E776B">
      <w:r w:rsidRPr="00E6369A">
        <w:t>There has been significant improvement in levels of overcrowding in remote communities, but this comes off a high base meaning that</w:t>
      </w:r>
      <w:r w:rsidR="005E3C31">
        <w:t>,</w:t>
      </w:r>
      <w:r w:rsidRPr="00E6369A">
        <w:t xml:space="preserve"> despite the progress</w:t>
      </w:r>
      <w:r w:rsidR="005E3C31">
        <w:t>,</w:t>
      </w:r>
      <w:r w:rsidRPr="00E6369A">
        <w:t xml:space="preserve"> the rates are still unacceptably high. </w:t>
      </w:r>
    </w:p>
    <w:p w:rsidR="003F275F" w:rsidRPr="003F275F" w:rsidRDefault="003F275F" w:rsidP="002E776B">
      <w:pPr>
        <w:rPr>
          <w:rFonts w:ascii="Calibri" w:eastAsia="Calibri" w:hAnsi="Calibri" w:cs="Times New Roman"/>
          <w:b/>
        </w:rPr>
      </w:pPr>
      <w:r w:rsidRPr="00E6369A">
        <w:t>The rising population rate of Aboriginal and Torres Strait Islanders in remote Australi</w:t>
      </w:r>
      <w:r w:rsidR="001654D8">
        <w:t>a of 0.7 to one</w:t>
      </w:r>
      <w:r w:rsidR="0039151A">
        <w:t> </w:t>
      </w:r>
      <w:r w:rsidR="006A52D7">
        <w:t>per cent annually</w:t>
      </w:r>
      <w:r w:rsidRPr="001654D8">
        <w:rPr>
          <w:rFonts w:ascii="Calibri" w:eastAsia="Calibri" w:hAnsi="Calibri" w:cs="Times New Roman"/>
          <w:vertAlign w:val="superscript"/>
        </w:rPr>
        <w:footnoteReference w:id="28"/>
      </w:r>
      <w:r w:rsidRPr="001654D8">
        <w:rPr>
          <w:rFonts w:ascii="Calibri" w:eastAsia="Calibri" w:hAnsi="Calibri" w:cs="Times New Roman"/>
          <w:vertAlign w:val="superscript"/>
        </w:rPr>
        <w:t xml:space="preserve"> </w:t>
      </w:r>
      <w:r w:rsidRPr="00E6369A">
        <w:t>and the younger population, with a</w:t>
      </w:r>
      <w:r w:rsidR="006A52D7">
        <w:t xml:space="preserve"> median age of 22 compared with </w:t>
      </w:r>
      <w:r w:rsidRPr="006A52D7">
        <w:t>38</w:t>
      </w:r>
      <w:r w:rsidR="001654D8">
        <w:t xml:space="preserve"> for other Australians</w:t>
      </w:r>
      <w:r w:rsidRPr="001654D8">
        <w:rPr>
          <w:rFonts w:ascii="Calibri" w:eastAsia="Calibri" w:hAnsi="Calibri" w:cs="Times New Roman"/>
          <w:vertAlign w:val="superscript"/>
        </w:rPr>
        <w:footnoteReference w:id="29"/>
      </w:r>
      <w:r w:rsidRPr="001654D8">
        <w:rPr>
          <w:rFonts w:ascii="Calibri" w:eastAsia="Calibri" w:hAnsi="Calibri" w:cs="Times New Roman"/>
          <w:vertAlign w:val="superscript"/>
        </w:rPr>
        <w:t xml:space="preserve"> </w:t>
      </w:r>
      <w:r w:rsidRPr="00E6369A">
        <w:t>will further exacerbate the current housing shortage.</w:t>
      </w:r>
      <w:r w:rsidRPr="003F275F">
        <w:rPr>
          <w:rFonts w:ascii="Calibri" w:eastAsia="Calibri" w:hAnsi="Calibri" w:cs="Calibri"/>
        </w:rPr>
        <w:t xml:space="preserve"> </w:t>
      </w:r>
    </w:p>
    <w:p w:rsidR="003F275F" w:rsidRPr="003F275F" w:rsidRDefault="003F275F" w:rsidP="00211750">
      <w:pPr>
        <w:pStyle w:val="H3"/>
      </w:pPr>
      <w:bookmarkStart w:id="155" w:name="_Toc477178085"/>
      <w:bookmarkStart w:id="156" w:name="_Toc477248724"/>
      <w:bookmarkStart w:id="157" w:name="_Toc477252710"/>
      <w:bookmarkStart w:id="158" w:name="_Toc490218698"/>
      <w:r w:rsidRPr="00970EDA">
        <w:lastRenderedPageBreak/>
        <w:t>Based on</w:t>
      </w:r>
      <w:r w:rsidRPr="003F275F">
        <w:t xml:space="preserve"> current and future demand an additional 5,500 houses are required by 2028</w:t>
      </w:r>
      <w:bookmarkEnd w:id="155"/>
      <w:bookmarkEnd w:id="156"/>
      <w:bookmarkEnd w:id="157"/>
      <w:bookmarkEnd w:id="158"/>
      <w:r w:rsidRPr="003F275F">
        <w:t xml:space="preserve"> </w:t>
      </w:r>
    </w:p>
    <w:p w:rsidR="00E26CF7" w:rsidRPr="003F275F" w:rsidRDefault="00E26CF7" w:rsidP="00E26CF7">
      <w:bookmarkStart w:id="159" w:name="_Toc476644163"/>
      <w:bookmarkStart w:id="160" w:name="_Toc476650856"/>
      <w:bookmarkStart w:id="161" w:name="_Toc476658516"/>
      <w:bookmarkStart w:id="162" w:name="_Toc476659219"/>
      <w:bookmarkStart w:id="163" w:name="_Toc476661025"/>
      <w:bookmarkStart w:id="164" w:name="_Toc476663421"/>
      <w:bookmarkStart w:id="165" w:name="_Toc476669863"/>
      <w:bookmarkStart w:id="166" w:name="_Toc476665878"/>
      <w:bookmarkStart w:id="167" w:name="_Toc476671353"/>
      <w:bookmarkStart w:id="168" w:name="_Toc476676511"/>
      <w:bookmarkStart w:id="169" w:name="_Toc476677793"/>
      <w:bookmarkStart w:id="170" w:name="_Toc476678227"/>
      <w:r w:rsidRPr="003F275F">
        <w:t>The Panel estimates that a total additional 5,500 dwellings in remote communities will be required by 2028. This is comprised of</w:t>
      </w:r>
      <w:r>
        <w:t>:</w:t>
      </w:r>
    </w:p>
    <w:p w:rsidR="00E26CF7" w:rsidRPr="003F275F" w:rsidRDefault="00E26CF7" w:rsidP="00E26CF7">
      <w:pPr>
        <w:pStyle w:val="ListParagraph"/>
        <w:numPr>
          <w:ilvl w:val="0"/>
          <w:numId w:val="20"/>
        </w:numPr>
      </w:pPr>
      <w:r w:rsidRPr="003F275F">
        <w:t>3,000 dwellings to address current needs to 2018</w:t>
      </w:r>
      <w:r>
        <w:t>,</w:t>
      </w:r>
      <w:r w:rsidRPr="003F275F">
        <w:t xml:space="preserve"> and </w:t>
      </w:r>
    </w:p>
    <w:p w:rsidR="00E26CF7" w:rsidRPr="003F275F" w:rsidRDefault="00E26CF7" w:rsidP="00E26CF7">
      <w:pPr>
        <w:pStyle w:val="ListParagraph"/>
        <w:numPr>
          <w:ilvl w:val="0"/>
          <w:numId w:val="20"/>
        </w:numPr>
      </w:pPr>
      <w:r w:rsidRPr="003F275F">
        <w:t>2,500 new dwellings required by 2028 to meet population growth.</w:t>
      </w:r>
      <w:r w:rsidRPr="003F275F">
        <w:rPr>
          <w:sz w:val="21"/>
          <w:szCs w:val="19"/>
          <w:vertAlign w:val="superscript"/>
        </w:rPr>
        <w:footnoteReference w:id="30"/>
      </w:r>
      <w:r w:rsidRPr="003F275F">
        <w:t xml:space="preserve"> </w:t>
      </w:r>
    </w:p>
    <w:p w:rsidR="003F275F" w:rsidRPr="003F275F" w:rsidRDefault="00E26CF7" w:rsidP="00E26CF7">
      <w:r w:rsidRPr="003F275F">
        <w:t xml:space="preserve">The estimates of current and projected need by </w:t>
      </w:r>
      <w:r w:rsidR="0004739C">
        <w:t>jurisdiction</w:t>
      </w:r>
      <w:r w:rsidRPr="003F275F">
        <w:t xml:space="preserve"> a</w:t>
      </w:r>
      <w:r>
        <w:t>re illustrated in Figure 3.3</w:t>
      </w:r>
      <w:r w:rsidRPr="003F275F">
        <w:t xml:space="preserve">. Based on this level of investment, the level of overcrowded dwellings in remote Australia </w:t>
      </w:r>
      <w:r>
        <w:t>are</w:t>
      </w:r>
      <w:r w:rsidRPr="003F275F">
        <w:t xml:space="preserve"> estimated to fall to around 25</w:t>
      </w:r>
      <w:r w:rsidRPr="003F275F">
        <w:noBreakHyphen/>
        <w:t>30 per cent by 2028.</w:t>
      </w:r>
      <w:r>
        <w:t xml:space="preserve"> This level of overcrowding is still 10 percentage points higher than the rate in urban and regional Australia. On average the number of people in the households in remote areas experiencing overcrowding would decrease and contain large single family units rather than multiple families. At the time of the Review, 2016 Census data was not available. These estimations will need to be considered as new data becomes available</w:t>
      </w:r>
      <w:r w:rsidR="00DE49C8">
        <w:t xml:space="preserve">. </w:t>
      </w:r>
    </w:p>
    <w:p w:rsidR="003F275F" w:rsidRPr="003F275F" w:rsidRDefault="0053011A" w:rsidP="00F3240A">
      <w:pPr>
        <w:pStyle w:val="tbsfigs"/>
      </w:pPr>
      <w:bookmarkStart w:id="171" w:name="figure3"/>
      <w:bookmarkStart w:id="172" w:name="figure33"/>
      <w:bookmarkEnd w:id="171"/>
      <w:bookmarkEnd w:id="172"/>
      <w:r>
        <w:t>Figure 3</w:t>
      </w:r>
      <w:r w:rsidR="003F275F" w:rsidRPr="003F275F">
        <w:t>.</w:t>
      </w:r>
      <w:r w:rsidR="009073D5">
        <w:t>3</w:t>
      </w:r>
      <w:r w:rsidR="003F275F" w:rsidRPr="003F275F">
        <w:t>: Estimated number of dwellings required for all remote areas to 2028</w:t>
      </w:r>
    </w:p>
    <w:p w:rsidR="00211750" w:rsidRDefault="00211750" w:rsidP="001F4C87">
      <w:pPr>
        <w:spacing w:before="120" w:after="120" w:line="240" w:lineRule="auto"/>
        <w:ind w:left="360"/>
        <w:rPr>
          <w:rFonts w:ascii="Calibri" w:eastAsia="Calibri" w:hAnsi="Calibri" w:cs="Times New Roman"/>
          <w:sz w:val="18"/>
          <w:szCs w:val="20"/>
        </w:rPr>
      </w:pPr>
      <w:r>
        <w:rPr>
          <w:noProof/>
          <w:lang w:eastAsia="en-AU"/>
        </w:rPr>
        <w:drawing>
          <wp:inline distT="0" distB="0" distL="0" distR="0" wp14:anchorId="7A1AE0CE" wp14:editId="7A1AE0CF">
            <wp:extent cx="4517334" cy="2326234"/>
            <wp:effectExtent l="0" t="0" r="0" b="0"/>
            <wp:docPr id="1" name="Picture 1" descr="Link to extended text description is below" title="Link to extended text descrip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21718" cy="2328492"/>
                    </a:xfrm>
                    <a:prstGeom prst="rect">
                      <a:avLst/>
                    </a:prstGeom>
                  </pic:spPr>
                </pic:pic>
              </a:graphicData>
            </a:graphic>
          </wp:inline>
        </w:drawing>
      </w:r>
    </w:p>
    <w:p w:rsidR="003F275F" w:rsidRDefault="003F275F" w:rsidP="00E26CF7">
      <w:pPr>
        <w:spacing w:before="120" w:after="120" w:line="240" w:lineRule="auto"/>
        <w:ind w:left="340"/>
        <w:rPr>
          <w:rFonts w:ascii="Calibri" w:eastAsia="Calibri" w:hAnsi="Calibri" w:cs="Times New Roman"/>
          <w:sz w:val="18"/>
          <w:szCs w:val="20"/>
        </w:rPr>
      </w:pPr>
      <w:r w:rsidRPr="003F275F">
        <w:rPr>
          <w:rFonts w:ascii="Calibri" w:eastAsia="Calibri" w:hAnsi="Calibri" w:cs="Times New Roman"/>
          <w:sz w:val="18"/>
          <w:szCs w:val="20"/>
        </w:rPr>
        <w:t>Estimates are based on 2011 Census data and the ‘</w:t>
      </w:r>
      <w:r w:rsidRPr="003F275F">
        <w:rPr>
          <w:rFonts w:ascii="Calibri" w:eastAsia="Calibri" w:hAnsi="Calibri" w:cs="Times New Roman"/>
          <w:i/>
          <w:iCs/>
          <w:sz w:val="18"/>
          <w:szCs w:val="20"/>
          <w:lang w:val="en"/>
        </w:rPr>
        <w:t>Estimates and Projections, Aboriginal and Torres Strait Islander Australians, 2001 to 2026</w:t>
      </w:r>
      <w:r w:rsidRPr="003F275F">
        <w:rPr>
          <w:rFonts w:ascii="Calibri" w:eastAsia="Calibri" w:hAnsi="Calibri" w:cs="Times New Roman"/>
          <w:sz w:val="18"/>
          <w:szCs w:val="20"/>
          <w:lang w:val="en"/>
        </w:rPr>
        <w:t xml:space="preserve">’ (ABS 2014). </w:t>
      </w:r>
      <w:r w:rsidRPr="003F275F">
        <w:rPr>
          <w:rFonts w:ascii="Calibri" w:eastAsia="Calibri" w:hAnsi="Calibri" w:cs="Times New Roman"/>
          <w:sz w:val="18"/>
          <w:szCs w:val="20"/>
        </w:rPr>
        <w:t xml:space="preserve">Housing need is calculated based on households requiring three bedrooms or more, or those estimated as homeless. It does not address those living in dwellings requiring one or two more bedrooms, suggesting the overcrowding challenge is likely to be greater. </w:t>
      </w:r>
    </w:p>
    <w:p w:rsidR="00052D04" w:rsidRPr="00696BFF" w:rsidRDefault="00052D04" w:rsidP="00052D04">
      <w:r w:rsidRPr="00696BFF">
        <w:t xml:space="preserve">View the </w:t>
      </w:r>
      <w:hyperlink w:anchor="fig33" w:history="1">
        <w:r w:rsidRPr="00667862">
          <w:rPr>
            <w:rStyle w:val="Hyperlink"/>
            <w:color w:val="0B84FF" w:themeColor="text2" w:themeTint="99"/>
          </w:rPr>
          <w:t>text version for Figure 3.3</w:t>
        </w:r>
      </w:hyperlink>
    </w:p>
    <w:p w:rsidR="00A4684A" w:rsidRDefault="00A4684A" w:rsidP="000B3289"/>
    <w:p w:rsidR="00A4684A" w:rsidRDefault="00A4684A" w:rsidP="000B3289"/>
    <w:p w:rsidR="00A4684A" w:rsidRDefault="00A4684A" w:rsidP="00A4684A">
      <w:r w:rsidRPr="003F275F">
        <w:lastRenderedPageBreak/>
        <w:t>Half of the need for additional dwellings required by 2028 is in the Northern Territory alone. The</w:t>
      </w:r>
      <w:r>
        <w:t> </w:t>
      </w:r>
      <w:r w:rsidRPr="003F275F">
        <w:t xml:space="preserve">Commonwealth </w:t>
      </w:r>
      <w:r>
        <w:t>Government</w:t>
      </w:r>
      <w:r w:rsidRPr="003F275F">
        <w:t xml:space="preserve"> has consistently recognised the Northern Territory </w:t>
      </w:r>
      <w:r>
        <w:t xml:space="preserve">has the lowest capacity of all </w:t>
      </w:r>
      <w:r w:rsidR="0004739C">
        <w:t>jurisdiction</w:t>
      </w:r>
      <w:r w:rsidRPr="003F275F">
        <w:t>s to meet this pressure.</w:t>
      </w:r>
    </w:p>
    <w:p w:rsidR="001E5C54" w:rsidRDefault="00A4684A" w:rsidP="000B3289">
      <w:r>
        <w:t>The Strategy only invested in Indigenous communities meeting the ABS definition of a remote location. This has excluded places with high overcrowding rates which were not classified as remote, such as Yarrabah in Queensland, or which were gazetted as towns, such as Elliott in the Northern Territory. The Strategy also did not invest in very small communities, or in homelands and outstations</w:t>
      </w:r>
      <w:r w:rsidR="0080053F">
        <w:t xml:space="preserve">. </w:t>
      </w:r>
    </w:p>
    <w:p w:rsidR="00477552" w:rsidRDefault="00A4684A" w:rsidP="00CA7047">
      <w:r w:rsidRPr="00CA7047">
        <w:t xml:space="preserve">The Panel acknowledges the anxiety of communities which did not receive investment and the factors resulting in individuals wanting to live in certain areas. However the Strategy was set up to address a particular issue and cannot solve all housing issues. </w:t>
      </w:r>
      <w:r w:rsidR="0004739C">
        <w:t>Jurisdiction</w:t>
      </w:r>
      <w:r w:rsidRPr="00CA7047">
        <w:t xml:space="preserve">s receive funding from their own revenues as well as through the National Affordable Housing Agreement and </w:t>
      </w:r>
      <w:r>
        <w:t xml:space="preserve">the </w:t>
      </w:r>
      <w:r w:rsidRPr="00CA7047">
        <w:t xml:space="preserve">National Partnership Agreement on Homelessness. While some flexibility in a future agreement is important, the Panel considers </w:t>
      </w:r>
      <w:r w:rsidR="0004739C">
        <w:t>jurisdiction</w:t>
      </w:r>
      <w:r w:rsidRPr="00CA7047">
        <w:t>s should be responsible for homelands</w:t>
      </w:r>
      <w:r>
        <w:t>,</w:t>
      </w:r>
      <w:r w:rsidRPr="00CA7047">
        <w:t xml:space="preserve"> and urban and regional housing</w:t>
      </w:r>
      <w:r w:rsidR="00184858" w:rsidRPr="00CA7047">
        <w:t xml:space="preserve">. </w:t>
      </w:r>
      <w:bookmarkStart w:id="173" w:name="_Toc477178086"/>
      <w:bookmarkStart w:id="174" w:name="_Toc477248725"/>
      <w:bookmarkStart w:id="175" w:name="_Toc477252711"/>
      <w:bookmarkEnd w:id="159"/>
      <w:bookmarkEnd w:id="160"/>
      <w:bookmarkEnd w:id="161"/>
      <w:bookmarkEnd w:id="162"/>
      <w:bookmarkEnd w:id="163"/>
      <w:bookmarkEnd w:id="164"/>
      <w:bookmarkEnd w:id="165"/>
      <w:bookmarkEnd w:id="166"/>
      <w:bookmarkEnd w:id="167"/>
      <w:bookmarkEnd w:id="168"/>
      <w:bookmarkEnd w:id="169"/>
      <w:bookmarkEnd w:id="170"/>
    </w:p>
    <w:p w:rsidR="00477552" w:rsidRDefault="00477552">
      <w:r>
        <w:br w:type="page"/>
      </w:r>
    </w:p>
    <w:p w:rsidR="003F275F" w:rsidRPr="002E776B" w:rsidRDefault="00970EDA" w:rsidP="00211750">
      <w:pPr>
        <w:pStyle w:val="H3"/>
      </w:pPr>
      <w:bookmarkStart w:id="176" w:name="_Toc490218699"/>
      <w:r w:rsidRPr="002E776B">
        <w:lastRenderedPageBreak/>
        <w:t>Key findings</w:t>
      </w:r>
      <w:bookmarkEnd w:id="173"/>
      <w:bookmarkEnd w:id="174"/>
      <w:bookmarkEnd w:id="175"/>
      <w:bookmarkEnd w:id="176"/>
    </w:p>
    <w:p w:rsidR="0002200E" w:rsidRPr="0002200E" w:rsidRDefault="005D7085" w:rsidP="001F4C87">
      <w:pPr>
        <w:keepNext/>
        <w:spacing w:before="120" w:after="120" w:line="259" w:lineRule="auto"/>
        <w:rPr>
          <w:b/>
        </w:rPr>
      </w:pPr>
      <w:r>
        <w:rPr>
          <w:b/>
        </w:rPr>
        <w:t>The Strategy</w:t>
      </w:r>
      <w:r w:rsidR="003F275F" w:rsidRPr="0002200E">
        <w:rPr>
          <w:b/>
        </w:rPr>
        <w:t xml:space="preserve"> has made a significant positive difference </w:t>
      </w:r>
      <w:r w:rsidR="00E8364F">
        <w:rPr>
          <w:b/>
        </w:rPr>
        <w:t xml:space="preserve">to the rates of overcrowding. </w:t>
      </w:r>
      <w:r w:rsidR="0004739C">
        <w:rPr>
          <w:b/>
        </w:rPr>
        <w:t>Jurisdiction</w:t>
      </w:r>
      <w:r w:rsidR="003F275F" w:rsidRPr="0002200E">
        <w:rPr>
          <w:b/>
        </w:rPr>
        <w:t xml:space="preserve"> government administrative data shows some substantial improvements in particular areas. </w:t>
      </w:r>
    </w:p>
    <w:p w:rsidR="0002200E" w:rsidRPr="0002200E" w:rsidRDefault="003F275F" w:rsidP="001F4C87">
      <w:pPr>
        <w:keepNext/>
        <w:spacing w:before="120" w:after="120" w:line="259" w:lineRule="auto"/>
        <w:rPr>
          <w:b/>
        </w:rPr>
      </w:pPr>
      <w:r w:rsidRPr="0002200E">
        <w:rPr>
          <w:b/>
        </w:rPr>
        <w:t xml:space="preserve">Overcrowding persists due </w:t>
      </w:r>
      <w:r w:rsidR="00E775D4">
        <w:rPr>
          <w:b/>
        </w:rPr>
        <w:t xml:space="preserve">to </w:t>
      </w:r>
      <w:r w:rsidRPr="0002200E">
        <w:rPr>
          <w:b/>
        </w:rPr>
        <w:t xml:space="preserve">the high base line and the relatively high rates of growth of the remote </w:t>
      </w:r>
      <w:r w:rsidR="005D7085">
        <w:rPr>
          <w:b/>
        </w:rPr>
        <w:t>Aboriginal and Torres Strait Islander population</w:t>
      </w:r>
      <w:r w:rsidR="0002200E" w:rsidRPr="0002200E">
        <w:rPr>
          <w:b/>
        </w:rPr>
        <w:t>.</w:t>
      </w:r>
    </w:p>
    <w:p w:rsidR="003F275F" w:rsidRDefault="003F275F" w:rsidP="001F4C87">
      <w:pPr>
        <w:keepNext/>
        <w:rPr>
          <w:rFonts w:eastAsia="Times New Roman" w:cs="Times New Roman"/>
          <w:sz w:val="21"/>
          <w:szCs w:val="19"/>
          <w:lang w:eastAsia="en-AU"/>
        </w:rPr>
      </w:pPr>
      <w:r w:rsidRPr="005D7085">
        <w:rPr>
          <w:b/>
        </w:rPr>
        <w:t xml:space="preserve">Further </w:t>
      </w:r>
      <w:r w:rsidR="000E394F">
        <w:rPr>
          <w:b/>
        </w:rPr>
        <w:t>government</w:t>
      </w:r>
      <w:r w:rsidRPr="005D7085">
        <w:rPr>
          <w:b/>
        </w:rPr>
        <w:t xml:space="preserve"> investment is required to address continui</w:t>
      </w:r>
      <w:r w:rsidR="00B9511A" w:rsidRPr="005D7085">
        <w:rPr>
          <w:b/>
        </w:rPr>
        <w:t>ng and new housing need, albeit</w:t>
      </w:r>
      <w:r w:rsidR="005D7085" w:rsidRPr="005D7085">
        <w:rPr>
          <w:b/>
        </w:rPr>
        <w:t xml:space="preserve"> </w:t>
      </w:r>
      <w:r w:rsidRPr="005D7085">
        <w:rPr>
          <w:b/>
        </w:rPr>
        <w:t xml:space="preserve">at a lower </w:t>
      </w:r>
      <w:r w:rsidR="007B399B">
        <w:rPr>
          <w:b/>
        </w:rPr>
        <w:t>level</w:t>
      </w:r>
      <w:r w:rsidRPr="005D7085">
        <w:rPr>
          <w:b/>
        </w:rPr>
        <w:t xml:space="preserve"> than the current </w:t>
      </w:r>
      <w:r w:rsidR="005D7085">
        <w:rPr>
          <w:b/>
        </w:rPr>
        <w:t>Strategy</w:t>
      </w:r>
      <w:r w:rsidRPr="005D7085">
        <w:rPr>
          <w:b/>
        </w:rPr>
        <w:t>.</w:t>
      </w:r>
      <w:r>
        <w:rPr>
          <w:rFonts w:eastAsia="Times New Roman" w:cs="Times New Roman"/>
          <w:sz w:val="21"/>
          <w:szCs w:val="19"/>
          <w:lang w:eastAsia="en-AU"/>
        </w:rPr>
        <w:br w:type="page"/>
      </w:r>
    </w:p>
    <w:p w:rsidR="003F275F" w:rsidRPr="003F275F" w:rsidRDefault="002D4BE2" w:rsidP="00211750">
      <w:pPr>
        <w:pStyle w:val="H2"/>
      </w:pPr>
      <w:bookmarkStart w:id="177" w:name="_Toc477178087"/>
      <w:bookmarkStart w:id="178" w:name="_Toc477248726"/>
      <w:bookmarkStart w:id="179" w:name="_Toc477252712"/>
      <w:bookmarkStart w:id="180" w:name="_Toc490218700"/>
      <w:bookmarkStart w:id="181" w:name="_Toc476644166"/>
      <w:bookmarkStart w:id="182" w:name="_Toc476650859"/>
      <w:bookmarkStart w:id="183" w:name="_Toc476658519"/>
      <w:bookmarkStart w:id="184" w:name="_Toc476659222"/>
      <w:bookmarkStart w:id="185" w:name="_Toc476661028"/>
      <w:bookmarkStart w:id="186" w:name="_Toc476663424"/>
      <w:bookmarkStart w:id="187" w:name="_Toc476669866"/>
      <w:bookmarkStart w:id="188" w:name="_Toc476665881"/>
      <w:bookmarkStart w:id="189" w:name="_Toc476671356"/>
      <w:bookmarkStart w:id="190" w:name="_Toc476676514"/>
      <w:bookmarkStart w:id="191" w:name="_Toc476677796"/>
      <w:bookmarkStart w:id="192" w:name="_Toc476678230"/>
      <w:r>
        <w:lastRenderedPageBreak/>
        <w:t>Increasing</w:t>
      </w:r>
      <w:r w:rsidRPr="003F275F">
        <w:t xml:space="preserve"> housing</w:t>
      </w:r>
      <w:r w:rsidR="006A52D7">
        <w:t xml:space="preserve"> supply and improving</w:t>
      </w:r>
      <w:r w:rsidR="003F275F" w:rsidRPr="003F275F">
        <w:t xml:space="preserve"> housing condition</w:t>
      </w:r>
      <w:r w:rsidR="00D0593C">
        <w:t>s</w:t>
      </w:r>
      <w:bookmarkEnd w:id="177"/>
      <w:bookmarkEnd w:id="178"/>
      <w:bookmarkEnd w:id="179"/>
      <w:bookmarkEnd w:id="180"/>
    </w:p>
    <w:bookmarkEnd w:id="181"/>
    <w:bookmarkEnd w:id="182"/>
    <w:bookmarkEnd w:id="183"/>
    <w:bookmarkEnd w:id="184"/>
    <w:bookmarkEnd w:id="185"/>
    <w:bookmarkEnd w:id="186"/>
    <w:bookmarkEnd w:id="187"/>
    <w:bookmarkEnd w:id="188"/>
    <w:bookmarkEnd w:id="189"/>
    <w:bookmarkEnd w:id="190"/>
    <w:bookmarkEnd w:id="191"/>
    <w:bookmarkEnd w:id="192"/>
    <w:p w:rsidR="003F275F" w:rsidRPr="003F275F" w:rsidRDefault="003F275F" w:rsidP="002E776B">
      <w:r w:rsidRPr="003F275F">
        <w:t>The Strategy will deliver 11,500 more liveable homes by 2018. The target for new builds w</w:t>
      </w:r>
      <w:r w:rsidR="007F327E">
        <w:t>ill</w:t>
      </w:r>
      <w:r w:rsidRPr="003F275F">
        <w:t xml:space="preserve"> not</w:t>
      </w:r>
      <w:r w:rsidR="007F327E">
        <w:t xml:space="preserve"> be</w:t>
      </w:r>
      <w:r w:rsidRPr="003F275F">
        <w:t xml:space="preserve"> met but this slight under</w:t>
      </w:r>
      <w:r w:rsidR="004D094A">
        <w:t xml:space="preserve"> </w:t>
      </w:r>
      <w:r w:rsidRPr="003F275F">
        <w:t xml:space="preserve">achievement </w:t>
      </w:r>
      <w:r w:rsidR="007F327E">
        <w:t>is</w:t>
      </w:r>
      <w:r w:rsidRPr="003F275F">
        <w:t xml:space="preserve"> offset by a major over achievement in refurbishments. </w:t>
      </w:r>
    </w:p>
    <w:p w:rsidR="00B9511A" w:rsidRPr="00B9511A" w:rsidRDefault="00B9511A" w:rsidP="00211750">
      <w:pPr>
        <w:pStyle w:val="H3"/>
      </w:pPr>
      <w:bookmarkStart w:id="193" w:name="_Toc477178088"/>
      <w:bookmarkStart w:id="194" w:name="_Toc477248727"/>
      <w:bookmarkStart w:id="195" w:name="_Toc477252713"/>
      <w:bookmarkStart w:id="196" w:name="_Toc490218701"/>
      <w:r w:rsidRPr="00B9511A">
        <w:t xml:space="preserve">The Strategy has performed well overall against </w:t>
      </w:r>
      <w:r>
        <w:t>numeric building targets</w:t>
      </w:r>
      <w:bookmarkEnd w:id="193"/>
      <w:bookmarkEnd w:id="194"/>
      <w:bookmarkEnd w:id="195"/>
      <w:bookmarkEnd w:id="196"/>
      <w:r w:rsidRPr="00B9511A">
        <w:t xml:space="preserve"> </w:t>
      </w:r>
    </w:p>
    <w:p w:rsidR="003F275F" w:rsidRPr="003F275F" w:rsidRDefault="003F275F" w:rsidP="002E776B">
      <w:pPr>
        <w:rPr>
          <w:b/>
        </w:rPr>
      </w:pPr>
      <w:r w:rsidRPr="003F275F">
        <w:t>The original COAG targets for the Strategy were to build 4,200 new houses and refurbish 4,876 houses. Based on current performance the Strategy is expected to deliver:</w:t>
      </w:r>
    </w:p>
    <w:p w:rsidR="003F275F" w:rsidRPr="003F275F" w:rsidRDefault="003F275F" w:rsidP="00627AAC">
      <w:pPr>
        <w:pStyle w:val="ListParagraph"/>
        <w:numPr>
          <w:ilvl w:val="0"/>
          <w:numId w:val="21"/>
        </w:numPr>
      </w:pPr>
      <w:r w:rsidRPr="003F275F">
        <w:t>4,020 new houses (4.2 per cent below target</w:t>
      </w:r>
      <w:r w:rsidR="009D4CC6">
        <w:t>)</w:t>
      </w:r>
      <w:r w:rsidR="003972AB">
        <w:t>,</w:t>
      </w:r>
      <w:r w:rsidR="001654D8">
        <w:t xml:space="preserve"> </w:t>
      </w:r>
      <w:r w:rsidRPr="003F275F">
        <w:t xml:space="preserve">and </w:t>
      </w:r>
    </w:p>
    <w:p w:rsidR="003F275F" w:rsidRPr="003F275F" w:rsidRDefault="001654D8" w:rsidP="00627AAC">
      <w:pPr>
        <w:pStyle w:val="ListParagraph"/>
        <w:numPr>
          <w:ilvl w:val="0"/>
          <w:numId w:val="21"/>
        </w:numPr>
      </w:pPr>
      <w:r>
        <w:t xml:space="preserve">7,557 refurbishments and </w:t>
      </w:r>
      <w:r w:rsidR="003F275F" w:rsidRPr="003F275F">
        <w:t xml:space="preserve">rebuilds (55 per cent above target). </w:t>
      </w:r>
    </w:p>
    <w:p w:rsidR="002D4BE2" w:rsidRDefault="003F275F" w:rsidP="002E776B">
      <w:r w:rsidRPr="003F275F">
        <w:t>This achievement of increasing housing supply and amenity, and the resulting benefits of reduced overcrowding</w:t>
      </w:r>
      <w:r w:rsidR="001654D8">
        <w:t>, should be celebrated</w:t>
      </w:r>
      <w:r w:rsidRPr="003F275F">
        <w:t xml:space="preserve"> especially given the challenges of constructing houses in remote areas, and the lack of visibility of housing stock location and condition a</w:t>
      </w:r>
      <w:r w:rsidR="002D4BE2">
        <w:t xml:space="preserve">t the outset of the Strategy. </w:t>
      </w:r>
    </w:p>
    <w:p w:rsidR="003F275F" w:rsidRPr="00970EDA" w:rsidRDefault="003F275F" w:rsidP="00211750">
      <w:pPr>
        <w:pStyle w:val="H3"/>
      </w:pPr>
      <w:bookmarkStart w:id="197" w:name="_Toc477178089"/>
      <w:bookmarkStart w:id="198" w:name="_Toc477248728"/>
      <w:bookmarkStart w:id="199" w:name="_Toc477252714"/>
      <w:bookmarkStart w:id="200" w:name="_Toc490218702"/>
      <w:r w:rsidRPr="00970EDA">
        <w:t>The substitution of replacements and refurbishments for some part of the new building target was reasonable</w:t>
      </w:r>
      <w:bookmarkEnd w:id="197"/>
      <w:bookmarkEnd w:id="198"/>
      <w:bookmarkEnd w:id="199"/>
      <w:bookmarkEnd w:id="200"/>
      <w:r w:rsidRPr="00970EDA">
        <w:t xml:space="preserve"> </w:t>
      </w:r>
    </w:p>
    <w:p w:rsidR="003F275F" w:rsidRPr="003F275F" w:rsidRDefault="009C41D6" w:rsidP="002E776B">
      <w:r w:rsidRPr="003F275F">
        <w:t>During consultations</w:t>
      </w:r>
      <w:r>
        <w:t>,</w:t>
      </w:r>
      <w:r w:rsidRPr="003F275F">
        <w:t xml:space="preserve"> </w:t>
      </w:r>
      <w:r w:rsidR="0004739C">
        <w:t>jurisdiction</w:t>
      </w:r>
      <w:r w:rsidRPr="003F275F">
        <w:t xml:space="preserve"> officials explained that when the Strategy commenced all parties underestimated the level of overcrowding and the poor state of existing housing in remote communities. Many houses were in such poor condition they ne</w:t>
      </w:r>
      <w:r>
        <w:t>eded replacing. In the Northern </w:t>
      </w:r>
      <w:r w:rsidRPr="003F275F">
        <w:t>Territory where this issue was especially acute, up to 40 per cent of new houses were replacements which improved housing condition but did not increase the overall housing stock</w:t>
      </w:r>
      <w:r w:rsidR="003F275F" w:rsidRPr="003F275F">
        <w:t xml:space="preserve">. </w:t>
      </w:r>
    </w:p>
    <w:p w:rsidR="00622CC3" w:rsidRPr="005C1828" w:rsidRDefault="009C41D6" w:rsidP="005C1828">
      <w:r w:rsidRPr="003F275F">
        <w:t>The decision to fund additional refurbishments over new builds delivered three refurbishments for every new house</w:t>
      </w:r>
      <w:r>
        <w:t>. This</w:t>
      </w:r>
      <w:r w:rsidRPr="003F275F">
        <w:t xml:space="preserve"> resulted in a cost effective way to increase housing amenity and a significant over performance against the refurbishment target</w:t>
      </w:r>
      <w:r w:rsidR="003F275F" w:rsidRPr="003F275F">
        <w:t xml:space="preserve">. </w:t>
      </w:r>
    </w:p>
    <w:p w:rsidR="003F275F" w:rsidRPr="00970EDA" w:rsidRDefault="003F275F" w:rsidP="00211750">
      <w:pPr>
        <w:pStyle w:val="H3"/>
      </w:pPr>
      <w:bookmarkStart w:id="201" w:name="_Toc477178090"/>
      <w:bookmarkStart w:id="202" w:name="_Toc477248729"/>
      <w:bookmarkStart w:id="203" w:name="_Toc477252715"/>
      <w:bookmarkStart w:id="204" w:name="_Toc490218703"/>
      <w:r w:rsidRPr="00970EDA">
        <w:lastRenderedPageBreak/>
        <w:t xml:space="preserve">With the exception of Western Australia, each continuing </w:t>
      </w:r>
      <w:r w:rsidR="0004739C">
        <w:t>jurisdiction</w:t>
      </w:r>
      <w:r w:rsidRPr="00970EDA">
        <w:t xml:space="preserve"> met or exceeded its </w:t>
      </w:r>
      <w:r w:rsidR="009C41D6">
        <w:t xml:space="preserve">original COAG </w:t>
      </w:r>
      <w:r w:rsidRPr="00970EDA">
        <w:t>targets</w:t>
      </w:r>
      <w:bookmarkEnd w:id="201"/>
      <w:bookmarkEnd w:id="202"/>
      <w:bookmarkEnd w:id="203"/>
      <w:bookmarkEnd w:id="204"/>
      <w:r w:rsidRPr="00970EDA">
        <w:t xml:space="preserve"> </w:t>
      </w:r>
    </w:p>
    <w:p w:rsidR="003F275F" w:rsidRPr="003F275F" w:rsidRDefault="003F275F" w:rsidP="002E776B">
      <w:r w:rsidRPr="003F275F">
        <w:t>Performance against the targets for</w:t>
      </w:r>
      <w:r w:rsidR="00BD130B">
        <w:t xml:space="preserve"> each </w:t>
      </w:r>
      <w:r w:rsidR="0004739C">
        <w:t>jurisdiction</w:t>
      </w:r>
      <w:r w:rsidR="00BD130B">
        <w:t xml:space="preserve"> is shown in Table</w:t>
      </w:r>
      <w:r w:rsidR="0053011A">
        <w:t xml:space="preserve"> 4</w:t>
      </w:r>
      <w:r w:rsidR="00E8364F">
        <w:t xml:space="preserve">.1. </w:t>
      </w:r>
      <w:r w:rsidRPr="003F275F">
        <w:t xml:space="preserve">Each of the </w:t>
      </w:r>
      <w:r w:rsidR="0004739C">
        <w:t>jurisdiction</w:t>
      </w:r>
      <w:r w:rsidRPr="003F275F">
        <w:t xml:space="preserve">s that have remained in the program, with the exception of Western Australia (-16 per cent), met their targets for new builds. </w:t>
      </w:r>
    </w:p>
    <w:p w:rsidR="003F275F" w:rsidRPr="005D56D1" w:rsidRDefault="00BD130B" w:rsidP="00F8799E">
      <w:pPr>
        <w:pStyle w:val="tbsfigs"/>
        <w:spacing w:after="240"/>
      </w:pPr>
      <w:r w:rsidRPr="005D56D1">
        <w:t>Table</w:t>
      </w:r>
      <w:r w:rsidR="0053011A" w:rsidRPr="005D56D1">
        <w:t xml:space="preserve"> 4</w:t>
      </w:r>
      <w:r w:rsidR="003F275F" w:rsidRPr="005D56D1">
        <w:t xml:space="preserve">.1: Outcomes against </w:t>
      </w:r>
      <w:r w:rsidR="009C41D6">
        <w:t xml:space="preserve">COAG </w:t>
      </w:r>
      <w:r w:rsidR="00430972">
        <w:t xml:space="preserve">10 year targets </w:t>
      </w:r>
      <w:r w:rsidR="003F275F" w:rsidRPr="005D56D1">
        <w:t xml:space="preserve">and funding for all </w:t>
      </w:r>
      <w:r w:rsidR="0004739C">
        <w:t>jurisdiction</w:t>
      </w:r>
      <w:r w:rsidR="003F275F" w:rsidRPr="005D56D1">
        <w:t>s</w:t>
      </w:r>
    </w:p>
    <w:p w:rsidR="005D56D1" w:rsidRPr="00FD4480" w:rsidRDefault="005D56D1" w:rsidP="00F8799E">
      <w:pPr>
        <w:pStyle w:val="h4bold"/>
      </w:pPr>
      <w:r w:rsidRPr="00FD4480">
        <w:t>New builds</w:t>
      </w:r>
    </w:p>
    <w:tbl>
      <w:tblPr>
        <w:tblW w:w="0" w:type="auto"/>
        <w:tblCellMar>
          <w:left w:w="0" w:type="dxa"/>
          <w:right w:w="0" w:type="dxa"/>
        </w:tblCellMar>
        <w:tblLook w:val="04A0" w:firstRow="1" w:lastRow="0" w:firstColumn="1" w:lastColumn="0" w:noHBand="0" w:noVBand="1"/>
        <w:tblCaption w:val="Table 4.1"/>
        <w:tblDescription w:val="Table 4.1 shows capital funding across each jurisdiction (in $millions), 2018 build target, actual build to 2018 and percentage achievement either under or over against the build target. "/>
      </w:tblPr>
      <w:tblGrid>
        <w:gridCol w:w="1258"/>
        <w:gridCol w:w="1184"/>
        <w:gridCol w:w="833"/>
        <w:gridCol w:w="834"/>
        <w:gridCol w:w="1518"/>
      </w:tblGrid>
      <w:tr w:rsidR="005D56D1" w:rsidRPr="003F275F" w:rsidTr="0040087C">
        <w:trPr>
          <w:trHeight w:val="585"/>
          <w:tblHeader/>
        </w:trPr>
        <w:tc>
          <w:tcPr>
            <w:tcW w:w="1072" w:type="dxa"/>
            <w:tcBorders>
              <w:top w:val="single" w:sz="8" w:space="0" w:color="auto"/>
              <w:left w:val="single" w:sz="8" w:space="0" w:color="auto"/>
              <w:bottom w:val="single" w:sz="8" w:space="0" w:color="auto"/>
              <w:right w:val="single" w:sz="8" w:space="0" w:color="auto"/>
            </w:tcBorders>
            <w:shd w:val="clear" w:color="auto" w:fill="5CADFF" w:themeFill="text2" w:themeFillTint="66"/>
            <w:tcMar>
              <w:top w:w="0" w:type="dxa"/>
              <w:left w:w="108" w:type="dxa"/>
              <w:bottom w:w="0" w:type="dxa"/>
              <w:right w:w="108" w:type="dxa"/>
            </w:tcMar>
            <w:hideMark/>
          </w:tcPr>
          <w:p w:rsidR="005D56D1" w:rsidRPr="004C115D" w:rsidRDefault="0004739C" w:rsidP="006F7506">
            <w:pPr>
              <w:pStyle w:val="Heading6"/>
              <w:jc w:val="center"/>
            </w:pPr>
            <w:r>
              <w:t>Jurisdiction</w:t>
            </w:r>
          </w:p>
        </w:tc>
        <w:tc>
          <w:tcPr>
            <w:tcW w:w="1184" w:type="dxa"/>
            <w:tcBorders>
              <w:top w:val="single" w:sz="8" w:space="0" w:color="auto"/>
              <w:left w:val="nil"/>
              <w:bottom w:val="single" w:sz="8" w:space="0" w:color="auto"/>
              <w:right w:val="single" w:sz="4" w:space="0" w:color="auto"/>
            </w:tcBorders>
            <w:shd w:val="clear" w:color="auto" w:fill="5CADFF" w:themeFill="text2" w:themeFillTint="66"/>
          </w:tcPr>
          <w:p w:rsidR="004B1F30" w:rsidRDefault="005D56D1" w:rsidP="004B1F30">
            <w:pPr>
              <w:pStyle w:val="Heading6"/>
              <w:jc w:val="center"/>
            </w:pPr>
            <w:r w:rsidRPr="004C115D">
              <w:t>Capital funding*</w:t>
            </w:r>
          </w:p>
          <w:p w:rsidR="005D56D1" w:rsidRPr="004C115D" w:rsidRDefault="005D56D1" w:rsidP="004B1F30">
            <w:pPr>
              <w:pStyle w:val="Heading6"/>
              <w:jc w:val="center"/>
            </w:pPr>
            <w:r w:rsidRPr="004C115D">
              <w:t>$m</w:t>
            </w:r>
          </w:p>
        </w:tc>
        <w:tc>
          <w:tcPr>
            <w:tcW w:w="833" w:type="dxa"/>
            <w:tcBorders>
              <w:top w:val="single" w:sz="8" w:space="0" w:color="auto"/>
              <w:left w:val="single" w:sz="4" w:space="0" w:color="auto"/>
              <w:bottom w:val="single" w:sz="8" w:space="0" w:color="auto"/>
              <w:right w:val="single" w:sz="8" w:space="0" w:color="auto"/>
            </w:tcBorders>
            <w:shd w:val="clear" w:color="auto" w:fill="5CADFF" w:themeFill="text2" w:themeFillTint="66"/>
            <w:tcMar>
              <w:top w:w="0" w:type="dxa"/>
              <w:left w:w="108" w:type="dxa"/>
              <w:bottom w:w="0" w:type="dxa"/>
              <w:right w:w="108" w:type="dxa"/>
            </w:tcMar>
            <w:hideMark/>
          </w:tcPr>
          <w:p w:rsidR="005D56D1" w:rsidRPr="004C115D" w:rsidRDefault="005D56D1" w:rsidP="006F7506">
            <w:pPr>
              <w:pStyle w:val="Heading6"/>
              <w:jc w:val="center"/>
            </w:pPr>
            <w:r w:rsidRPr="004C115D">
              <w:t>2018 Target</w:t>
            </w:r>
          </w:p>
        </w:tc>
        <w:tc>
          <w:tcPr>
            <w:tcW w:w="834" w:type="dxa"/>
            <w:tcBorders>
              <w:top w:val="single" w:sz="8" w:space="0" w:color="auto"/>
              <w:left w:val="nil"/>
              <w:bottom w:val="single" w:sz="8" w:space="0" w:color="auto"/>
              <w:right w:val="single" w:sz="8" w:space="0" w:color="auto"/>
            </w:tcBorders>
            <w:shd w:val="clear" w:color="auto" w:fill="5CADFF" w:themeFill="text2" w:themeFillTint="66"/>
            <w:tcMar>
              <w:top w:w="0" w:type="dxa"/>
              <w:left w:w="108" w:type="dxa"/>
              <w:bottom w:w="0" w:type="dxa"/>
              <w:right w:w="108" w:type="dxa"/>
            </w:tcMar>
            <w:hideMark/>
          </w:tcPr>
          <w:p w:rsidR="005D56D1" w:rsidRPr="004C115D" w:rsidRDefault="005D56D1" w:rsidP="006F7506">
            <w:pPr>
              <w:pStyle w:val="Heading6"/>
              <w:jc w:val="center"/>
            </w:pPr>
            <w:r w:rsidRPr="004C115D">
              <w:t>Actual builds to 2018</w:t>
            </w:r>
          </w:p>
        </w:tc>
        <w:tc>
          <w:tcPr>
            <w:tcW w:w="0" w:type="auto"/>
            <w:tcBorders>
              <w:top w:val="single" w:sz="8" w:space="0" w:color="auto"/>
              <w:left w:val="nil"/>
              <w:bottom w:val="single" w:sz="8" w:space="0" w:color="auto"/>
              <w:right w:val="single" w:sz="8" w:space="0" w:color="auto"/>
            </w:tcBorders>
            <w:shd w:val="clear" w:color="auto" w:fill="5CADFF" w:themeFill="text2" w:themeFillTint="66"/>
            <w:tcMar>
              <w:top w:w="0" w:type="dxa"/>
              <w:left w:w="108" w:type="dxa"/>
              <w:bottom w:w="0" w:type="dxa"/>
              <w:right w:w="108" w:type="dxa"/>
            </w:tcMar>
            <w:hideMark/>
          </w:tcPr>
          <w:p w:rsidR="005D56D1" w:rsidRPr="004C115D" w:rsidRDefault="004B1F30" w:rsidP="006F7506">
            <w:pPr>
              <w:pStyle w:val="Heading6"/>
              <w:jc w:val="center"/>
            </w:pPr>
            <w:r>
              <w:t xml:space="preserve">Percentage </w:t>
            </w:r>
            <w:r w:rsidR="005D56D1" w:rsidRPr="004C115D">
              <w:t>over/under achievement</w:t>
            </w:r>
          </w:p>
        </w:tc>
      </w:tr>
      <w:tr w:rsidR="005D56D1" w:rsidRPr="003F275F" w:rsidTr="0040087C">
        <w:tc>
          <w:tcPr>
            <w:tcW w:w="1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NSW***</w:t>
            </w:r>
          </w:p>
        </w:tc>
        <w:tc>
          <w:tcPr>
            <w:tcW w:w="1184" w:type="dxa"/>
            <w:tcBorders>
              <w:top w:val="single" w:sz="8" w:space="0" w:color="auto"/>
              <w:left w:val="nil"/>
              <w:bottom w:val="single" w:sz="8"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szCs w:val="20"/>
              </w:rPr>
              <w:t>193.731</w:t>
            </w:r>
          </w:p>
        </w:tc>
        <w:tc>
          <w:tcPr>
            <w:tcW w:w="83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310</w:t>
            </w:r>
          </w:p>
        </w:tc>
        <w:tc>
          <w:tcPr>
            <w:tcW w:w="834" w:type="dxa"/>
            <w:tcBorders>
              <w:top w:val="nil"/>
              <w:left w:val="nil"/>
              <w:bottom w:val="single" w:sz="8"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263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p>
        </w:tc>
      </w:tr>
      <w:tr w:rsidR="005D56D1" w:rsidRPr="003F275F" w:rsidTr="0040087C">
        <w:tc>
          <w:tcPr>
            <w:tcW w:w="107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Q</w:t>
            </w:r>
            <w:r>
              <w:rPr>
                <w:rFonts w:ascii="Calibri" w:eastAsia="Calibri" w:hAnsi="Calibri" w:cs="Times New Roman"/>
                <w:b/>
                <w:bCs/>
                <w:sz w:val="20"/>
                <w:szCs w:val="20"/>
              </w:rPr>
              <w:t>ld</w:t>
            </w:r>
          </w:p>
        </w:tc>
        <w:tc>
          <w:tcPr>
            <w:tcW w:w="1184" w:type="dxa"/>
            <w:tcBorders>
              <w:top w:val="single" w:sz="8" w:space="0" w:color="auto"/>
              <w:left w:val="nil"/>
              <w:bottom w:val="single" w:sz="4"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rPr>
              <w:t>821.260</w:t>
            </w:r>
          </w:p>
        </w:tc>
        <w:tc>
          <w:tcPr>
            <w:tcW w:w="833"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141</w:t>
            </w:r>
          </w:p>
        </w:tc>
        <w:tc>
          <w:tcPr>
            <w:tcW w:w="834" w:type="dxa"/>
            <w:tcBorders>
              <w:top w:val="nil"/>
              <w:left w:val="nil"/>
              <w:bottom w:val="single" w:sz="4"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144</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+0.26%</w:t>
            </w:r>
          </w:p>
        </w:tc>
      </w:tr>
      <w:tr w:rsidR="005D56D1" w:rsidRPr="003F275F" w:rsidTr="0040087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WA</w:t>
            </w:r>
          </w:p>
        </w:tc>
        <w:tc>
          <w:tcPr>
            <w:tcW w:w="1184" w:type="dxa"/>
            <w:tcBorders>
              <w:top w:val="single" w:sz="4" w:space="0" w:color="auto"/>
              <w:left w:val="single" w:sz="4" w:space="0" w:color="auto"/>
              <w:bottom w:val="single" w:sz="4"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rPr>
              <w:t>813.624</w:t>
            </w:r>
          </w:p>
        </w:tc>
        <w:tc>
          <w:tcPr>
            <w:tcW w:w="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012</w:t>
            </w:r>
          </w:p>
        </w:tc>
        <w:tc>
          <w:tcPr>
            <w:tcW w:w="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841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color w:val="FF0000"/>
                <w:sz w:val="20"/>
                <w:szCs w:val="20"/>
              </w:rPr>
            </w:pPr>
            <w:r>
              <w:rPr>
                <w:rFonts w:ascii="Calibri" w:eastAsia="Calibri" w:hAnsi="Calibri" w:cs="Times New Roman"/>
                <w:bCs/>
                <w:color w:val="FF0000"/>
                <w:sz w:val="20"/>
                <w:szCs w:val="20"/>
              </w:rPr>
              <w:t>-16.90</w:t>
            </w:r>
            <w:r w:rsidRPr="003F275F">
              <w:rPr>
                <w:rFonts w:ascii="Calibri" w:eastAsia="Calibri" w:hAnsi="Calibri" w:cs="Times New Roman"/>
                <w:bCs/>
                <w:color w:val="FF0000"/>
                <w:sz w:val="20"/>
                <w:szCs w:val="20"/>
              </w:rPr>
              <w:t>%</w:t>
            </w:r>
          </w:p>
        </w:tc>
      </w:tr>
      <w:tr w:rsidR="005D56D1" w:rsidRPr="003F275F" w:rsidTr="0040087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SA</w:t>
            </w:r>
          </w:p>
        </w:tc>
        <w:tc>
          <w:tcPr>
            <w:tcW w:w="1184" w:type="dxa"/>
            <w:tcBorders>
              <w:top w:val="single" w:sz="4" w:space="0" w:color="auto"/>
              <w:left w:val="single" w:sz="4" w:space="0" w:color="auto"/>
              <w:bottom w:val="single" w:sz="4"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szCs w:val="20"/>
              </w:rPr>
              <w:t>148.734</w:t>
            </w:r>
          </w:p>
        </w:tc>
        <w:tc>
          <w:tcPr>
            <w:tcW w:w="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241</w:t>
            </w:r>
          </w:p>
        </w:tc>
        <w:tc>
          <w:tcPr>
            <w:tcW w:w="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256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sz w:val="20"/>
              </w:rPr>
            </w:pPr>
            <w:r w:rsidRPr="003F275F">
              <w:rPr>
                <w:rFonts w:ascii="Calibri" w:eastAsia="Calibri" w:hAnsi="Calibri" w:cs="Times New Roman"/>
                <w:bCs/>
                <w:sz w:val="20"/>
                <w:szCs w:val="20"/>
              </w:rPr>
              <w:t>+6.22%</w:t>
            </w:r>
          </w:p>
        </w:tc>
      </w:tr>
      <w:tr w:rsidR="005D56D1" w:rsidRPr="003F275F" w:rsidTr="0040087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T</w:t>
            </w:r>
            <w:r>
              <w:rPr>
                <w:rFonts w:ascii="Calibri" w:eastAsia="Calibri" w:hAnsi="Calibri" w:cs="Times New Roman"/>
                <w:b/>
                <w:bCs/>
                <w:sz w:val="20"/>
                <w:szCs w:val="20"/>
              </w:rPr>
              <w:t>as</w:t>
            </w:r>
            <w:r w:rsidRPr="003F275F">
              <w:rPr>
                <w:rFonts w:ascii="Calibri" w:eastAsia="Calibri" w:hAnsi="Calibri" w:cs="Times New Roman"/>
                <w:b/>
                <w:bCs/>
                <w:sz w:val="20"/>
                <w:szCs w:val="20"/>
              </w:rPr>
              <w:t>***</w:t>
            </w:r>
          </w:p>
        </w:tc>
        <w:tc>
          <w:tcPr>
            <w:tcW w:w="1184" w:type="dxa"/>
            <w:tcBorders>
              <w:top w:val="single" w:sz="4" w:space="0" w:color="auto"/>
              <w:left w:val="single" w:sz="4" w:space="0" w:color="auto"/>
              <w:bottom w:val="single" w:sz="4"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szCs w:val="20"/>
              </w:rPr>
              <w:t>12.325</w:t>
            </w:r>
          </w:p>
        </w:tc>
        <w:tc>
          <w:tcPr>
            <w:tcW w:w="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18</w:t>
            </w:r>
          </w:p>
        </w:tc>
        <w:tc>
          <w:tcPr>
            <w:tcW w:w="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p>
        </w:tc>
      </w:tr>
      <w:tr w:rsidR="005D56D1" w:rsidRPr="003F275F" w:rsidTr="0040087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NT**</w:t>
            </w:r>
          </w:p>
        </w:tc>
        <w:tc>
          <w:tcPr>
            <w:tcW w:w="1184" w:type="dxa"/>
            <w:tcBorders>
              <w:top w:val="single" w:sz="4" w:space="0" w:color="auto"/>
              <w:left w:val="single" w:sz="4" w:space="0" w:color="auto"/>
              <w:bottom w:val="single" w:sz="4" w:space="0" w:color="auto"/>
              <w:right w:val="single" w:sz="4" w:space="0" w:color="auto"/>
            </w:tcBorders>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Times New Roman"/>
                <w:color w:val="000000"/>
                <w:sz w:val="20"/>
                <w:szCs w:val="20"/>
              </w:rPr>
              <w:t>1,236.189</w:t>
            </w:r>
          </w:p>
        </w:tc>
        <w:tc>
          <w:tcPr>
            <w:tcW w:w="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456</w:t>
            </w:r>
          </w:p>
        </w:tc>
        <w:tc>
          <w:tcPr>
            <w:tcW w:w="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504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+3.30</w:t>
            </w:r>
            <w:r w:rsidRPr="003F275F">
              <w:rPr>
                <w:rFonts w:ascii="Calibri" w:eastAsia="Calibri" w:hAnsi="Calibri" w:cs="Times New Roman"/>
                <w:bCs/>
                <w:sz w:val="20"/>
                <w:szCs w:val="20"/>
              </w:rPr>
              <w:t>%</w:t>
            </w:r>
          </w:p>
        </w:tc>
      </w:tr>
      <w:tr w:rsidR="005D56D1" w:rsidRPr="003F275F" w:rsidTr="0040087C">
        <w:tc>
          <w:tcPr>
            <w:tcW w:w="1072"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
                <w:bCs/>
                <w:sz w:val="20"/>
                <w:szCs w:val="20"/>
              </w:rPr>
            </w:pPr>
            <w:r w:rsidRPr="003F275F">
              <w:rPr>
                <w:rFonts w:ascii="Calibri" w:eastAsia="Calibri" w:hAnsi="Calibri" w:cs="Times New Roman"/>
                <w:b/>
                <w:bCs/>
                <w:sz w:val="20"/>
                <w:szCs w:val="20"/>
              </w:rPr>
              <w:t>National total</w:t>
            </w:r>
          </w:p>
        </w:tc>
        <w:tc>
          <w:tcPr>
            <w:tcW w:w="1184" w:type="dxa"/>
            <w:tcBorders>
              <w:top w:val="single" w:sz="4" w:space="0" w:color="auto"/>
              <w:left w:val="single" w:sz="4" w:space="0" w:color="auto"/>
              <w:bottom w:val="single" w:sz="4" w:space="0" w:color="auto"/>
              <w:right w:val="single" w:sz="4" w:space="0" w:color="auto"/>
            </w:tcBorders>
            <w:shd w:val="clear" w:color="auto" w:fill="FDEAD1" w:themeFill="accent1" w:themeFillTint="33"/>
            <w:vAlign w:val="center"/>
          </w:tcPr>
          <w:p w:rsidR="005D56D1" w:rsidRPr="003F275F" w:rsidRDefault="005D56D1" w:rsidP="0074565B">
            <w:pPr>
              <w:keepLines/>
              <w:widowControl w:val="0"/>
              <w:spacing w:before="120" w:after="120" w:line="240" w:lineRule="auto"/>
              <w:jc w:val="center"/>
              <w:rPr>
                <w:rFonts w:ascii="Calibri" w:eastAsia="Calibri" w:hAnsi="Calibri" w:cs="Times New Roman"/>
                <w:color w:val="000000"/>
                <w:sz w:val="20"/>
                <w:szCs w:val="20"/>
              </w:rPr>
            </w:pPr>
            <w:r w:rsidRPr="003F275F">
              <w:rPr>
                <w:rFonts w:ascii="Calibri" w:eastAsia="Calibri" w:hAnsi="Calibri" w:cs="Calibri"/>
                <w:color w:val="000000"/>
                <w:sz w:val="20"/>
                <w:szCs w:val="20"/>
              </w:rPr>
              <w:t>3,225.863</w:t>
            </w:r>
          </w:p>
        </w:tc>
        <w:tc>
          <w:tcPr>
            <w:tcW w:w="833"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color w:val="000000"/>
                <w:sz w:val="20"/>
                <w:szCs w:val="20"/>
              </w:rPr>
              <w:t>4</w:t>
            </w:r>
            <w:r>
              <w:rPr>
                <w:rFonts w:ascii="Calibri" w:eastAsia="Calibri" w:hAnsi="Calibri" w:cs="Times New Roman"/>
                <w:bCs/>
                <w:color w:val="000000"/>
                <w:sz w:val="20"/>
                <w:szCs w:val="20"/>
              </w:rPr>
              <w:t>,</w:t>
            </w:r>
            <w:r w:rsidRPr="003F275F">
              <w:rPr>
                <w:rFonts w:ascii="Calibri" w:eastAsia="Calibri" w:hAnsi="Calibri" w:cs="Times New Roman"/>
                <w:bCs/>
                <w:color w:val="000000"/>
                <w:sz w:val="20"/>
                <w:szCs w:val="20"/>
              </w:rPr>
              <w:t>200</w:t>
            </w:r>
          </w:p>
        </w:tc>
        <w:tc>
          <w:tcPr>
            <w:tcW w:w="834"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4</w:t>
            </w:r>
            <w:r>
              <w:rPr>
                <w:rFonts w:ascii="Calibri" w:eastAsia="Calibri" w:hAnsi="Calibri" w:cs="Times New Roman"/>
                <w:bCs/>
                <w:sz w:val="20"/>
                <w:szCs w:val="20"/>
              </w:rPr>
              <w:t>,</w:t>
            </w:r>
            <w:r w:rsidRPr="003F275F">
              <w:rPr>
                <w:rFonts w:ascii="Calibri" w:eastAsia="Calibri" w:hAnsi="Calibri" w:cs="Times New Roman"/>
                <w:bCs/>
                <w:sz w:val="20"/>
                <w:szCs w:val="20"/>
              </w:rPr>
              <w:t>020</w:t>
            </w:r>
          </w:p>
        </w:tc>
        <w:tc>
          <w:tcPr>
            <w:tcW w:w="1518"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5D56D1" w:rsidRPr="003F275F" w:rsidRDefault="005D56D1" w:rsidP="00FD4480">
            <w:pPr>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-4.2</w:t>
            </w:r>
            <w:r>
              <w:rPr>
                <w:rFonts w:ascii="Calibri" w:eastAsia="Calibri" w:hAnsi="Calibri" w:cs="Times New Roman"/>
                <w:bCs/>
                <w:sz w:val="20"/>
                <w:szCs w:val="20"/>
              </w:rPr>
              <w:t>9</w:t>
            </w:r>
            <w:r w:rsidRPr="003F275F">
              <w:rPr>
                <w:rFonts w:ascii="Calibri" w:eastAsia="Calibri" w:hAnsi="Calibri" w:cs="Times New Roman"/>
                <w:bCs/>
                <w:sz w:val="20"/>
                <w:szCs w:val="20"/>
              </w:rPr>
              <w:t>%</w:t>
            </w:r>
          </w:p>
        </w:tc>
      </w:tr>
    </w:tbl>
    <w:p w:rsidR="005D56D1" w:rsidRDefault="005D56D1" w:rsidP="00F8799E">
      <w:pPr>
        <w:pStyle w:val="h4bold"/>
        <w:spacing w:before="4320"/>
      </w:pPr>
      <w:r>
        <w:lastRenderedPageBreak/>
        <w:t xml:space="preserve">Refurbishments </w:t>
      </w:r>
    </w:p>
    <w:tbl>
      <w:tblPr>
        <w:tblW w:w="7054" w:type="dxa"/>
        <w:tblLayout w:type="fixed"/>
        <w:tblCellMar>
          <w:left w:w="0" w:type="dxa"/>
          <w:right w:w="0" w:type="dxa"/>
        </w:tblCellMar>
        <w:tblLook w:val="04A0" w:firstRow="1" w:lastRow="0" w:firstColumn="1" w:lastColumn="0" w:noHBand="0" w:noVBand="1"/>
        <w:tblCaption w:val="Table 4.1"/>
        <w:tblDescription w:val="Table 4.1 shows refurbishments by jurisdiction, percentage under or over achievement and number of communities touched."/>
      </w:tblPr>
      <w:tblGrid>
        <w:gridCol w:w="1384"/>
        <w:gridCol w:w="992"/>
        <w:gridCol w:w="1134"/>
        <w:gridCol w:w="1843"/>
        <w:gridCol w:w="1701"/>
      </w:tblGrid>
      <w:tr w:rsidR="009F0D9D" w:rsidRPr="003F275F" w:rsidTr="0004739C">
        <w:trPr>
          <w:trHeight w:val="579"/>
          <w:tblHeader/>
        </w:trPr>
        <w:tc>
          <w:tcPr>
            <w:tcW w:w="1384" w:type="dxa"/>
            <w:tcBorders>
              <w:top w:val="single" w:sz="8" w:space="0" w:color="auto"/>
              <w:left w:val="nil"/>
              <w:bottom w:val="single" w:sz="4" w:space="0" w:color="auto"/>
              <w:right w:val="single" w:sz="8" w:space="0" w:color="auto"/>
            </w:tcBorders>
            <w:shd w:val="clear" w:color="auto" w:fill="5CADFF" w:themeFill="text2" w:themeFillTint="66"/>
            <w:tcMar>
              <w:top w:w="0" w:type="dxa"/>
              <w:left w:w="108" w:type="dxa"/>
              <w:bottom w:w="0" w:type="dxa"/>
              <w:right w:w="108" w:type="dxa"/>
            </w:tcMar>
            <w:hideMark/>
          </w:tcPr>
          <w:p w:rsidR="009F0D9D" w:rsidRPr="004C115D" w:rsidRDefault="0004739C" w:rsidP="006F7506">
            <w:pPr>
              <w:pStyle w:val="Heading6"/>
              <w:jc w:val="center"/>
            </w:pPr>
            <w:r>
              <w:t>Jurisdiction</w:t>
            </w:r>
          </w:p>
        </w:tc>
        <w:tc>
          <w:tcPr>
            <w:tcW w:w="992" w:type="dxa"/>
            <w:tcBorders>
              <w:top w:val="single" w:sz="8" w:space="0" w:color="auto"/>
              <w:left w:val="nil"/>
              <w:bottom w:val="single" w:sz="8" w:space="0" w:color="auto"/>
              <w:right w:val="single" w:sz="4" w:space="0" w:color="auto"/>
            </w:tcBorders>
            <w:shd w:val="clear" w:color="auto" w:fill="5CADFF" w:themeFill="text2" w:themeFillTint="66"/>
            <w:tcMar>
              <w:top w:w="0" w:type="dxa"/>
              <w:left w:w="108" w:type="dxa"/>
              <w:bottom w:w="0" w:type="dxa"/>
              <w:right w:w="108" w:type="dxa"/>
            </w:tcMar>
            <w:hideMark/>
          </w:tcPr>
          <w:p w:rsidR="009F0D9D" w:rsidRDefault="009F0D9D" w:rsidP="006F7506">
            <w:pPr>
              <w:pStyle w:val="Heading6"/>
              <w:numPr>
                <w:ilvl w:val="0"/>
                <w:numId w:val="0"/>
              </w:numPr>
              <w:jc w:val="center"/>
            </w:pPr>
            <w:r>
              <w:t>2014 Targets</w:t>
            </w:r>
          </w:p>
          <w:p w:rsidR="009F0D9D" w:rsidRDefault="009F0D9D" w:rsidP="006F7506">
            <w:pPr>
              <w:pStyle w:val="Heading6"/>
              <w:jc w:val="center"/>
            </w:pPr>
          </w:p>
          <w:p w:rsidR="009F0D9D" w:rsidRPr="004C115D" w:rsidRDefault="009F0D9D" w:rsidP="006F7506">
            <w:pPr>
              <w:pStyle w:val="Heading6"/>
              <w:jc w:val="center"/>
            </w:pPr>
          </w:p>
        </w:tc>
        <w:tc>
          <w:tcPr>
            <w:tcW w:w="1134" w:type="dxa"/>
            <w:tcBorders>
              <w:top w:val="single" w:sz="8" w:space="0" w:color="auto"/>
              <w:left w:val="single" w:sz="4" w:space="0" w:color="auto"/>
              <w:bottom w:val="single" w:sz="8" w:space="0" w:color="auto"/>
              <w:right w:val="single" w:sz="8" w:space="0" w:color="auto"/>
            </w:tcBorders>
            <w:shd w:val="clear" w:color="auto" w:fill="5CADFF" w:themeFill="text2" w:themeFillTint="66"/>
          </w:tcPr>
          <w:p w:rsidR="009F0D9D" w:rsidRPr="004C115D" w:rsidRDefault="009F0D9D" w:rsidP="004B1F30">
            <w:pPr>
              <w:pStyle w:val="Heading6"/>
              <w:jc w:val="center"/>
            </w:pPr>
            <w:r w:rsidRPr="004C115D">
              <w:t>Actual refurbs to</w:t>
            </w:r>
            <w:r w:rsidR="004B1F30">
              <w:t xml:space="preserve"> </w:t>
            </w:r>
            <w:r w:rsidRPr="004C115D">
              <w:t>2018</w:t>
            </w:r>
          </w:p>
        </w:tc>
        <w:tc>
          <w:tcPr>
            <w:tcW w:w="1843" w:type="dxa"/>
            <w:tcBorders>
              <w:top w:val="single" w:sz="8" w:space="0" w:color="auto"/>
              <w:left w:val="nil"/>
              <w:bottom w:val="single" w:sz="8" w:space="0" w:color="auto"/>
              <w:right w:val="single" w:sz="8" w:space="0" w:color="auto"/>
            </w:tcBorders>
            <w:shd w:val="clear" w:color="auto" w:fill="5CADFF" w:themeFill="text2" w:themeFillTint="66"/>
            <w:tcMar>
              <w:top w:w="0" w:type="dxa"/>
              <w:left w:w="108" w:type="dxa"/>
              <w:bottom w:w="0" w:type="dxa"/>
              <w:right w:w="108" w:type="dxa"/>
            </w:tcMar>
            <w:hideMark/>
          </w:tcPr>
          <w:p w:rsidR="009F0D9D" w:rsidRPr="004C115D" w:rsidRDefault="009F0D9D" w:rsidP="004B1F30">
            <w:pPr>
              <w:pStyle w:val="Heading6"/>
              <w:jc w:val="center"/>
            </w:pPr>
            <w:r w:rsidRPr="004C115D">
              <w:t>Percentage over/under achievement</w:t>
            </w:r>
          </w:p>
        </w:tc>
        <w:tc>
          <w:tcPr>
            <w:tcW w:w="1701" w:type="dxa"/>
            <w:tcBorders>
              <w:top w:val="single" w:sz="8" w:space="0" w:color="auto"/>
              <w:left w:val="nil"/>
              <w:bottom w:val="single" w:sz="8" w:space="0" w:color="auto"/>
              <w:right w:val="single" w:sz="8" w:space="0" w:color="auto"/>
            </w:tcBorders>
            <w:shd w:val="clear" w:color="auto" w:fill="5CADFF" w:themeFill="text2" w:themeFillTint="66"/>
          </w:tcPr>
          <w:p w:rsidR="009F0D9D" w:rsidRPr="004C115D" w:rsidRDefault="009F0D9D" w:rsidP="006F7506">
            <w:pPr>
              <w:pStyle w:val="Heading6"/>
              <w:jc w:val="center"/>
            </w:pPr>
            <w:r w:rsidRPr="004C115D">
              <w:t>Communities touched</w:t>
            </w:r>
          </w:p>
        </w:tc>
      </w:tr>
      <w:tr w:rsidR="009F0D9D" w:rsidRPr="003F275F" w:rsidTr="0004739C">
        <w:trPr>
          <w:cantSplit/>
          <w:trHeight w:val="49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NSW***</w:t>
            </w:r>
          </w:p>
        </w:tc>
        <w:tc>
          <w:tcPr>
            <w:tcW w:w="992"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101</w:t>
            </w:r>
          </w:p>
        </w:tc>
        <w:tc>
          <w:tcPr>
            <w:tcW w:w="1134" w:type="dxa"/>
            <w:tcBorders>
              <w:top w:val="nil"/>
              <w:left w:val="single" w:sz="4" w:space="0" w:color="auto"/>
              <w:bottom w:val="single" w:sz="8" w:space="0" w:color="auto"/>
              <w:right w:val="single" w:sz="8"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009</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+8</w:t>
            </w:r>
            <w:r w:rsidRPr="003F275F">
              <w:rPr>
                <w:rFonts w:ascii="Calibri" w:eastAsia="Calibri" w:hAnsi="Calibri" w:cs="Times New Roman"/>
                <w:bCs/>
                <w:sz w:val="20"/>
                <w:szCs w:val="20"/>
              </w:rPr>
              <w:t>99.0</w:t>
            </w:r>
            <w:r>
              <w:rPr>
                <w:rFonts w:ascii="Calibri" w:eastAsia="Calibri" w:hAnsi="Calibri" w:cs="Times New Roman"/>
                <w:bCs/>
                <w:sz w:val="20"/>
                <w:szCs w:val="20"/>
              </w:rPr>
              <w:t>1</w:t>
            </w:r>
            <w:r w:rsidRPr="003F275F">
              <w:rPr>
                <w:rFonts w:ascii="Calibri" w:eastAsia="Calibri" w:hAnsi="Calibri" w:cs="Times New Roman"/>
                <w:bCs/>
                <w:sz w:val="20"/>
                <w:szCs w:val="20"/>
              </w:rPr>
              <w:t>%</w:t>
            </w:r>
          </w:p>
        </w:tc>
        <w:tc>
          <w:tcPr>
            <w:tcW w:w="1701" w:type="dxa"/>
            <w:tcBorders>
              <w:top w:val="nil"/>
              <w:left w:val="nil"/>
              <w:bottom w:val="single" w:sz="8" w:space="0" w:color="auto"/>
              <w:right w:val="single" w:sz="8"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sz w:val="20"/>
              </w:rPr>
              <w:t>45</w:t>
            </w:r>
          </w:p>
        </w:tc>
      </w:tr>
      <w:tr w:rsidR="009F0D9D" w:rsidRPr="003F275F" w:rsidTr="0004739C">
        <w:trPr>
          <w:cantSplit/>
          <w:trHeight w:val="47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Q</w:t>
            </w:r>
            <w:r>
              <w:rPr>
                <w:rFonts w:ascii="Calibri" w:eastAsia="Calibri" w:hAnsi="Calibri" w:cs="Times New Roman"/>
                <w:b/>
                <w:bCs/>
                <w:sz w:val="20"/>
                <w:szCs w:val="20"/>
              </w:rPr>
              <w:t>ld</w:t>
            </w:r>
          </w:p>
        </w:tc>
        <w:tc>
          <w:tcPr>
            <w:tcW w:w="99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1,216</w:t>
            </w:r>
          </w:p>
        </w:tc>
        <w:tc>
          <w:tcPr>
            <w:tcW w:w="1134" w:type="dxa"/>
            <w:tcBorders>
              <w:top w:val="nil"/>
              <w:left w:val="single" w:sz="4" w:space="0" w:color="auto"/>
              <w:bottom w:val="single" w:sz="4" w:space="0" w:color="auto"/>
              <w:right w:val="single" w:sz="8"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490</w:t>
            </w: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+ 22.53%</w:t>
            </w:r>
          </w:p>
        </w:tc>
        <w:tc>
          <w:tcPr>
            <w:tcW w:w="1701" w:type="dxa"/>
            <w:tcBorders>
              <w:top w:val="nil"/>
              <w:left w:val="nil"/>
              <w:bottom w:val="single" w:sz="4" w:space="0" w:color="auto"/>
              <w:right w:val="single" w:sz="8"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sz w:val="20"/>
              </w:rPr>
              <w:t>42</w:t>
            </w:r>
          </w:p>
        </w:tc>
      </w:tr>
      <w:tr w:rsidR="009F0D9D" w:rsidRPr="003F275F" w:rsidTr="0004739C">
        <w:trPr>
          <w:cantSplit/>
          <w:trHeight w:val="47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WA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1,288</w:t>
            </w:r>
          </w:p>
        </w:tc>
        <w:tc>
          <w:tcPr>
            <w:tcW w:w="1134"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1</w:t>
            </w:r>
            <w:r>
              <w:rPr>
                <w:rFonts w:ascii="Calibri" w:eastAsia="Calibri" w:hAnsi="Calibri" w:cs="Times New Roman"/>
                <w:bCs/>
                <w:sz w:val="20"/>
                <w:szCs w:val="20"/>
              </w:rPr>
              <w:t>,</w:t>
            </w:r>
            <w:r w:rsidRPr="003F275F">
              <w:rPr>
                <w:rFonts w:ascii="Calibri" w:eastAsia="Calibri" w:hAnsi="Calibri" w:cs="Times New Roman"/>
                <w:bCs/>
                <w:sz w:val="20"/>
                <w:szCs w:val="20"/>
              </w:rPr>
              <w:t>742</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+35.25%</w:t>
            </w:r>
          </w:p>
        </w:tc>
        <w:tc>
          <w:tcPr>
            <w:tcW w:w="1701"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sz w:val="20"/>
              </w:rPr>
              <w:t>80</w:t>
            </w:r>
          </w:p>
        </w:tc>
      </w:tr>
      <w:tr w:rsidR="009F0D9D" w:rsidRPr="003F275F" w:rsidTr="0004739C">
        <w:trPr>
          <w:cantSplit/>
          <w:trHeight w:val="47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SA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206</w:t>
            </w:r>
          </w:p>
        </w:tc>
        <w:tc>
          <w:tcPr>
            <w:tcW w:w="1134"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330</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+60.19%</w:t>
            </w:r>
          </w:p>
        </w:tc>
        <w:tc>
          <w:tcPr>
            <w:tcW w:w="1701"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sz w:val="20"/>
              </w:rPr>
            </w:pPr>
            <w:r w:rsidRPr="003F275F">
              <w:rPr>
                <w:rFonts w:ascii="Calibri" w:eastAsia="Calibri" w:hAnsi="Calibri" w:cs="Times New Roman"/>
                <w:sz w:val="20"/>
              </w:rPr>
              <w:t>21</w:t>
            </w:r>
          </w:p>
        </w:tc>
      </w:tr>
      <w:tr w:rsidR="009F0D9D" w:rsidRPr="003F275F" w:rsidTr="0004739C">
        <w:trPr>
          <w:cantSplit/>
          <w:trHeight w:val="47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T</w:t>
            </w:r>
            <w:r>
              <w:rPr>
                <w:rFonts w:ascii="Calibri" w:eastAsia="Calibri" w:hAnsi="Calibri" w:cs="Times New Roman"/>
                <w:b/>
                <w:bCs/>
                <w:sz w:val="20"/>
                <w:szCs w:val="20"/>
              </w:rPr>
              <w:t>as</w:t>
            </w:r>
            <w:r w:rsidRPr="003F275F">
              <w:rPr>
                <w:rFonts w:ascii="Calibri" w:eastAsia="Calibri" w:hAnsi="Calibri"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57</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w:t>
            </w:r>
            <w:r>
              <w:rPr>
                <w:rFonts w:ascii="Calibri" w:eastAsia="Calibri" w:hAnsi="Calibri" w:cs="Times New Roman"/>
                <w:bCs/>
                <w:sz w:val="20"/>
                <w:szCs w:val="20"/>
              </w:rPr>
              <w:t>3</w:t>
            </w:r>
            <w:r w:rsidRPr="003F275F">
              <w:rPr>
                <w:rFonts w:ascii="Calibri" w:eastAsia="Calibri" w:hAnsi="Calibri" w:cs="Times New Roman"/>
                <w:bCs/>
                <w:sz w:val="20"/>
                <w:szCs w:val="20"/>
              </w:rPr>
              <w:t>38.46%</w:t>
            </w:r>
          </w:p>
        </w:tc>
        <w:tc>
          <w:tcPr>
            <w:tcW w:w="1701"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sz w:val="20"/>
              </w:rPr>
            </w:pPr>
            <w:r w:rsidRPr="003F275F">
              <w:rPr>
                <w:rFonts w:ascii="Calibri" w:eastAsia="Calibri" w:hAnsi="Calibri" w:cs="Times New Roman"/>
                <w:sz w:val="20"/>
              </w:rPr>
              <w:t>2</w:t>
            </w:r>
          </w:p>
        </w:tc>
      </w:tr>
      <w:tr w:rsidR="009F0D9D" w:rsidRPr="003F275F" w:rsidTr="0004739C">
        <w:trPr>
          <w:cantSplit/>
          <w:trHeight w:val="47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NT**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2,052</w:t>
            </w:r>
          </w:p>
        </w:tc>
        <w:tc>
          <w:tcPr>
            <w:tcW w:w="1134"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2</w:t>
            </w:r>
            <w:r>
              <w:rPr>
                <w:rFonts w:ascii="Calibri" w:eastAsia="Calibri" w:hAnsi="Calibri" w:cs="Times New Roman"/>
                <w:bCs/>
                <w:sz w:val="20"/>
                <w:szCs w:val="20"/>
              </w:rPr>
              <w:t>,</w:t>
            </w:r>
            <w:r w:rsidRPr="003F275F">
              <w:rPr>
                <w:rFonts w:ascii="Calibri" w:eastAsia="Calibri" w:hAnsi="Calibri" w:cs="Times New Roman"/>
                <w:bCs/>
                <w:sz w:val="20"/>
                <w:szCs w:val="20"/>
              </w:rPr>
              <w:t>929</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+42.74%</w:t>
            </w:r>
          </w:p>
        </w:tc>
        <w:tc>
          <w:tcPr>
            <w:tcW w:w="1701" w:type="dxa"/>
            <w:tcBorders>
              <w:top w:val="single" w:sz="4" w:space="0" w:color="auto"/>
              <w:left w:val="single" w:sz="4" w:space="0" w:color="auto"/>
              <w:bottom w:val="single" w:sz="4" w:space="0" w:color="auto"/>
              <w:right w:val="single" w:sz="4" w:space="0" w:color="auto"/>
            </w:tcBorders>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sz w:val="20"/>
              </w:rPr>
            </w:pPr>
            <w:r w:rsidRPr="003F275F">
              <w:rPr>
                <w:rFonts w:ascii="Calibri" w:eastAsia="Calibri" w:hAnsi="Calibri" w:cs="Times New Roman"/>
                <w:sz w:val="20"/>
              </w:rPr>
              <w:t>100</w:t>
            </w:r>
          </w:p>
        </w:tc>
      </w:tr>
      <w:tr w:rsidR="009F0D9D" w:rsidRPr="003F275F" w:rsidTr="0004739C">
        <w:trPr>
          <w:cantSplit/>
          <w:trHeight w:val="490"/>
        </w:trPr>
        <w:tc>
          <w:tcPr>
            <w:tcW w:w="1384"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
                <w:bCs/>
                <w:sz w:val="20"/>
                <w:szCs w:val="20"/>
              </w:rPr>
              <w:t>National total</w:t>
            </w:r>
          </w:p>
        </w:tc>
        <w:tc>
          <w:tcPr>
            <w:tcW w:w="992"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9F0D9D" w:rsidRPr="003F275F" w:rsidRDefault="009F0D9D" w:rsidP="009F0D9D">
            <w:pPr>
              <w:keepNext/>
              <w:keepLines/>
              <w:widowControl w:val="0"/>
              <w:spacing w:before="120" w:after="120" w:line="240" w:lineRule="auto"/>
              <w:jc w:val="center"/>
              <w:rPr>
                <w:rFonts w:ascii="Calibri" w:eastAsia="Calibri" w:hAnsi="Calibri" w:cs="Times New Roman"/>
                <w:bCs/>
                <w:sz w:val="20"/>
                <w:szCs w:val="20"/>
              </w:rPr>
            </w:pPr>
            <w:r>
              <w:rPr>
                <w:rFonts w:ascii="Calibri" w:eastAsia="Calibri" w:hAnsi="Calibri" w:cs="Times New Roman"/>
                <w:bCs/>
                <w:sz w:val="20"/>
                <w:szCs w:val="20"/>
              </w:rPr>
              <w:t>4,876</w:t>
            </w:r>
          </w:p>
        </w:tc>
        <w:tc>
          <w:tcPr>
            <w:tcW w:w="1134" w:type="dxa"/>
            <w:tcBorders>
              <w:top w:val="single" w:sz="4" w:space="0" w:color="auto"/>
              <w:left w:val="single" w:sz="4" w:space="0" w:color="auto"/>
              <w:bottom w:val="single" w:sz="4" w:space="0" w:color="auto"/>
              <w:right w:val="single" w:sz="4" w:space="0" w:color="auto"/>
            </w:tcBorders>
            <w:shd w:val="clear" w:color="auto" w:fill="FDEAD1" w:themeFill="accent1" w:themeFillTint="33"/>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7</w:t>
            </w:r>
            <w:r>
              <w:rPr>
                <w:rFonts w:ascii="Calibri" w:eastAsia="Calibri" w:hAnsi="Calibri" w:cs="Times New Roman"/>
                <w:bCs/>
                <w:sz w:val="20"/>
                <w:szCs w:val="20"/>
              </w:rPr>
              <w:t>,</w:t>
            </w:r>
            <w:r w:rsidRPr="003F275F">
              <w:rPr>
                <w:rFonts w:ascii="Calibri" w:eastAsia="Calibri" w:hAnsi="Calibri" w:cs="Times New Roman"/>
                <w:bCs/>
                <w:sz w:val="20"/>
                <w:szCs w:val="20"/>
              </w:rPr>
              <w:t>557</w:t>
            </w:r>
          </w:p>
        </w:tc>
        <w:tc>
          <w:tcPr>
            <w:tcW w:w="1843" w:type="dxa"/>
            <w:tcBorders>
              <w:top w:val="single" w:sz="4" w:space="0" w:color="auto"/>
              <w:left w:val="single" w:sz="4" w:space="0" w:color="auto"/>
              <w:bottom w:val="single" w:sz="4" w:space="0" w:color="auto"/>
              <w:right w:val="single" w:sz="4" w:space="0" w:color="auto"/>
            </w:tcBorders>
            <w:shd w:val="clear" w:color="auto" w:fill="FDEAD1" w:themeFill="accent1" w:themeFillTint="33"/>
            <w:tcMar>
              <w:top w:w="0" w:type="dxa"/>
              <w:left w:w="108" w:type="dxa"/>
              <w:bottom w:w="0" w:type="dxa"/>
              <w:right w:w="108" w:type="dxa"/>
            </w:tcMar>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5</w:t>
            </w:r>
            <w:r>
              <w:rPr>
                <w:rFonts w:ascii="Calibri" w:eastAsia="Calibri" w:hAnsi="Calibri" w:cs="Times New Roman"/>
                <w:bCs/>
                <w:sz w:val="20"/>
                <w:szCs w:val="20"/>
              </w:rPr>
              <w:t>4.98</w:t>
            </w:r>
            <w:r w:rsidRPr="003F275F">
              <w:rPr>
                <w:rFonts w:ascii="Calibri" w:eastAsia="Calibri" w:hAnsi="Calibri" w:cs="Times New Roman"/>
                <w:bCs/>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DEAD1" w:themeFill="accent1" w:themeFillTint="33"/>
            <w:vAlign w:val="center"/>
          </w:tcPr>
          <w:p w:rsidR="009F0D9D" w:rsidRPr="003F275F" w:rsidRDefault="009F0D9D" w:rsidP="00AB72EA">
            <w:pPr>
              <w:keepNext/>
              <w:keepLines/>
              <w:widowControl w:val="0"/>
              <w:spacing w:before="120" w:after="120" w:line="240" w:lineRule="auto"/>
              <w:jc w:val="center"/>
              <w:rPr>
                <w:rFonts w:ascii="Calibri" w:eastAsia="Calibri" w:hAnsi="Calibri" w:cs="Times New Roman"/>
                <w:bCs/>
                <w:sz w:val="20"/>
                <w:szCs w:val="20"/>
              </w:rPr>
            </w:pPr>
            <w:r w:rsidRPr="003F275F">
              <w:rPr>
                <w:rFonts w:ascii="Calibri" w:eastAsia="Calibri" w:hAnsi="Calibri" w:cs="Times New Roman"/>
                <w:bCs/>
                <w:sz w:val="20"/>
                <w:szCs w:val="20"/>
              </w:rPr>
              <w:t>290</w:t>
            </w:r>
          </w:p>
        </w:tc>
      </w:tr>
    </w:tbl>
    <w:p w:rsidR="00B43EE1" w:rsidRPr="00E96060" w:rsidRDefault="00B43EE1" w:rsidP="00B43EE1">
      <w:pPr>
        <w:keepNext/>
        <w:keepLines/>
        <w:widowControl w:val="0"/>
        <w:spacing w:after="0" w:line="240" w:lineRule="auto"/>
        <w:rPr>
          <w:rFonts w:ascii="Calibri" w:eastAsia="Calibri" w:hAnsi="Calibri" w:cs="Times New Roman"/>
          <w:sz w:val="18"/>
          <w:szCs w:val="18"/>
        </w:rPr>
      </w:pPr>
      <w:r w:rsidRPr="00E96060">
        <w:rPr>
          <w:rFonts w:ascii="Calibri" w:eastAsia="Calibri" w:hAnsi="Calibri" w:cs="Times New Roman"/>
          <w:sz w:val="18"/>
          <w:szCs w:val="18"/>
        </w:rPr>
        <w:t>Note: Victoria did not have a capital program</w:t>
      </w:r>
    </w:p>
    <w:p w:rsidR="00B43EE1" w:rsidRPr="00E96060" w:rsidRDefault="00B43EE1" w:rsidP="00B43EE1">
      <w:pPr>
        <w:keepNext/>
        <w:keepLines/>
        <w:widowControl w:val="0"/>
        <w:spacing w:after="0" w:line="240" w:lineRule="auto"/>
        <w:rPr>
          <w:rFonts w:ascii="Calibri" w:eastAsia="Calibri" w:hAnsi="Calibri" w:cs="Times New Roman"/>
          <w:sz w:val="18"/>
          <w:szCs w:val="18"/>
        </w:rPr>
      </w:pPr>
      <w:r w:rsidRPr="00E96060">
        <w:rPr>
          <w:rFonts w:ascii="Calibri" w:eastAsia="Calibri" w:hAnsi="Calibri" w:cs="Times New Roman"/>
          <w:sz w:val="18"/>
          <w:szCs w:val="18"/>
        </w:rPr>
        <w:t xml:space="preserve">* </w:t>
      </w:r>
      <w:r w:rsidR="009C41D6" w:rsidRPr="00E96060">
        <w:rPr>
          <w:rFonts w:ascii="Calibri" w:eastAsia="Calibri" w:hAnsi="Calibri" w:cs="Times New Roman"/>
          <w:sz w:val="18"/>
          <w:szCs w:val="18"/>
        </w:rPr>
        <w:t xml:space="preserve">includes </w:t>
      </w:r>
      <w:r w:rsidR="009C41D6">
        <w:rPr>
          <w:rFonts w:ascii="Calibri" w:eastAsia="Calibri" w:hAnsi="Calibri" w:cs="Times New Roman"/>
          <w:sz w:val="18"/>
          <w:szCs w:val="18"/>
        </w:rPr>
        <w:t>total funding allocated to 2018</w:t>
      </w:r>
      <w:r w:rsidR="009C41D6" w:rsidRPr="00E96060">
        <w:rPr>
          <w:rFonts w:ascii="Calibri" w:eastAsia="Calibri" w:hAnsi="Calibri" w:cs="Times New Roman"/>
          <w:sz w:val="18"/>
          <w:szCs w:val="18"/>
        </w:rPr>
        <w:t xml:space="preserve"> for infrastructure</w:t>
      </w:r>
    </w:p>
    <w:p w:rsidR="00B43EE1" w:rsidRPr="00E96060" w:rsidRDefault="00B43EE1" w:rsidP="00B43EE1">
      <w:pPr>
        <w:keepNext/>
        <w:keepLines/>
        <w:widowControl w:val="0"/>
        <w:spacing w:after="0" w:line="240" w:lineRule="auto"/>
        <w:rPr>
          <w:rFonts w:ascii="Calibri" w:eastAsia="Calibri" w:hAnsi="Calibri" w:cs="Times New Roman"/>
          <w:sz w:val="18"/>
          <w:szCs w:val="18"/>
        </w:rPr>
      </w:pPr>
      <w:r w:rsidRPr="00E96060">
        <w:rPr>
          <w:rFonts w:ascii="Calibri" w:eastAsia="Calibri" w:hAnsi="Calibri" w:cs="Times New Roman"/>
          <w:sz w:val="18"/>
          <w:szCs w:val="18"/>
        </w:rPr>
        <w:t>**</w:t>
      </w:r>
      <w:r w:rsidR="009C41D6" w:rsidRPr="009C41D6">
        <w:rPr>
          <w:rFonts w:ascii="Calibri" w:eastAsia="Calibri" w:hAnsi="Calibri" w:cs="Times New Roman"/>
          <w:sz w:val="18"/>
          <w:szCs w:val="18"/>
        </w:rPr>
        <w:t xml:space="preserve"> </w:t>
      </w:r>
      <w:r w:rsidR="009C41D6" w:rsidRPr="00E96060">
        <w:rPr>
          <w:rFonts w:ascii="Calibri" w:eastAsia="Calibri" w:hAnsi="Calibri" w:cs="Times New Roman"/>
          <w:sz w:val="18"/>
          <w:szCs w:val="18"/>
        </w:rPr>
        <w:t>The Northern Territory has publicly committed to delivering an additional 88 houses beyond its commitment in the Strategy</w:t>
      </w:r>
    </w:p>
    <w:p w:rsidR="00B43EE1" w:rsidRPr="00E96060" w:rsidRDefault="00B43EE1" w:rsidP="00B43EE1">
      <w:pPr>
        <w:keepNext/>
        <w:keepLines/>
        <w:widowControl w:val="0"/>
        <w:spacing w:after="0" w:line="240" w:lineRule="auto"/>
        <w:rPr>
          <w:rFonts w:ascii="Calibri" w:eastAsia="Calibri" w:hAnsi="Calibri" w:cs="Times New Roman"/>
          <w:sz w:val="18"/>
          <w:szCs w:val="18"/>
        </w:rPr>
      </w:pPr>
      <w:r w:rsidRPr="00E96060">
        <w:rPr>
          <w:rFonts w:ascii="Calibri" w:eastAsia="Calibri" w:hAnsi="Calibri" w:cs="Times New Roman"/>
          <w:sz w:val="18"/>
          <w:szCs w:val="18"/>
        </w:rPr>
        <w:t>***New South Wales exited Strategy in 2016 and Tasmania exited Strategy in 2015</w:t>
      </w:r>
    </w:p>
    <w:p w:rsidR="00B43EE1" w:rsidRDefault="00B43EE1" w:rsidP="00B43EE1">
      <w:pPr>
        <w:keepNext/>
        <w:keepLines/>
        <w:widowControl w:val="0"/>
        <w:spacing w:after="0" w:line="240" w:lineRule="auto"/>
        <w:rPr>
          <w:rFonts w:ascii="Calibri" w:eastAsia="Calibri" w:hAnsi="Calibri" w:cs="Times New Roman"/>
          <w:sz w:val="18"/>
          <w:szCs w:val="18"/>
        </w:rPr>
      </w:pPr>
      <w:r w:rsidRPr="00E96060">
        <w:rPr>
          <w:rFonts w:ascii="Calibri" w:eastAsia="Calibri" w:hAnsi="Calibri" w:cs="Times New Roman"/>
          <w:sz w:val="18"/>
          <w:szCs w:val="18"/>
        </w:rPr>
        <w:t xml:space="preserve">Source: Commonwealth administrative data </w:t>
      </w:r>
    </w:p>
    <w:p w:rsidR="009F0D9D" w:rsidRDefault="009F0D9D" w:rsidP="002E776B"/>
    <w:p w:rsidR="00622CC3" w:rsidRPr="003F275F" w:rsidRDefault="009F0D9D" w:rsidP="002E776B">
      <w:pPr>
        <w:rPr>
          <w:rFonts w:ascii="Calibri" w:eastAsia="Calibri" w:hAnsi="Calibri" w:cs="Times New Roman"/>
        </w:rPr>
      </w:pPr>
      <w:r w:rsidRPr="003F275F">
        <w:t>Western Australia met the target for refurbishments but</w:t>
      </w:r>
      <w:r>
        <w:t>,</w:t>
      </w:r>
      <w:r w:rsidRPr="003F275F">
        <w:t xml:space="preserve"> compared with other </w:t>
      </w:r>
      <w:r w:rsidR="0004739C">
        <w:t>jurisdiction</w:t>
      </w:r>
      <w:r w:rsidRPr="003F275F">
        <w:t>s</w:t>
      </w:r>
      <w:r>
        <w:t>,</w:t>
      </w:r>
      <w:r w:rsidRPr="003F275F">
        <w:t xml:space="preserve"> delivered insufficient refurbishments to compensate for the deficit in new </w:t>
      </w:r>
      <w:r>
        <w:t>houses</w:t>
      </w:r>
      <w:r w:rsidRPr="003F275F">
        <w:t xml:space="preserve">. This implies that either the cost of delivery in Western Australia is significantly higher than other </w:t>
      </w:r>
      <w:r w:rsidR="0004739C">
        <w:t>jurisdiction</w:t>
      </w:r>
      <w:r w:rsidRPr="003F275F">
        <w:t xml:space="preserve">s or Western Australia has not used the funding (or contributed its own funding) to deliver housing outcomes for its citizens as effectively as the other </w:t>
      </w:r>
      <w:r w:rsidR="0004739C">
        <w:t>jurisdiction</w:t>
      </w:r>
      <w:r w:rsidRPr="003F275F">
        <w:t>s</w:t>
      </w:r>
      <w:r w:rsidR="003F275F" w:rsidRPr="003F275F">
        <w:t>.</w:t>
      </w:r>
    </w:p>
    <w:p w:rsidR="003F275F" w:rsidRPr="0053011A" w:rsidRDefault="003F275F" w:rsidP="00211750">
      <w:pPr>
        <w:pStyle w:val="H3"/>
      </w:pPr>
      <w:bookmarkStart w:id="205" w:name="_Toc477178091"/>
      <w:bookmarkStart w:id="206" w:name="_Toc477248730"/>
      <w:bookmarkStart w:id="207" w:name="_Toc477252716"/>
      <w:bookmarkStart w:id="208" w:name="_Toc490218704"/>
      <w:r w:rsidRPr="0053011A">
        <w:t xml:space="preserve">Preliminary analysis shows </w:t>
      </w:r>
      <w:r w:rsidR="007058E9">
        <w:t>South Australia</w:t>
      </w:r>
      <w:r w:rsidRPr="0053011A">
        <w:t xml:space="preserve"> achieved best value for money</w:t>
      </w:r>
      <w:bookmarkEnd w:id="205"/>
      <w:bookmarkEnd w:id="206"/>
      <w:bookmarkEnd w:id="207"/>
      <w:bookmarkEnd w:id="208"/>
      <w:r w:rsidRPr="0053011A">
        <w:t xml:space="preserve"> </w:t>
      </w:r>
    </w:p>
    <w:p w:rsidR="003F275F" w:rsidRPr="003F275F" w:rsidRDefault="009F0D9D" w:rsidP="002E776B">
      <w:r w:rsidRPr="003F275F">
        <w:t xml:space="preserve">Based on funding provided to each </w:t>
      </w:r>
      <w:r w:rsidR="0004739C">
        <w:t>jurisdiction</w:t>
      </w:r>
      <w:r w:rsidRPr="003F275F">
        <w:t xml:space="preserve">, the number of new houses and refurbishments, </w:t>
      </w:r>
      <w:r>
        <w:t>South </w:t>
      </w:r>
      <w:r w:rsidRPr="003F275F">
        <w:t>Australia achieved the best value for money across i</w:t>
      </w:r>
      <w:r>
        <w:t>ts construction program. Table 4</w:t>
      </w:r>
      <w:r w:rsidRPr="003F275F">
        <w:t xml:space="preserve">.2 shows the funding the Commonwealth provided to </w:t>
      </w:r>
      <w:r w:rsidR="0004739C">
        <w:t>jurisdiction</w:t>
      </w:r>
      <w:r w:rsidRPr="003F275F">
        <w:t xml:space="preserve">s for </w:t>
      </w:r>
      <w:r>
        <w:t xml:space="preserve">capital works and the </w:t>
      </w:r>
      <w:r w:rsidR="0004739C">
        <w:t>jurisdiction</w:t>
      </w:r>
      <w:r>
        <w:t xml:space="preserve"> reported expenditure for new houses and refurbishments/rebuilds</w:t>
      </w:r>
      <w:r w:rsidR="003F275F" w:rsidRPr="003F275F">
        <w:t xml:space="preserve">. </w:t>
      </w:r>
    </w:p>
    <w:p w:rsidR="003F275F" w:rsidRDefault="009F0D9D" w:rsidP="002E776B">
      <w:r w:rsidRPr="003F275F">
        <w:t>This demonstrates the cost of hous</w:t>
      </w:r>
      <w:r>
        <w:t>ing</w:t>
      </w:r>
      <w:r w:rsidRPr="003F275F">
        <w:t xml:space="preserve"> is significantly more when other ancillary costs such as community infrastructure and land servicing are included. </w:t>
      </w:r>
      <w:r>
        <w:t xml:space="preserve">Other factors, such as remoteness, </w:t>
      </w:r>
      <w:r>
        <w:lastRenderedPageBreak/>
        <w:t xml:space="preserve">weather, and availability of contractors also add to costs. Part of the Commonwealth’s capital works funding contributes to these costs, with the </w:t>
      </w:r>
      <w:r w:rsidR="0004739C">
        <w:t>jurisdiction</w:t>
      </w:r>
      <w:r>
        <w:t xml:space="preserve">s meeting any shortfall. These factors impact the </w:t>
      </w:r>
      <w:r w:rsidR="0004739C">
        <w:t>jurisdiction</w:t>
      </w:r>
      <w:r>
        <w:t>s to varying extents, making comparable and accurate assessments of value for money assessment difficult to determine</w:t>
      </w:r>
      <w:r w:rsidR="003F275F" w:rsidRPr="003F275F">
        <w:t xml:space="preserve">. </w:t>
      </w:r>
    </w:p>
    <w:p w:rsidR="009F0D9D" w:rsidRPr="003F275F" w:rsidRDefault="009F0D9D" w:rsidP="009F0D9D">
      <w:pPr>
        <w:keepNext/>
        <w:keepLines/>
        <w:widowControl w:val="0"/>
        <w:spacing w:after="0" w:line="240" w:lineRule="auto"/>
        <w:rPr>
          <w:rFonts w:ascii="Calibri" w:eastAsia="Calibri" w:hAnsi="Calibri" w:cs="Times New Roman"/>
          <w:b/>
        </w:rPr>
      </w:pPr>
      <w:r>
        <w:rPr>
          <w:rFonts w:ascii="Calibri" w:eastAsia="Calibri" w:hAnsi="Calibri" w:cs="Times New Roman"/>
          <w:b/>
        </w:rPr>
        <w:t>Table 4</w:t>
      </w:r>
      <w:r w:rsidRPr="003F275F">
        <w:rPr>
          <w:rFonts w:ascii="Calibri" w:eastAsia="Calibri" w:hAnsi="Calibri" w:cs="Times New Roman"/>
          <w:b/>
        </w:rPr>
        <w:t xml:space="preserve">.2 </w:t>
      </w:r>
      <w:r>
        <w:rPr>
          <w:rFonts w:ascii="Calibri" w:eastAsia="Calibri" w:hAnsi="Calibri" w:cs="Times New Roman"/>
          <w:b/>
        </w:rPr>
        <w:t>C</w:t>
      </w:r>
      <w:r w:rsidRPr="003F275F">
        <w:rPr>
          <w:rFonts w:ascii="Calibri" w:eastAsia="Calibri" w:hAnsi="Calibri" w:cs="Times New Roman"/>
          <w:b/>
        </w:rPr>
        <w:t>osts for new bu</w:t>
      </w:r>
      <w:r>
        <w:rPr>
          <w:rFonts w:ascii="Calibri" w:eastAsia="Calibri" w:hAnsi="Calibri" w:cs="Times New Roman"/>
          <w:b/>
        </w:rPr>
        <w:t xml:space="preserve">ilds and refurbishment by </w:t>
      </w:r>
      <w:r w:rsidR="0004739C">
        <w:rPr>
          <w:rFonts w:ascii="Calibri" w:eastAsia="Calibri" w:hAnsi="Calibri" w:cs="Times New Roman"/>
          <w:b/>
        </w:rPr>
        <w:t>jurisdiction</w:t>
      </w:r>
      <w:r>
        <w:rPr>
          <w:rFonts w:ascii="Calibri" w:eastAsia="Calibri" w:hAnsi="Calibri" w:cs="Times New Roman"/>
          <w:b/>
        </w:rPr>
        <w:t xml:space="preserve">, for continuing </w:t>
      </w:r>
      <w:r w:rsidR="003972FB">
        <w:rPr>
          <w:rFonts w:ascii="Calibri" w:eastAsia="Calibri" w:hAnsi="Calibri" w:cs="Times New Roman"/>
          <w:b/>
        </w:rPr>
        <w:t>jurisdictions</w:t>
      </w:r>
    </w:p>
    <w:tbl>
      <w:tblPr>
        <w:tblW w:w="5000" w:type="pct"/>
        <w:tblLook w:val="0600" w:firstRow="0" w:lastRow="0" w:firstColumn="0" w:lastColumn="0" w:noHBand="1" w:noVBand="1"/>
        <w:tblCaption w:val="Table 4.2"/>
        <w:tblDescription w:val="Table 4.2 shows by jurisdiction, new houses and refurbishments' average cost between 2008-16 and the number of houses delivered to June 2016. It shows total Commonwealth funding and total expenditure and percentage of Commonwealth funding for ancillary costs."/>
      </w:tblPr>
      <w:tblGrid>
        <w:gridCol w:w="1132"/>
        <w:gridCol w:w="1466"/>
        <w:gridCol w:w="1134"/>
        <w:gridCol w:w="972"/>
        <w:gridCol w:w="1229"/>
        <w:gridCol w:w="1507"/>
        <w:gridCol w:w="1507"/>
      </w:tblGrid>
      <w:tr w:rsidR="009F0D9D" w:rsidRPr="00971C62" w:rsidTr="00477A98">
        <w:trPr>
          <w:trHeight w:val="1200"/>
        </w:trPr>
        <w:tc>
          <w:tcPr>
            <w:tcW w:w="633" w:type="pct"/>
            <w:tcBorders>
              <w:top w:val="single" w:sz="4" w:space="0" w:color="auto"/>
              <w:left w:val="single" w:sz="4" w:space="0" w:color="auto"/>
              <w:bottom w:val="single" w:sz="4" w:space="0" w:color="auto"/>
              <w:right w:val="single" w:sz="4" w:space="0" w:color="auto"/>
            </w:tcBorders>
            <w:shd w:val="clear" w:color="auto" w:fill="5CADFF" w:themeFill="text2" w:themeFillTint="66"/>
            <w:noWrap/>
            <w:hideMark/>
          </w:tcPr>
          <w:p w:rsidR="009F0D9D" w:rsidRPr="00477A98" w:rsidRDefault="0004739C"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Jurisdiction</w:t>
            </w:r>
          </w:p>
        </w:tc>
        <w:tc>
          <w:tcPr>
            <w:tcW w:w="819"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Construction Category</w:t>
            </w:r>
          </w:p>
        </w:tc>
        <w:tc>
          <w:tcPr>
            <w:tcW w:w="634"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04739C"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Jurisdiction</w:t>
            </w:r>
            <w:r w:rsidR="009F0D9D" w:rsidRPr="00477A98">
              <w:rPr>
                <w:rFonts w:ascii="Calibri" w:eastAsia="Times New Roman" w:hAnsi="Calibri"/>
                <w:b/>
                <w:color w:val="000000"/>
                <w:sz w:val="18"/>
                <w:lang w:eastAsia="en-AU"/>
              </w:rPr>
              <w:t xml:space="preserve"> reported average costs</w:t>
            </w:r>
          </w:p>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(2008-2016)</w:t>
            </w:r>
          </w:p>
        </w:tc>
        <w:tc>
          <w:tcPr>
            <w:tcW w:w="543"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Number of new houses delivered to 30 June 2016</w:t>
            </w:r>
          </w:p>
        </w:tc>
        <w:tc>
          <w:tcPr>
            <w:tcW w:w="687"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Total construction expenditure to 30 June 2016*</w:t>
            </w:r>
          </w:p>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($m)</w:t>
            </w:r>
          </w:p>
        </w:tc>
        <w:tc>
          <w:tcPr>
            <w:tcW w:w="842"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Total Commonwealth funding provided for capital works to 30 June 2016</w:t>
            </w:r>
          </w:p>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($m)</w:t>
            </w:r>
          </w:p>
        </w:tc>
        <w:tc>
          <w:tcPr>
            <w:tcW w:w="842" w:type="pct"/>
            <w:tcBorders>
              <w:top w:val="single" w:sz="4" w:space="0" w:color="auto"/>
              <w:left w:val="nil"/>
              <w:bottom w:val="single" w:sz="4" w:space="0" w:color="auto"/>
              <w:right w:val="single" w:sz="4" w:space="0" w:color="auto"/>
            </w:tcBorders>
            <w:shd w:val="clear" w:color="auto" w:fill="5CADFF" w:themeFill="text2" w:themeFillTint="66"/>
            <w:hideMark/>
          </w:tcPr>
          <w:p w:rsidR="009F0D9D" w:rsidRPr="00477A98" w:rsidRDefault="009F0D9D" w:rsidP="00667FE5">
            <w:pPr>
              <w:spacing w:before="40" w:after="40" w:line="240" w:lineRule="auto"/>
              <w:jc w:val="center"/>
              <w:rPr>
                <w:rFonts w:ascii="Calibri" w:eastAsia="Times New Roman" w:hAnsi="Calibri"/>
                <w:b/>
                <w:color w:val="000000"/>
                <w:sz w:val="18"/>
                <w:lang w:eastAsia="en-AU"/>
              </w:rPr>
            </w:pPr>
            <w:r w:rsidRPr="00477A98">
              <w:rPr>
                <w:rFonts w:ascii="Calibri" w:eastAsia="Times New Roman" w:hAnsi="Calibri"/>
                <w:b/>
                <w:color w:val="000000"/>
                <w:sz w:val="18"/>
                <w:lang w:eastAsia="en-AU"/>
              </w:rPr>
              <w:t>Percentage of Commonwealth funding for ancillary costs</w:t>
            </w:r>
          </w:p>
        </w:tc>
      </w:tr>
      <w:tr w:rsidR="003972FB" w:rsidRPr="00971C62" w:rsidTr="00477A98">
        <w:trPr>
          <w:trHeight w:val="648"/>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Qld</w:t>
            </w:r>
          </w:p>
        </w:tc>
        <w:tc>
          <w:tcPr>
            <w:tcW w:w="819" w:type="pct"/>
            <w:tcBorders>
              <w:top w:val="nil"/>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 xml:space="preserve">New Houses </w:t>
            </w:r>
          </w:p>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Refurbishments</w:t>
            </w:r>
          </w:p>
        </w:tc>
        <w:tc>
          <w:tcPr>
            <w:tcW w:w="634" w:type="pct"/>
            <w:tcBorders>
              <w:top w:val="nil"/>
              <w:left w:val="nil"/>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$486,484</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$ 90,423</w:t>
            </w:r>
          </w:p>
        </w:tc>
        <w:tc>
          <w:tcPr>
            <w:tcW w:w="543" w:type="pct"/>
            <w:tcBorders>
              <w:top w:val="nil"/>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803</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1,490</w:t>
            </w:r>
          </w:p>
        </w:tc>
        <w:tc>
          <w:tcPr>
            <w:tcW w:w="687" w:type="pct"/>
            <w:tcBorders>
              <w:top w:val="nil"/>
              <w:left w:val="single" w:sz="4" w:space="0" w:color="auto"/>
              <w:bottom w:val="single" w:sz="4" w:space="0" w:color="000000"/>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525.377</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652.746</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19.5%</w:t>
            </w:r>
          </w:p>
        </w:tc>
      </w:tr>
      <w:tr w:rsidR="003972FB" w:rsidRPr="00971C62" w:rsidTr="00477A98">
        <w:trPr>
          <w:trHeight w:val="648"/>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WA</w:t>
            </w:r>
          </w:p>
        </w:tc>
        <w:tc>
          <w:tcPr>
            <w:tcW w:w="819" w:type="pct"/>
            <w:tcBorders>
              <w:top w:val="nil"/>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 xml:space="preserve">New Houses </w:t>
            </w:r>
          </w:p>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Refurbishments</w:t>
            </w:r>
          </w:p>
        </w:tc>
        <w:tc>
          <w:tcPr>
            <w:tcW w:w="634" w:type="pct"/>
            <w:tcBorders>
              <w:top w:val="nil"/>
              <w:left w:val="nil"/>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$468,000</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$ 83,000</w:t>
            </w:r>
          </w:p>
        </w:tc>
        <w:tc>
          <w:tcPr>
            <w:tcW w:w="543" w:type="pct"/>
            <w:tcBorders>
              <w:top w:val="nil"/>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700</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1,561</w:t>
            </w:r>
          </w:p>
        </w:tc>
        <w:tc>
          <w:tcPr>
            <w:tcW w:w="687" w:type="pct"/>
            <w:tcBorders>
              <w:top w:val="nil"/>
              <w:left w:val="single" w:sz="4" w:space="0" w:color="auto"/>
              <w:bottom w:val="single" w:sz="4" w:space="0" w:color="000000"/>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457.163</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688.882</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33.6%</w:t>
            </w:r>
          </w:p>
        </w:tc>
      </w:tr>
      <w:tr w:rsidR="003972FB" w:rsidRPr="00971C62" w:rsidTr="00477A98">
        <w:trPr>
          <w:trHeight w:val="648"/>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SA</w:t>
            </w:r>
          </w:p>
        </w:tc>
        <w:tc>
          <w:tcPr>
            <w:tcW w:w="819" w:type="pct"/>
            <w:tcBorders>
              <w:top w:val="single" w:sz="4" w:space="0" w:color="auto"/>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 xml:space="preserve">New Houses </w:t>
            </w:r>
          </w:p>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Refurbishments</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$480,497</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$112,636</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206</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252</w:t>
            </w:r>
          </w:p>
        </w:tc>
        <w:tc>
          <w:tcPr>
            <w:tcW w:w="687" w:type="pct"/>
            <w:tcBorders>
              <w:top w:val="nil"/>
              <w:left w:val="single" w:sz="4" w:space="0" w:color="auto"/>
              <w:bottom w:val="single" w:sz="4" w:space="0" w:color="000000"/>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127.367</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136.834</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6.9%</w:t>
            </w:r>
          </w:p>
        </w:tc>
      </w:tr>
      <w:tr w:rsidR="003972FB" w:rsidRPr="00971C62" w:rsidTr="00477A98">
        <w:trPr>
          <w:trHeight w:val="648"/>
        </w:trPr>
        <w:tc>
          <w:tcPr>
            <w:tcW w:w="633" w:type="pct"/>
            <w:vMerge w:val="restart"/>
            <w:tcBorders>
              <w:top w:val="nil"/>
              <w:left w:val="single" w:sz="4" w:space="0" w:color="auto"/>
              <w:bottom w:val="single" w:sz="4" w:space="0" w:color="auto"/>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NT</w:t>
            </w:r>
          </w:p>
        </w:tc>
        <w:tc>
          <w:tcPr>
            <w:tcW w:w="819" w:type="pct"/>
            <w:tcBorders>
              <w:top w:val="nil"/>
              <w:left w:val="nil"/>
              <w:right w:val="single" w:sz="4" w:space="0" w:color="auto"/>
            </w:tcBorders>
            <w:shd w:val="clear" w:color="auto" w:fill="auto"/>
            <w:noWrap/>
            <w:vAlign w:val="bottom"/>
            <w:hideMark/>
          </w:tcPr>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 xml:space="preserve">New Houses </w:t>
            </w:r>
          </w:p>
          <w:p w:rsidR="003972FB" w:rsidRPr="00477A98" w:rsidRDefault="003972FB"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Refurbishments</w:t>
            </w:r>
          </w:p>
        </w:tc>
        <w:tc>
          <w:tcPr>
            <w:tcW w:w="634" w:type="pct"/>
            <w:tcBorders>
              <w:top w:val="nil"/>
              <w:left w:val="nil"/>
              <w:right w:val="single" w:sz="4" w:space="0" w:color="auto"/>
            </w:tcBorders>
            <w:shd w:val="clear" w:color="auto" w:fill="auto"/>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$552,000</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$ 75,000</w:t>
            </w:r>
          </w:p>
        </w:tc>
        <w:tc>
          <w:tcPr>
            <w:tcW w:w="543" w:type="pct"/>
            <w:tcBorders>
              <w:top w:val="nil"/>
              <w:left w:val="nil"/>
              <w:right w:val="single" w:sz="4" w:space="0" w:color="auto"/>
            </w:tcBorders>
            <w:shd w:val="clear" w:color="auto" w:fill="auto"/>
            <w:noWrap/>
            <w:vAlign w:val="bottom"/>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1,187</w:t>
            </w:r>
          </w:p>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2,481</w:t>
            </w:r>
          </w:p>
        </w:tc>
        <w:tc>
          <w:tcPr>
            <w:tcW w:w="6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930.899</w:t>
            </w:r>
          </w:p>
        </w:tc>
        <w:tc>
          <w:tcPr>
            <w:tcW w:w="8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1,096.000</w:t>
            </w:r>
          </w:p>
        </w:tc>
        <w:tc>
          <w:tcPr>
            <w:tcW w:w="8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972FB" w:rsidRPr="00477A98" w:rsidRDefault="003972FB"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15.0%</w:t>
            </w:r>
          </w:p>
        </w:tc>
      </w:tr>
      <w:tr w:rsidR="009F0D9D" w:rsidRPr="00971C62" w:rsidTr="00477A98">
        <w:trPr>
          <w:trHeight w:val="300"/>
        </w:trPr>
        <w:tc>
          <w:tcPr>
            <w:tcW w:w="633" w:type="pct"/>
            <w:vMerge/>
            <w:tcBorders>
              <w:top w:val="nil"/>
              <w:left w:val="single" w:sz="4" w:space="0" w:color="auto"/>
              <w:bottom w:val="single" w:sz="4" w:space="0" w:color="auto"/>
              <w:right w:val="single" w:sz="4" w:space="0" w:color="auto"/>
            </w:tcBorders>
            <w:vAlign w:val="center"/>
            <w:hideMark/>
          </w:tcPr>
          <w:p w:rsidR="009F0D9D" w:rsidRPr="00477A98" w:rsidRDefault="009F0D9D" w:rsidP="00667FE5">
            <w:pPr>
              <w:spacing w:before="40" w:after="40" w:line="240" w:lineRule="auto"/>
              <w:rPr>
                <w:rFonts w:ascii="Calibri" w:eastAsia="Times New Roman" w:hAnsi="Calibri"/>
                <w:color w:val="000000"/>
                <w:sz w:val="18"/>
                <w:lang w:eastAsia="en-AU"/>
              </w:rPr>
            </w:pPr>
          </w:p>
        </w:tc>
        <w:tc>
          <w:tcPr>
            <w:tcW w:w="819" w:type="pct"/>
            <w:tcBorders>
              <w:top w:val="nil"/>
              <w:left w:val="nil"/>
              <w:bottom w:val="single" w:sz="4" w:space="0" w:color="auto"/>
              <w:right w:val="single" w:sz="4" w:space="0" w:color="auto"/>
            </w:tcBorders>
            <w:shd w:val="clear" w:color="auto" w:fill="auto"/>
            <w:noWrap/>
            <w:vAlign w:val="bottom"/>
            <w:hideMark/>
          </w:tcPr>
          <w:p w:rsidR="009F0D9D" w:rsidRPr="00477A98" w:rsidRDefault="009F0D9D" w:rsidP="00667FE5">
            <w:pPr>
              <w:spacing w:before="40" w:after="40" w:line="240" w:lineRule="auto"/>
              <w:rPr>
                <w:rFonts w:ascii="Calibri" w:eastAsia="Times New Roman" w:hAnsi="Calibri"/>
                <w:color w:val="000000"/>
                <w:sz w:val="18"/>
                <w:lang w:eastAsia="en-AU"/>
              </w:rPr>
            </w:pPr>
            <w:r w:rsidRPr="00477A98">
              <w:rPr>
                <w:rFonts w:ascii="Calibri" w:eastAsia="Times New Roman" w:hAnsi="Calibri"/>
                <w:color w:val="000000"/>
                <w:sz w:val="18"/>
                <w:lang w:eastAsia="en-AU"/>
              </w:rPr>
              <w:t>Rebuilds</w:t>
            </w:r>
          </w:p>
        </w:tc>
        <w:tc>
          <w:tcPr>
            <w:tcW w:w="634" w:type="pct"/>
            <w:tcBorders>
              <w:top w:val="nil"/>
              <w:left w:val="nil"/>
              <w:bottom w:val="single" w:sz="4" w:space="0" w:color="auto"/>
              <w:right w:val="single" w:sz="4" w:space="0" w:color="auto"/>
            </w:tcBorders>
            <w:shd w:val="clear" w:color="auto" w:fill="auto"/>
            <w:vAlign w:val="center"/>
            <w:hideMark/>
          </w:tcPr>
          <w:p w:rsidR="009F0D9D" w:rsidRPr="00477A98" w:rsidRDefault="009F0D9D"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$200,000</w:t>
            </w:r>
          </w:p>
        </w:tc>
        <w:tc>
          <w:tcPr>
            <w:tcW w:w="543" w:type="pct"/>
            <w:tcBorders>
              <w:top w:val="nil"/>
              <w:left w:val="nil"/>
              <w:bottom w:val="single" w:sz="4" w:space="0" w:color="auto"/>
              <w:right w:val="single" w:sz="4" w:space="0" w:color="auto"/>
            </w:tcBorders>
            <w:shd w:val="clear" w:color="auto" w:fill="auto"/>
            <w:noWrap/>
            <w:vAlign w:val="bottom"/>
            <w:hideMark/>
          </w:tcPr>
          <w:p w:rsidR="009F0D9D" w:rsidRPr="00477A98" w:rsidRDefault="009F0D9D" w:rsidP="00667FE5">
            <w:pPr>
              <w:spacing w:before="40" w:after="40" w:line="240" w:lineRule="auto"/>
              <w:jc w:val="center"/>
              <w:rPr>
                <w:rFonts w:ascii="Calibri" w:eastAsia="Times New Roman" w:hAnsi="Calibri"/>
                <w:color w:val="000000"/>
                <w:sz w:val="18"/>
                <w:lang w:eastAsia="en-AU"/>
              </w:rPr>
            </w:pPr>
            <w:r w:rsidRPr="00477A98">
              <w:rPr>
                <w:rFonts w:ascii="Calibri" w:eastAsia="Times New Roman" w:hAnsi="Calibri"/>
                <w:color w:val="000000"/>
                <w:sz w:val="18"/>
                <w:lang w:eastAsia="en-AU"/>
              </w:rPr>
              <w:t>448</w:t>
            </w:r>
          </w:p>
        </w:tc>
        <w:tc>
          <w:tcPr>
            <w:tcW w:w="687" w:type="pct"/>
            <w:vMerge/>
            <w:tcBorders>
              <w:top w:val="nil"/>
              <w:left w:val="single" w:sz="4" w:space="0" w:color="auto"/>
              <w:bottom w:val="single" w:sz="4" w:space="0" w:color="000000"/>
              <w:right w:val="single" w:sz="4" w:space="0" w:color="auto"/>
            </w:tcBorders>
            <w:vAlign w:val="center"/>
            <w:hideMark/>
          </w:tcPr>
          <w:p w:rsidR="009F0D9D" w:rsidRPr="00477A98" w:rsidRDefault="009F0D9D" w:rsidP="00667FE5">
            <w:pPr>
              <w:spacing w:before="40" w:after="40" w:line="240" w:lineRule="auto"/>
              <w:rPr>
                <w:rFonts w:ascii="Calibri" w:eastAsia="Times New Roman" w:hAnsi="Calibri"/>
                <w:color w:val="000000"/>
                <w:sz w:val="18"/>
                <w:lang w:eastAsia="en-AU"/>
              </w:rPr>
            </w:pPr>
          </w:p>
        </w:tc>
        <w:tc>
          <w:tcPr>
            <w:tcW w:w="842" w:type="pct"/>
            <w:vMerge/>
            <w:tcBorders>
              <w:top w:val="nil"/>
              <w:left w:val="single" w:sz="4" w:space="0" w:color="auto"/>
              <w:bottom w:val="single" w:sz="4" w:space="0" w:color="auto"/>
              <w:right w:val="single" w:sz="4" w:space="0" w:color="auto"/>
            </w:tcBorders>
            <w:vAlign w:val="center"/>
            <w:hideMark/>
          </w:tcPr>
          <w:p w:rsidR="009F0D9D" w:rsidRPr="00477A98" w:rsidRDefault="009F0D9D" w:rsidP="00667FE5">
            <w:pPr>
              <w:spacing w:before="40" w:after="40" w:line="240" w:lineRule="auto"/>
              <w:rPr>
                <w:rFonts w:ascii="Calibri" w:eastAsia="Times New Roman" w:hAnsi="Calibri"/>
                <w:color w:val="000000"/>
                <w:sz w:val="18"/>
                <w:lang w:eastAsia="en-AU"/>
              </w:rPr>
            </w:pPr>
          </w:p>
        </w:tc>
        <w:tc>
          <w:tcPr>
            <w:tcW w:w="842" w:type="pct"/>
            <w:vMerge/>
            <w:tcBorders>
              <w:top w:val="nil"/>
              <w:left w:val="single" w:sz="4" w:space="0" w:color="auto"/>
              <w:bottom w:val="single" w:sz="4" w:space="0" w:color="auto"/>
              <w:right w:val="single" w:sz="4" w:space="0" w:color="auto"/>
            </w:tcBorders>
            <w:vAlign w:val="center"/>
            <w:hideMark/>
          </w:tcPr>
          <w:p w:rsidR="009F0D9D" w:rsidRPr="00477A98" w:rsidRDefault="009F0D9D" w:rsidP="00667FE5">
            <w:pPr>
              <w:spacing w:before="40" w:after="40" w:line="240" w:lineRule="auto"/>
              <w:rPr>
                <w:rFonts w:ascii="Calibri" w:eastAsia="Times New Roman" w:hAnsi="Calibri"/>
                <w:color w:val="000000"/>
                <w:sz w:val="18"/>
                <w:lang w:eastAsia="en-AU"/>
              </w:rPr>
            </w:pPr>
          </w:p>
        </w:tc>
      </w:tr>
    </w:tbl>
    <w:p w:rsidR="009F0D9D" w:rsidRPr="00951C71" w:rsidRDefault="009F0D9D" w:rsidP="009F0D9D">
      <w:pPr>
        <w:spacing w:after="0" w:line="240" w:lineRule="auto"/>
        <w:rPr>
          <w:sz w:val="18"/>
          <w:szCs w:val="18"/>
        </w:rPr>
      </w:pPr>
      <w:r w:rsidRPr="00951C71">
        <w:rPr>
          <w:sz w:val="18"/>
          <w:szCs w:val="18"/>
        </w:rPr>
        <w:t>* Average costs multiplied by number of new houses.</w:t>
      </w:r>
    </w:p>
    <w:p w:rsidR="009F0D9D" w:rsidRPr="003F275F" w:rsidRDefault="009F0D9D" w:rsidP="002E776B"/>
    <w:p w:rsidR="003F275F" w:rsidRPr="00BD130B" w:rsidRDefault="003F275F" w:rsidP="00211750">
      <w:pPr>
        <w:pStyle w:val="H3"/>
      </w:pPr>
      <w:bookmarkStart w:id="209" w:name="_Toc477178092"/>
      <w:bookmarkStart w:id="210" w:name="_Toc477248731"/>
      <w:bookmarkStart w:id="211" w:name="_Toc477252717"/>
      <w:bookmarkStart w:id="212" w:name="_Toc490218705"/>
      <w:r w:rsidRPr="00BD130B">
        <w:t xml:space="preserve">Over the course of the Strategy many lessons were </w:t>
      </w:r>
      <w:r w:rsidR="003376F8">
        <w:t>learned</w:t>
      </w:r>
      <w:r w:rsidRPr="00BD130B">
        <w:t xml:space="preserve"> (or re-</w:t>
      </w:r>
      <w:r w:rsidR="003376F8">
        <w:t>learned</w:t>
      </w:r>
      <w:r w:rsidRPr="00BD130B">
        <w:t>)</w:t>
      </w:r>
      <w:bookmarkEnd w:id="209"/>
      <w:bookmarkEnd w:id="210"/>
      <w:bookmarkEnd w:id="211"/>
      <w:bookmarkEnd w:id="212"/>
      <w:r w:rsidRPr="00BD130B">
        <w:t xml:space="preserve"> </w:t>
      </w:r>
    </w:p>
    <w:p w:rsidR="003F275F" w:rsidRPr="003F275F" w:rsidRDefault="009F0D9D" w:rsidP="002E776B">
      <w:pPr>
        <w:rPr>
          <w:b/>
        </w:rPr>
      </w:pPr>
      <w:r w:rsidRPr="003F275F">
        <w:t>Over the course of implementing the Strategy, many important lessons have been learned about the long</w:t>
      </w:r>
      <w:r>
        <w:t>-</w:t>
      </w:r>
      <w:r w:rsidRPr="003F275F">
        <w:t>term value of appropriate investment in: house quality and design; community engagement; and infrastructure planning and use, which if done well can deliver substantial efficiencies</w:t>
      </w:r>
      <w:r w:rsidR="003F275F" w:rsidRPr="003F275F">
        <w:t>.</w:t>
      </w:r>
    </w:p>
    <w:p w:rsidR="003F275F" w:rsidRPr="002D4BE2" w:rsidRDefault="003F275F" w:rsidP="00211750">
      <w:pPr>
        <w:pStyle w:val="H4"/>
      </w:pPr>
      <w:bookmarkStart w:id="213" w:name="_Toc477178093"/>
      <w:bookmarkStart w:id="214" w:name="_Toc477248732"/>
      <w:bookmarkStart w:id="215" w:name="_Toc477252718"/>
      <w:r w:rsidRPr="002D4BE2">
        <w:t>Investment in suitable design, material and construction pays off</w:t>
      </w:r>
      <w:bookmarkEnd w:id="213"/>
      <w:bookmarkEnd w:id="214"/>
      <w:bookmarkEnd w:id="215"/>
      <w:r w:rsidRPr="002D4BE2">
        <w:t xml:space="preserve"> </w:t>
      </w:r>
    </w:p>
    <w:p w:rsidR="003F275F" w:rsidRDefault="009F0D9D" w:rsidP="002E776B">
      <w:r w:rsidRPr="003F275F">
        <w:t>Investment in suitable design, material and construction methods will improve the safety</w:t>
      </w:r>
      <w:r>
        <w:t>,</w:t>
      </w:r>
      <w:r w:rsidRPr="003F275F">
        <w:t xml:space="preserve"> amenity and durability of remote houses, and reduces recurrent maintenance costs.</w:t>
      </w:r>
      <w:r w:rsidRPr="003F275F">
        <w:rPr>
          <w:b/>
        </w:rPr>
        <w:t xml:space="preserve"> </w:t>
      </w:r>
      <w:r w:rsidRPr="003F275F">
        <w:t xml:space="preserve">Over the course of the Strategy, governments have </w:t>
      </w:r>
      <w:r>
        <w:t>learned</w:t>
      </w:r>
      <w:r w:rsidRPr="003F275F">
        <w:t xml:space="preserve"> lessons about appropriate housing delivery and design. A 2015 review of five Strategy dwelling types demonstrated the longer term cost benefits derived from </w:t>
      </w:r>
      <w:r w:rsidRPr="003F275F">
        <w:lastRenderedPageBreak/>
        <w:t>using durable construction methodologies and materials. It found that besser block construction is the most durable</w:t>
      </w:r>
      <w:r w:rsidR="001654D8">
        <w:t>.</w:t>
      </w:r>
      <w:r w:rsidR="003F275F" w:rsidRPr="003F275F">
        <w:rPr>
          <w:vertAlign w:val="superscript"/>
        </w:rPr>
        <w:footnoteReference w:id="31"/>
      </w:r>
      <w:r w:rsidR="003F275F" w:rsidRPr="003F275F">
        <w:t xml:space="preserve"> </w:t>
      </w:r>
    </w:p>
    <w:tbl>
      <w:tblPr>
        <w:tblStyle w:val="TableGrid"/>
        <w:tblW w:w="0" w:type="auto"/>
        <w:tblLook w:val="04A0" w:firstRow="1" w:lastRow="0" w:firstColumn="1" w:lastColumn="0" w:noHBand="0" w:noVBand="1"/>
      </w:tblPr>
      <w:tblGrid>
        <w:gridCol w:w="8947"/>
      </w:tblGrid>
      <w:tr w:rsidR="00DD7426" w:rsidTr="00DD7426">
        <w:tc>
          <w:tcPr>
            <w:tcW w:w="9173" w:type="dxa"/>
          </w:tcPr>
          <w:p w:rsidR="00DD7426" w:rsidRDefault="00DD7426" w:rsidP="00DD7426">
            <w:pPr>
              <w:pBdr>
                <w:top w:val="single" w:sz="4" w:space="1" w:color="auto"/>
                <w:left w:val="single" w:sz="4" w:space="4" w:color="auto"/>
                <w:bottom w:val="single" w:sz="4" w:space="1" w:color="auto"/>
                <w:right w:val="single" w:sz="4" w:space="4" w:color="auto"/>
              </w:pBdr>
            </w:pPr>
            <w:r>
              <w:rPr>
                <w:b/>
              </w:rPr>
              <w:t>Box 4.3:</w:t>
            </w:r>
          </w:p>
          <w:p w:rsidR="00DD7426" w:rsidRPr="003F275F" w:rsidRDefault="00DD7426" w:rsidP="00DD7426">
            <w:pPr>
              <w:pBdr>
                <w:top w:val="single" w:sz="4" w:space="1" w:color="auto"/>
                <w:left w:val="single" w:sz="4" w:space="4" w:color="auto"/>
                <w:bottom w:val="single" w:sz="4" w:space="1" w:color="auto"/>
                <w:right w:val="single" w:sz="4" w:space="4" w:color="auto"/>
              </w:pBdr>
            </w:pPr>
            <w:r w:rsidRPr="003F275F">
              <w:t xml:space="preserve">In </w:t>
            </w:r>
            <w:r w:rsidRPr="003F275F" w:rsidDel="00230E97">
              <w:t xml:space="preserve">the </w:t>
            </w:r>
            <w:r w:rsidRPr="003F275F">
              <w:t xml:space="preserve">Northern Territory, the preferred design since 2014 has been ‘concrete block on slab on ground’ (besser block). The value of besser block was demonstrated in 2015 when houses at Galiwin’ku, Milingimbi and Ramingining that were built using this construction design were undamaged by the consecutive Cyclones Lam and Nathan whereas other designs required repair or replacement. </w:t>
            </w:r>
          </w:p>
          <w:p w:rsidR="00DD7426" w:rsidRPr="003F275F" w:rsidRDefault="00DD7426" w:rsidP="00DD7426">
            <w:pPr>
              <w:pBdr>
                <w:top w:val="single" w:sz="4" w:space="1" w:color="auto"/>
                <w:left w:val="single" w:sz="4" w:space="4" w:color="auto"/>
                <w:bottom w:val="single" w:sz="4" w:space="1" w:color="auto"/>
                <w:right w:val="single" w:sz="4" w:space="4" w:color="auto"/>
              </w:pBdr>
            </w:pPr>
            <w:r w:rsidRPr="003F275F">
              <w:t xml:space="preserve">Early in the program South Australia tested a number of housing types, including transportable products. In 2015 a follow up Building Fabric Audit assessed properties constructed in 2010 on the APY Lands. The audit found that the quality of the transportable product was good but construction and running costs outstripped the benefits. For example, the tender price for a three bedroom transportable in Amata ranges between $72,000 and $150,000 more than an on-site build. </w:t>
            </w:r>
          </w:p>
          <w:p w:rsidR="00DD7426" w:rsidRPr="00DD7426" w:rsidRDefault="00DD7426" w:rsidP="00DD7426">
            <w:pPr>
              <w:pBdr>
                <w:top w:val="single" w:sz="4" w:space="1" w:color="auto"/>
                <w:left w:val="single" w:sz="4" w:space="4" w:color="auto"/>
                <w:bottom w:val="single" w:sz="4" w:space="1" w:color="auto"/>
                <w:right w:val="single" w:sz="4" w:space="4" w:color="auto"/>
              </w:pBdr>
            </w:pPr>
            <w:r w:rsidRPr="003F275F">
              <w:t>Transportable housing with one or two bedrooms has a co</w:t>
            </w:r>
            <w:r>
              <w:t xml:space="preserve">mparable cost to on-site build; </w:t>
            </w:r>
            <w:r w:rsidRPr="003F275F">
              <w:t>however, the on-site build has the additional benefit of increased potential for local work participation and employment and a higher energy rating (where concrete flooring provides an insulating effect). The flooring in the transp</w:t>
            </w:r>
            <w:r>
              <w:t>ortable was not compliant with s</w:t>
            </w:r>
            <w:r w:rsidRPr="003F275F">
              <w:t xml:space="preserve">tandards </w:t>
            </w:r>
            <w:r>
              <w:t xml:space="preserve">for </w:t>
            </w:r>
            <w:r w:rsidRPr="003F275F">
              <w:t>disability access, meaning that further reinforcement work had to completed, increasing the unit cost.</w:t>
            </w:r>
          </w:p>
        </w:tc>
      </w:tr>
    </w:tbl>
    <w:p w:rsidR="007C1F38" w:rsidRPr="003F275F" w:rsidRDefault="007C1F38" w:rsidP="00DD7426">
      <w:pPr>
        <w:spacing w:before="240"/>
      </w:pPr>
      <w:r w:rsidRPr="003F275F">
        <w:t xml:space="preserve">Cost considerations will drive decisions in building particularly given the other externalities that affect building costs such as high transport costs, lack of skilled tradespeople, and environment limitations on timeframes for building due to extended wet seasons. However choice of design and materials </w:t>
      </w:r>
      <w:r>
        <w:t>should</w:t>
      </w:r>
      <w:r w:rsidRPr="003F275F">
        <w:t xml:space="preserve"> consider the building standards, amenity of the housing and the longer term cost/benefits. </w:t>
      </w:r>
    </w:p>
    <w:p w:rsidR="003F275F" w:rsidRPr="003F275F" w:rsidRDefault="007C1F38" w:rsidP="007C1F38">
      <w:r w:rsidRPr="003F275F">
        <w:t>Initial lower capital cost can be out-stripped by a higher ongoing recurrent cost over the</w:t>
      </w:r>
      <w:r>
        <w:t xml:space="preserve"> life of a building (see Table 4.4</w:t>
      </w:r>
      <w:r w:rsidRPr="003F275F">
        <w:t>). Over 30 years the initial capital cost represents about one quarter to one third of the total lifecycle cost, with the largest cost proportion over the life cycle relating to capital replacements</w:t>
      </w:r>
      <w:r w:rsidR="003F275F" w:rsidRPr="003F275F">
        <w:t xml:space="preserve">. </w:t>
      </w:r>
    </w:p>
    <w:p w:rsidR="003F275F" w:rsidRPr="00F3240A" w:rsidRDefault="001654D8" w:rsidP="00F3240A">
      <w:pPr>
        <w:pStyle w:val="tbsfigs"/>
      </w:pPr>
      <w:r w:rsidRPr="00F3240A">
        <w:lastRenderedPageBreak/>
        <w:t>Table</w:t>
      </w:r>
      <w:r w:rsidR="00110C8D" w:rsidRPr="00F3240A">
        <w:t xml:space="preserve"> 4.</w:t>
      </w:r>
      <w:r w:rsidR="00073A2D" w:rsidRPr="00F3240A">
        <w:t>4</w:t>
      </w:r>
      <w:r w:rsidR="003F275F" w:rsidRPr="00F3240A">
        <w:t xml:space="preserve"> – Projected whole of life cost of build varieties in Queensland and Northern Territory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4: Projected whole of life cost of build varieties in Queensland and Northern Territory"/>
        <w:tblDescription w:val="Average initial capital cost, total initial capital cost and 30 year whole of life net present value, and overall post-construction condition of properties in Queensland and the Northern Territory, listed by construction type."/>
      </w:tblPr>
      <w:tblGrid>
        <w:gridCol w:w="2354"/>
        <w:gridCol w:w="1752"/>
        <w:gridCol w:w="2816"/>
        <w:gridCol w:w="2025"/>
      </w:tblGrid>
      <w:tr w:rsidR="003F275F" w:rsidRPr="003F275F" w:rsidTr="00FD26C8">
        <w:trPr>
          <w:tblHeader/>
        </w:trPr>
        <w:tc>
          <w:tcPr>
            <w:tcW w:w="2409" w:type="dxa"/>
            <w:tcBorders>
              <w:bottom w:val="nil"/>
            </w:tcBorders>
            <w:shd w:val="clear" w:color="auto" w:fill="5CADFF" w:themeFill="text2" w:themeFillTint="66"/>
          </w:tcPr>
          <w:p w:rsidR="003F275F" w:rsidRPr="003F275F" w:rsidRDefault="003F275F" w:rsidP="001F4C87">
            <w:pPr>
              <w:pStyle w:val="Heading6"/>
            </w:pPr>
            <w:r w:rsidRPr="003F275F">
              <w:t>Dwelling type</w:t>
            </w:r>
          </w:p>
        </w:tc>
        <w:tc>
          <w:tcPr>
            <w:tcW w:w="1782" w:type="dxa"/>
            <w:tcBorders>
              <w:bottom w:val="nil"/>
            </w:tcBorders>
            <w:shd w:val="clear" w:color="auto" w:fill="5CADFF" w:themeFill="text2" w:themeFillTint="66"/>
          </w:tcPr>
          <w:p w:rsidR="00FD26C8" w:rsidRPr="00FD26C8" w:rsidRDefault="003F275F" w:rsidP="00FD26C8">
            <w:pPr>
              <w:pStyle w:val="Heading6"/>
            </w:pPr>
            <w:r w:rsidRPr="003F275F">
              <w:t>Average initial capital cost</w:t>
            </w:r>
            <w:r w:rsidR="00FD26C8">
              <w:t xml:space="preserve"> </w:t>
            </w:r>
            <w:r w:rsidR="00A277A0">
              <w:t>(</w:t>
            </w:r>
            <w:r w:rsidR="00FD26C8" w:rsidRPr="00FD26C8">
              <w:t>2010-11 prices</w:t>
            </w:r>
            <w:r w:rsidR="00A277A0">
              <w:t>)</w:t>
            </w:r>
          </w:p>
        </w:tc>
        <w:tc>
          <w:tcPr>
            <w:tcW w:w="2916" w:type="dxa"/>
            <w:tcBorders>
              <w:bottom w:val="nil"/>
            </w:tcBorders>
            <w:shd w:val="clear" w:color="auto" w:fill="5CADFF" w:themeFill="text2" w:themeFillTint="66"/>
          </w:tcPr>
          <w:p w:rsidR="00FD26C8" w:rsidRPr="00FD26C8" w:rsidRDefault="003F275F" w:rsidP="00FD26C8">
            <w:pPr>
              <w:pStyle w:val="Heading6"/>
            </w:pPr>
            <w:r w:rsidRPr="00FD26C8">
              <w:t>Total initial capital cost and 30 year whole of life net present value</w:t>
            </w:r>
            <w:r w:rsidR="00FD26C8">
              <w:t xml:space="preserve"> </w:t>
            </w:r>
            <w:r w:rsidR="00A277A0">
              <w:t>(</w:t>
            </w:r>
            <w:r w:rsidR="00FD26C8" w:rsidRPr="00FD26C8">
              <w:t>2011 prices</w:t>
            </w:r>
            <w:r w:rsidR="00A277A0">
              <w:t>)</w:t>
            </w:r>
          </w:p>
        </w:tc>
        <w:tc>
          <w:tcPr>
            <w:tcW w:w="2066" w:type="dxa"/>
            <w:tcBorders>
              <w:bottom w:val="nil"/>
            </w:tcBorders>
            <w:shd w:val="clear" w:color="auto" w:fill="5CADFF" w:themeFill="text2" w:themeFillTint="66"/>
          </w:tcPr>
          <w:p w:rsidR="003F275F" w:rsidRPr="003F275F" w:rsidRDefault="003F275F" w:rsidP="00A277A0">
            <w:pPr>
              <w:pStyle w:val="Heading6"/>
            </w:pPr>
            <w:r w:rsidRPr="003F275F">
              <w:t>Overall rating of condition 5 years post</w:t>
            </w:r>
            <w:r w:rsidR="00A277A0">
              <w:t>-</w:t>
            </w:r>
            <w:r w:rsidRPr="003F275F">
              <w:t>construction</w:t>
            </w:r>
          </w:p>
        </w:tc>
      </w:tr>
      <w:tr w:rsidR="003F275F" w:rsidRPr="003F275F" w:rsidTr="00FD26C8">
        <w:tc>
          <w:tcPr>
            <w:tcW w:w="2409"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Ritek, NT</w:t>
            </w:r>
          </w:p>
        </w:tc>
        <w:tc>
          <w:tcPr>
            <w:tcW w:w="1782" w:type="dxa"/>
          </w:tcPr>
          <w:p w:rsidR="003F275F" w:rsidRPr="003F275F" w:rsidRDefault="003F275F" w:rsidP="006F7715">
            <w:pPr>
              <w:keepNext/>
              <w:spacing w:before="120" w:after="120" w:line="240" w:lineRule="auto"/>
              <w:jc w:val="center"/>
              <w:rPr>
                <w:rFonts w:ascii="Calibri" w:eastAsia="Calibri" w:hAnsi="Calibri" w:cs="Times New Roman"/>
              </w:rPr>
            </w:pPr>
            <w:r w:rsidRPr="003F275F">
              <w:rPr>
                <w:rFonts w:ascii="Calibri" w:eastAsia="Calibri" w:hAnsi="Calibri" w:cs="Times New Roman"/>
              </w:rPr>
              <w:t>Expectation</w:t>
            </w:r>
            <w:r w:rsidR="006F7715">
              <w:rPr>
                <w:rFonts w:ascii="Calibri" w:eastAsia="Calibri" w:hAnsi="Calibri" w:cs="Times New Roman"/>
              </w:rPr>
              <w:t xml:space="preserve"> </w:t>
            </w:r>
            <w:r w:rsidRPr="003F275F">
              <w:rPr>
                <w:rFonts w:ascii="Calibri" w:eastAsia="Calibri" w:hAnsi="Calibri" w:cs="Times New Roman"/>
              </w:rPr>
              <w:t>$518,000</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$1,849,000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Good</w:t>
            </w:r>
          </w:p>
        </w:tc>
      </w:tr>
      <w:tr w:rsidR="003F275F" w:rsidRPr="003F275F" w:rsidTr="00FD26C8">
        <w:tc>
          <w:tcPr>
            <w:tcW w:w="2409"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Bluescope or MRN prefabricated, NT</w:t>
            </w:r>
          </w:p>
        </w:tc>
        <w:tc>
          <w:tcPr>
            <w:tcW w:w="1782"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Expectation $470,000</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$2,145,000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Fair</w:t>
            </w:r>
          </w:p>
        </w:tc>
      </w:tr>
      <w:tr w:rsidR="003F275F" w:rsidRPr="003F275F" w:rsidTr="00FD26C8">
        <w:tc>
          <w:tcPr>
            <w:tcW w:w="2409"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Besser block on slab, NT</w:t>
            </w:r>
          </w:p>
        </w:tc>
        <w:tc>
          <w:tcPr>
            <w:tcW w:w="1782"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Expectation $520,000</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$1,774,000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Good</w:t>
            </w:r>
          </w:p>
        </w:tc>
      </w:tr>
      <w:tr w:rsidR="003F275F" w:rsidRPr="003F275F" w:rsidTr="00FD26C8">
        <w:tc>
          <w:tcPr>
            <w:tcW w:w="2409" w:type="dxa"/>
          </w:tcPr>
          <w:p w:rsidR="003F275F" w:rsidRPr="003F275F" w:rsidRDefault="003F275F" w:rsidP="001654D8">
            <w:pPr>
              <w:keepNext/>
              <w:spacing w:before="120" w:after="120" w:line="240" w:lineRule="auto"/>
              <w:rPr>
                <w:rFonts w:ascii="Calibri" w:eastAsia="Calibri" w:hAnsi="Calibri" w:cs="Times New Roman"/>
              </w:rPr>
            </w:pPr>
            <w:r w:rsidRPr="003F275F">
              <w:rPr>
                <w:rFonts w:ascii="Calibri" w:eastAsia="Calibri" w:hAnsi="Calibri" w:cs="Times New Roman"/>
              </w:rPr>
              <w:t xml:space="preserve">Prefabricated, </w:t>
            </w:r>
            <w:r w:rsidR="001654D8">
              <w:rPr>
                <w:rFonts w:ascii="Calibri" w:eastAsia="Calibri" w:hAnsi="Calibri" w:cs="Times New Roman"/>
              </w:rPr>
              <w:t>Qld</w:t>
            </w:r>
          </w:p>
        </w:tc>
        <w:tc>
          <w:tcPr>
            <w:tcW w:w="1782"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$469,623</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$2,145,000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Fair</w:t>
            </w:r>
          </w:p>
        </w:tc>
      </w:tr>
      <w:tr w:rsidR="003F275F" w:rsidRPr="003F275F" w:rsidTr="00FD26C8">
        <w:tc>
          <w:tcPr>
            <w:tcW w:w="2409"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Flat pack, Qld</w:t>
            </w:r>
          </w:p>
        </w:tc>
        <w:tc>
          <w:tcPr>
            <w:tcW w:w="1782"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$444,528</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$2,191,000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Fair</w:t>
            </w:r>
          </w:p>
        </w:tc>
      </w:tr>
      <w:tr w:rsidR="003F275F" w:rsidRPr="003F275F" w:rsidTr="00FD26C8">
        <w:tc>
          <w:tcPr>
            <w:tcW w:w="2409"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Besser block on slab, Qld</w:t>
            </w:r>
          </w:p>
        </w:tc>
        <w:tc>
          <w:tcPr>
            <w:tcW w:w="1782"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$419,110</w:t>
            </w:r>
          </w:p>
        </w:tc>
        <w:tc>
          <w:tcPr>
            <w:tcW w:w="2916" w:type="dxa"/>
          </w:tcPr>
          <w:p w:rsidR="003F275F" w:rsidRPr="003F275F" w:rsidRDefault="003F275F" w:rsidP="00F47261">
            <w:pPr>
              <w:keepNext/>
              <w:spacing w:before="120" w:after="120" w:line="240" w:lineRule="auto"/>
              <w:jc w:val="center"/>
              <w:rPr>
                <w:rFonts w:ascii="Calibri" w:eastAsia="Calibri" w:hAnsi="Calibri" w:cs="Times New Roman"/>
              </w:rPr>
            </w:pPr>
            <w:r w:rsidRPr="003F275F">
              <w:rPr>
                <w:rFonts w:ascii="Calibri" w:eastAsia="Calibri" w:hAnsi="Calibri" w:cs="Times New Roman"/>
              </w:rPr>
              <w:t>$1,582,000</w:t>
            </w:r>
          </w:p>
        </w:tc>
        <w:tc>
          <w:tcPr>
            <w:tcW w:w="2066" w:type="dxa"/>
          </w:tcPr>
          <w:p w:rsidR="003F275F" w:rsidRPr="003F275F" w:rsidRDefault="003F275F" w:rsidP="00F47261">
            <w:pPr>
              <w:keepNext/>
              <w:spacing w:before="120" w:after="120" w:line="240" w:lineRule="auto"/>
              <w:rPr>
                <w:rFonts w:ascii="Calibri" w:eastAsia="Calibri" w:hAnsi="Calibri" w:cs="Times New Roman"/>
              </w:rPr>
            </w:pPr>
            <w:r w:rsidRPr="003F275F">
              <w:rPr>
                <w:rFonts w:ascii="Calibri" w:eastAsia="Calibri" w:hAnsi="Calibri" w:cs="Times New Roman"/>
              </w:rPr>
              <w:t xml:space="preserve">Excellent </w:t>
            </w:r>
          </w:p>
        </w:tc>
      </w:tr>
    </w:tbl>
    <w:p w:rsidR="003F275F" w:rsidRPr="00484E41" w:rsidRDefault="00B43EE1" w:rsidP="00F47261">
      <w:pPr>
        <w:spacing w:before="120" w:after="120"/>
        <w:rPr>
          <w:rFonts w:ascii="Calibri" w:eastAsia="Calibri" w:hAnsi="Calibri" w:cs="Times New Roman"/>
          <w:b/>
          <w:color w:val="1E1E1E"/>
          <w:spacing w:val="4"/>
          <w:sz w:val="18"/>
          <w:szCs w:val="18"/>
        </w:rPr>
      </w:pPr>
      <w:r w:rsidRPr="00484E41">
        <w:rPr>
          <w:rFonts w:ascii="Calibri" w:eastAsia="Calibri" w:hAnsi="Calibri" w:cs="Times New Roman"/>
          <w:color w:val="1E1E1E"/>
          <w:spacing w:val="4"/>
          <w:sz w:val="18"/>
          <w:szCs w:val="18"/>
        </w:rPr>
        <w:t xml:space="preserve">Source: </w:t>
      </w:r>
      <w:r w:rsidR="00872EE8" w:rsidRPr="00484E41">
        <w:rPr>
          <w:rFonts w:ascii="Calibri" w:eastAsia="Calibri" w:hAnsi="Calibri" w:cs="Times New Roman"/>
          <w:color w:val="1E1E1E"/>
          <w:spacing w:val="4"/>
          <w:sz w:val="18"/>
          <w:szCs w:val="18"/>
        </w:rPr>
        <w:t>Rider Levett Bucknall, Desk-top Review of NPARIH Capital Works 2015</w:t>
      </w:r>
    </w:p>
    <w:p w:rsidR="003F275F" w:rsidRPr="00DC00B6" w:rsidRDefault="003F275F" w:rsidP="00211750">
      <w:pPr>
        <w:pStyle w:val="H4"/>
      </w:pPr>
      <w:bookmarkStart w:id="216" w:name="_Toc477248733"/>
      <w:bookmarkStart w:id="217" w:name="_Toc477252719"/>
      <w:bookmarkStart w:id="218" w:name="_Toc477178094"/>
      <w:r w:rsidRPr="00DC00B6">
        <w:t>These lessons were reinforced</w:t>
      </w:r>
      <w:r w:rsidR="001654D8">
        <w:t>:</w:t>
      </w:r>
      <w:r w:rsidR="00622CC3">
        <w:t xml:space="preserve"> bad </w:t>
      </w:r>
      <w:r w:rsidRPr="00DC00B6">
        <w:t>outcomes from poor building</w:t>
      </w:r>
      <w:bookmarkEnd w:id="216"/>
      <w:bookmarkEnd w:id="217"/>
      <w:r w:rsidRPr="00DC00B6">
        <w:t xml:space="preserve"> </w:t>
      </w:r>
      <w:bookmarkEnd w:id="218"/>
    </w:p>
    <w:p w:rsidR="003F275F" w:rsidRPr="0093744D" w:rsidRDefault="00B21A1D" w:rsidP="00222C59">
      <w:r w:rsidRPr="0093744D">
        <w:t>During visits to remote communities</w:t>
      </w:r>
      <w:r>
        <w:t>,</w:t>
      </w:r>
      <w:r w:rsidRPr="0093744D">
        <w:t xml:space="preserve"> the Pane</w:t>
      </w:r>
      <w:r>
        <w:t xml:space="preserve">l saw mixed quality of houses. </w:t>
      </w:r>
      <w:r w:rsidRPr="0093744D">
        <w:t>Generally newer houses in Queensland, South Australia and the Northern Territory were of a very high quality. However there were serious design and safety issues encountered in Western Australia and reported in New South Wales</w:t>
      </w:r>
      <w:r w:rsidR="003F275F" w:rsidRPr="0093744D">
        <w:t xml:space="preserve">. </w:t>
      </w:r>
    </w:p>
    <w:p w:rsidR="0039151A" w:rsidRDefault="0039151A">
      <w:pPr>
        <w:rPr>
          <w:rFonts w:ascii="Calibri" w:eastAsia="Calibri" w:hAnsi="Calibri" w:cs="Times New Roman"/>
        </w:rPr>
      </w:pPr>
      <w:r>
        <w:rPr>
          <w:rFonts w:ascii="Calibri" w:eastAsia="Calibri" w:hAnsi="Calibri" w:cs="Times New Roman"/>
        </w:rPr>
        <w:br w:type="page"/>
      </w:r>
    </w:p>
    <w:p w:rsidR="00AF6C19" w:rsidRDefault="00AF6C19">
      <w:pPr>
        <w:rPr>
          <w:rFonts w:ascii="Calibri" w:eastAsia="Calibri" w:hAnsi="Calibri" w:cs="Times New Roman"/>
        </w:rPr>
      </w:pPr>
      <w:r w:rsidRPr="003F275F">
        <w:rPr>
          <w:rFonts w:ascii="Calibri" w:eastAsia="Calibri" w:hAnsi="Calibri" w:cs="Times New Roman"/>
        </w:rPr>
        <w:lastRenderedPageBreak/>
        <w:t>Badu Island – new besser block, Queensland</w:t>
      </w:r>
    </w:p>
    <w:p w:rsidR="00AF6C19" w:rsidRDefault="00AF6C19">
      <w:pPr>
        <w:rPr>
          <w:rFonts w:ascii="Calibri" w:eastAsia="Calibri" w:hAnsi="Calibri" w:cs="Times New Roman"/>
        </w:rPr>
      </w:pPr>
      <w:r w:rsidRPr="003F275F">
        <w:rPr>
          <w:rFonts w:ascii="Calibri" w:eastAsia="Calibri" w:hAnsi="Calibri" w:cs="Times New Roman"/>
          <w:noProof/>
          <w:lang w:eastAsia="en-AU"/>
        </w:rPr>
        <w:drawing>
          <wp:inline distT="0" distB="0" distL="0" distR="0" wp14:anchorId="7A1AE0D0" wp14:editId="7A1AE0D1">
            <wp:extent cx="4550427" cy="3413052"/>
            <wp:effectExtent l="0" t="0" r="2540" b="0"/>
            <wp:docPr id="4" name="Picture 4" descr="Badu Island – new besser block, Queensland" title="Badu Island – new besser block,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u Island.jpg"/>
                    <pic:cNvPicPr/>
                  </pic:nvPicPr>
                  <pic:blipFill>
                    <a:blip r:embed="rId26">
                      <a:extLst>
                        <a:ext uri="{28A0092B-C50C-407E-A947-70E740481C1C}">
                          <a14:useLocalDpi xmlns:a14="http://schemas.microsoft.com/office/drawing/2010/main" val="0"/>
                        </a:ext>
                      </a:extLst>
                    </a:blip>
                    <a:stretch>
                      <a:fillRect/>
                    </a:stretch>
                  </pic:blipFill>
                  <pic:spPr>
                    <a:xfrm>
                      <a:off x="0" y="0"/>
                      <a:ext cx="4593473" cy="3445338"/>
                    </a:xfrm>
                    <a:prstGeom prst="rect">
                      <a:avLst/>
                    </a:prstGeom>
                  </pic:spPr>
                </pic:pic>
              </a:graphicData>
            </a:graphic>
          </wp:inline>
        </w:drawing>
      </w:r>
    </w:p>
    <w:p w:rsidR="00AF6C19" w:rsidRDefault="00AF6C19" w:rsidP="00AF6C19">
      <w:pPr>
        <w:keepLines/>
        <w:spacing w:before="120" w:after="120"/>
        <w:rPr>
          <w:rFonts w:ascii="Calibri" w:eastAsia="Calibri" w:hAnsi="Calibri" w:cs="Times New Roman"/>
        </w:rPr>
      </w:pPr>
      <w:r w:rsidRPr="00AF6C19">
        <w:rPr>
          <w:rFonts w:ascii="Calibri" w:eastAsia="Calibri" w:hAnsi="Calibri" w:cs="Times New Roman"/>
        </w:rPr>
        <w:t>Broncos house – Horn Island, Queensland</w:t>
      </w:r>
    </w:p>
    <w:p w:rsidR="00AF6C19" w:rsidRDefault="00AF6C19">
      <w:pPr>
        <w:rPr>
          <w:rFonts w:ascii="Calibri" w:eastAsia="Calibri" w:hAnsi="Calibri" w:cs="Times New Roman"/>
        </w:rPr>
      </w:pPr>
      <w:r w:rsidRPr="003F275F">
        <w:rPr>
          <w:rFonts w:ascii="Calibri" w:eastAsia="Calibri" w:hAnsi="Calibri" w:cs="Times New Roman"/>
          <w:noProof/>
          <w:lang w:eastAsia="en-AU"/>
        </w:rPr>
        <w:drawing>
          <wp:inline distT="0" distB="0" distL="0" distR="0" wp14:anchorId="7A1AE0D2" wp14:editId="7A1AE0D3">
            <wp:extent cx="4550735" cy="3413283"/>
            <wp:effectExtent l="0" t="0" r="2540" b="0"/>
            <wp:docPr id="5" name="Picture 5" descr="Broncos house – Horn Island, Queensland" title="Broncos house – Horn Isl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cos house.jpg"/>
                    <pic:cNvPicPr/>
                  </pic:nvPicPr>
                  <pic:blipFill>
                    <a:blip r:embed="rId27">
                      <a:extLst>
                        <a:ext uri="{28A0092B-C50C-407E-A947-70E740481C1C}">
                          <a14:useLocalDpi xmlns:a14="http://schemas.microsoft.com/office/drawing/2010/main" val="0"/>
                        </a:ext>
                      </a:extLst>
                    </a:blip>
                    <a:stretch>
                      <a:fillRect/>
                    </a:stretch>
                  </pic:blipFill>
                  <pic:spPr>
                    <a:xfrm>
                      <a:off x="0" y="0"/>
                      <a:ext cx="4572086" cy="3429297"/>
                    </a:xfrm>
                    <a:prstGeom prst="rect">
                      <a:avLst/>
                    </a:prstGeom>
                  </pic:spPr>
                </pic:pic>
              </a:graphicData>
            </a:graphic>
          </wp:inline>
        </w:drawing>
      </w:r>
    </w:p>
    <w:p w:rsidR="003149E1" w:rsidRDefault="003149E1">
      <w:pPr>
        <w:rPr>
          <w:rFonts w:ascii="Calibri" w:eastAsia="Calibri" w:hAnsi="Calibri" w:cs="Times New Roman"/>
        </w:rPr>
      </w:pPr>
      <w:r>
        <w:rPr>
          <w:rFonts w:ascii="Calibri" w:eastAsia="Calibri" w:hAnsi="Calibri" w:cs="Times New Roman"/>
        </w:rPr>
        <w:br w:type="page"/>
      </w:r>
    </w:p>
    <w:p w:rsidR="003149E1" w:rsidRDefault="00AF6C19">
      <w:pPr>
        <w:rPr>
          <w:rFonts w:ascii="Calibri" w:eastAsia="Calibri" w:hAnsi="Calibri" w:cs="Times New Roman"/>
        </w:rPr>
      </w:pPr>
      <w:r w:rsidRPr="003F275F">
        <w:rPr>
          <w:rFonts w:ascii="Calibri" w:eastAsia="Calibri" w:hAnsi="Calibri" w:cs="Times New Roman"/>
        </w:rPr>
        <w:lastRenderedPageBreak/>
        <w:t>New house under construction, Galiwin’ku, Northern Territory</w:t>
      </w:r>
    </w:p>
    <w:p w:rsidR="00AF6C19" w:rsidRDefault="00AF6C19">
      <w:pPr>
        <w:rPr>
          <w:rFonts w:ascii="Calibri" w:eastAsia="Calibri" w:hAnsi="Calibri" w:cs="Times New Roman"/>
        </w:rPr>
      </w:pPr>
      <w:r w:rsidRPr="003F275F">
        <w:rPr>
          <w:rFonts w:ascii="Calibri" w:eastAsia="Calibri" w:hAnsi="Calibri" w:cs="Times New Roman"/>
          <w:b/>
          <w:noProof/>
          <w:lang w:eastAsia="en-AU"/>
        </w:rPr>
        <w:drawing>
          <wp:inline distT="0" distB="0" distL="0" distR="0" wp14:anchorId="7A1AE0D4" wp14:editId="7A1AE0D5">
            <wp:extent cx="4776210" cy="3583173"/>
            <wp:effectExtent l="0" t="0" r="5715" b="0"/>
            <wp:docPr id="9" name="Picture 9" descr="New house under construction, Galiwin’ku, Northern Territory" title="New house under construction, Galiwin’ku,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constru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3170" cy="3588395"/>
                    </a:xfrm>
                    <a:prstGeom prst="rect">
                      <a:avLst/>
                    </a:prstGeom>
                  </pic:spPr>
                </pic:pic>
              </a:graphicData>
            </a:graphic>
          </wp:inline>
        </w:drawing>
      </w:r>
    </w:p>
    <w:p w:rsidR="00AF6C19" w:rsidRDefault="00AF6C19">
      <w:pPr>
        <w:rPr>
          <w:rFonts w:ascii="Calibri" w:eastAsia="Calibri" w:hAnsi="Calibri" w:cs="Times New Roman"/>
        </w:rPr>
      </w:pPr>
    </w:p>
    <w:p w:rsidR="00AF6C19" w:rsidRDefault="00E10728">
      <w:pPr>
        <w:rPr>
          <w:rFonts w:ascii="Calibri" w:eastAsia="Calibri" w:hAnsi="Calibri" w:cs="Times New Roman"/>
        </w:rPr>
      </w:pPr>
      <w:r w:rsidRPr="003F275F">
        <w:rPr>
          <w:rFonts w:ascii="Calibri" w:eastAsia="Calibri" w:hAnsi="Calibri" w:cs="Times New Roman"/>
        </w:rPr>
        <w:t xml:space="preserve">Pictures </w:t>
      </w:r>
      <w:r>
        <w:rPr>
          <w:rFonts w:ascii="Calibri" w:eastAsia="Calibri" w:hAnsi="Calibri" w:cs="Times New Roman"/>
        </w:rPr>
        <w:t>of house</w:t>
      </w:r>
      <w:r w:rsidRPr="003F275F">
        <w:rPr>
          <w:rFonts w:ascii="Calibri" w:eastAsia="Calibri" w:hAnsi="Calibri" w:cs="Times New Roman"/>
        </w:rPr>
        <w:t xml:space="preserve"> taken in the Kimberley regions in Western Australia</w:t>
      </w:r>
    </w:p>
    <w:p w:rsidR="00E10728" w:rsidRDefault="00E10728">
      <w:pPr>
        <w:rPr>
          <w:rFonts w:ascii="Calibri" w:eastAsia="Calibri" w:hAnsi="Calibri" w:cs="Times New Roman"/>
        </w:rPr>
      </w:pPr>
      <w:r w:rsidRPr="003F275F">
        <w:rPr>
          <w:rFonts w:ascii="Calibri" w:eastAsia="Calibri" w:hAnsi="Calibri" w:cs="Times New Roman"/>
          <w:noProof/>
          <w:lang w:eastAsia="en-AU"/>
        </w:rPr>
        <w:lastRenderedPageBreak/>
        <w:drawing>
          <wp:inline distT="0" distB="0" distL="0" distR="0" wp14:anchorId="7A1AE0D6" wp14:editId="7A1AE0D7">
            <wp:extent cx="4294835" cy="3221127"/>
            <wp:effectExtent l="3493" t="0" r="0" b="0"/>
            <wp:docPr id="6" name="Picture 6" descr="Picture of house taken in the Kimberley regions in Western Australia" title="Picture of house taken in the Kimberley region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335849" cy="3251888"/>
                    </a:xfrm>
                    <a:prstGeom prst="rect">
                      <a:avLst/>
                    </a:prstGeom>
                  </pic:spPr>
                </pic:pic>
              </a:graphicData>
            </a:graphic>
          </wp:inline>
        </w:drawing>
      </w:r>
    </w:p>
    <w:p w:rsidR="00AF6C19" w:rsidRDefault="00E10728">
      <w:pPr>
        <w:rPr>
          <w:rFonts w:ascii="Calibri" w:eastAsia="Calibri" w:hAnsi="Calibri" w:cs="Times New Roman"/>
        </w:rPr>
      </w:pPr>
      <w:r>
        <w:rPr>
          <w:rFonts w:ascii="Calibri" w:eastAsia="Calibri" w:hAnsi="Calibri" w:cs="Times New Roman"/>
        </w:rPr>
        <w:t>Picture</w:t>
      </w:r>
      <w:r w:rsidR="00AF6C19" w:rsidRPr="003F275F">
        <w:rPr>
          <w:rFonts w:ascii="Calibri" w:eastAsia="Calibri" w:hAnsi="Calibri" w:cs="Times New Roman"/>
        </w:rPr>
        <w:t xml:space="preserve"> of house taken in the Kimberley regions in Western Australia</w:t>
      </w:r>
    </w:p>
    <w:p w:rsidR="0039151A" w:rsidRDefault="00AF6C19">
      <w:pPr>
        <w:rPr>
          <w:rFonts w:ascii="Calibri" w:eastAsia="Calibri" w:hAnsi="Calibri" w:cs="Times New Roman"/>
        </w:rPr>
      </w:pPr>
      <w:r w:rsidRPr="003F275F">
        <w:rPr>
          <w:rFonts w:ascii="Calibri" w:eastAsia="Calibri" w:hAnsi="Calibri" w:cs="Times New Roman"/>
          <w:noProof/>
          <w:lang w:eastAsia="en-AU"/>
        </w:rPr>
        <w:drawing>
          <wp:inline distT="0" distB="0" distL="0" distR="0" wp14:anchorId="7A1AE0D8" wp14:editId="7A1AE0D9">
            <wp:extent cx="4224668" cy="3168502"/>
            <wp:effectExtent l="0" t="0" r="4445" b="0"/>
            <wp:docPr id="7" name="Picture 7" descr="Picture of house taken in the Kimberley regions in Western Australia" title="Picture of house taken in the Kimberley region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3694" cy="3167772"/>
                    </a:xfrm>
                    <a:prstGeom prst="rect">
                      <a:avLst/>
                    </a:prstGeom>
                  </pic:spPr>
                </pic:pic>
              </a:graphicData>
            </a:graphic>
          </wp:inline>
        </w:drawing>
      </w:r>
      <w:r w:rsidR="0039151A">
        <w:rPr>
          <w:rFonts w:ascii="Calibri" w:eastAsia="Calibri" w:hAnsi="Calibri" w:cs="Times New Roman"/>
        </w:rPr>
        <w:br w:type="page"/>
      </w:r>
    </w:p>
    <w:p w:rsidR="003F275F" w:rsidRPr="003F275F" w:rsidRDefault="00B21A1D" w:rsidP="00222C59">
      <w:r w:rsidRPr="003F275F">
        <w:lastRenderedPageBreak/>
        <w:t xml:space="preserve">The Panel is aware that early in the program all </w:t>
      </w:r>
      <w:r w:rsidR="0004739C">
        <w:t>jurisdiction</w:t>
      </w:r>
      <w:r w:rsidRPr="003F275F">
        <w:t xml:space="preserve">s reported difficulties </w:t>
      </w:r>
      <w:r>
        <w:t>in achieving</w:t>
      </w:r>
      <w:r w:rsidRPr="003F275F">
        <w:t xml:space="preserve"> the right balance between quality builds, fast roll out and community engagement, resul</w:t>
      </w:r>
      <w:r>
        <w:t xml:space="preserve">ting in poorer quality houses. </w:t>
      </w:r>
      <w:r w:rsidRPr="003F275F">
        <w:t>The Panel is satisfied Queensland and the Northern Territory are now building good quality houses using mostly besser block, but more work needs to be done to improve amenity noting this would involve a higher build cost</w:t>
      </w:r>
      <w:r w:rsidR="003F275F" w:rsidRPr="003F275F">
        <w:t xml:space="preserve">. </w:t>
      </w:r>
    </w:p>
    <w:p w:rsidR="003F275F" w:rsidRPr="003F275F" w:rsidRDefault="00B21A1D" w:rsidP="00222C59">
      <w:r w:rsidRPr="003F275F">
        <w:t>South Australia is building good quality housing, primarily from BlueScope steel, which has good amenity and design. The Panel remains concerned about some instances of poor house design in Western Australia, including safety concerns in one community around properly bracing stilt houses</w:t>
      </w:r>
      <w:r w:rsidR="003F275F" w:rsidRPr="003F275F">
        <w:t xml:space="preserve">. </w:t>
      </w:r>
    </w:p>
    <w:p w:rsidR="003F275F" w:rsidRPr="00BD130B" w:rsidRDefault="003F275F" w:rsidP="00211750">
      <w:pPr>
        <w:pStyle w:val="H3"/>
      </w:pPr>
      <w:bookmarkStart w:id="219" w:name="_Toc477178095"/>
      <w:bookmarkStart w:id="220" w:name="_Toc477248734"/>
      <w:bookmarkStart w:id="221" w:name="_Toc477252720"/>
      <w:bookmarkStart w:id="222" w:name="_Toc490218706"/>
      <w:r w:rsidRPr="00BD130B">
        <w:t>Acceptance</w:t>
      </w:r>
      <w:r w:rsidR="00E8364F">
        <w:t xml:space="preserve"> and </w:t>
      </w:r>
      <w:r w:rsidRPr="00BD130B">
        <w:t>defect monitoring are key processes to ensure accountability for building quality</w:t>
      </w:r>
      <w:bookmarkEnd w:id="219"/>
      <w:bookmarkEnd w:id="220"/>
      <w:bookmarkEnd w:id="221"/>
      <w:bookmarkEnd w:id="222"/>
    </w:p>
    <w:p w:rsidR="003F275F" w:rsidRPr="003F275F" w:rsidRDefault="00B21A1D" w:rsidP="00222C59">
      <w:r w:rsidRPr="003F275F">
        <w:t>The Strategy requires that houses comply with Australian construction standards and the Nati</w:t>
      </w:r>
      <w:r>
        <w:t xml:space="preserve">onal Indigenous Housing Guide. </w:t>
      </w:r>
      <w:r w:rsidR="0004739C">
        <w:t>Jurisdiction</w:t>
      </w:r>
      <w:r w:rsidRPr="003F275F">
        <w:t>s advised their construction works meet the standards and that they have i</w:t>
      </w:r>
      <w:r>
        <w:t xml:space="preserve">ndependent sign off processes. </w:t>
      </w:r>
      <w:r w:rsidRPr="003F275F">
        <w:t>However, during consultations, community members and some service providers raised concerns that houses have not always met the standard and that some works were signed off by the builders responsible for the construction, instead of by independent parties</w:t>
      </w:r>
      <w:r w:rsidR="003F275F" w:rsidRPr="003F275F">
        <w:t xml:space="preserve">. </w:t>
      </w:r>
    </w:p>
    <w:p w:rsidR="003F275F" w:rsidRPr="003F275F" w:rsidRDefault="0004739C" w:rsidP="00222C59">
      <w:r>
        <w:t>Jurisdiction</w:t>
      </w:r>
      <w:r w:rsidR="00B21A1D" w:rsidRPr="003F275F">
        <w:t xml:space="preserve"> officials </w:t>
      </w:r>
      <w:r w:rsidR="00B21A1D">
        <w:t xml:space="preserve">discussed with the Panel </w:t>
      </w:r>
      <w:r w:rsidR="00B21A1D" w:rsidRPr="003F275F">
        <w:t xml:space="preserve">challenges </w:t>
      </w:r>
      <w:r w:rsidR="00B21A1D">
        <w:t>that arise from</w:t>
      </w:r>
      <w:r w:rsidR="00B21A1D" w:rsidRPr="003F275F">
        <w:t xml:space="preserve"> the necessity for a sign off of a more robust quality than set out in Australian standards, if houses are going to stand the test of time in remote Australia. The Panel found this discussion useful and is of the view that strong acceptance processes are required and that these need to be complemented by constant attention to project management, works supervision and </w:t>
      </w:r>
      <w:r w:rsidR="00B21A1D">
        <w:t xml:space="preserve">periodically </w:t>
      </w:r>
      <w:r w:rsidR="00B21A1D" w:rsidRPr="003F275F">
        <w:t xml:space="preserve">testing of housing resilience </w:t>
      </w:r>
      <w:r w:rsidR="00B21A1D">
        <w:t>post a</w:t>
      </w:r>
      <w:r w:rsidR="00B21A1D" w:rsidRPr="003F275F">
        <w:t>cceptance</w:t>
      </w:r>
      <w:r w:rsidR="003F275F" w:rsidRPr="003F275F">
        <w:t xml:space="preserve">. </w:t>
      </w:r>
    </w:p>
    <w:p w:rsidR="003F275F" w:rsidRPr="00BD130B" w:rsidRDefault="003F275F" w:rsidP="00211750">
      <w:pPr>
        <w:pStyle w:val="H3"/>
      </w:pPr>
      <w:bookmarkStart w:id="223" w:name="_Toc477178096"/>
      <w:bookmarkStart w:id="224" w:name="_Toc477248735"/>
      <w:bookmarkStart w:id="225" w:name="_Toc477252721"/>
      <w:bookmarkStart w:id="226" w:name="_Toc490218707"/>
      <w:r w:rsidRPr="00BD130B">
        <w:t xml:space="preserve">The introduction of a two year competitive bids process led to undesirable, </w:t>
      </w:r>
      <w:r w:rsidR="00622CC3">
        <w:t>and</w:t>
      </w:r>
      <w:r w:rsidRPr="00BD130B">
        <w:t xml:space="preserve"> unintended, consequences</w:t>
      </w:r>
      <w:bookmarkEnd w:id="223"/>
      <w:bookmarkEnd w:id="224"/>
      <w:bookmarkEnd w:id="225"/>
      <w:bookmarkEnd w:id="226"/>
    </w:p>
    <w:p w:rsidR="003F275F" w:rsidRPr="003F275F" w:rsidRDefault="00B21A1D" w:rsidP="00222C59">
      <w:r w:rsidRPr="003F275F">
        <w:t>The Commonwealth introduced a Competitive Bids Process from 2010</w:t>
      </w:r>
      <w:r>
        <w:t xml:space="preserve"> to ensure targets were met and improve value for money</w:t>
      </w:r>
      <w:r w:rsidRPr="003F275F">
        <w:t xml:space="preserve">. Under this process, every two years, </w:t>
      </w:r>
      <w:r w:rsidR="0004739C">
        <w:t>jurisdiction</w:t>
      </w:r>
      <w:r w:rsidRPr="003F275F">
        <w:t xml:space="preserve">s set capital works plans and targets covering need, design and value for money. The capital works plans needed to be negotiated and approved by the Commonwealth which took a long time and impacted on </w:t>
      </w:r>
      <w:r w:rsidR="0004739C">
        <w:t>jurisdiction</w:t>
      </w:r>
      <w:r w:rsidRPr="003F275F">
        <w:t>s’ ability to deliver. Milestones were s</w:t>
      </w:r>
      <w:r>
        <w:t>et for each two-year period. If </w:t>
      </w:r>
      <w:r w:rsidRPr="003F275F">
        <w:t xml:space="preserve">a </w:t>
      </w:r>
      <w:r w:rsidR="0004739C">
        <w:t>jurisdiction</w:t>
      </w:r>
      <w:r w:rsidRPr="003F275F">
        <w:t xml:space="preserve"> failed to meet a milestone, the Commonwealth could withhold payment until it was met. If a </w:t>
      </w:r>
      <w:r w:rsidR="0004739C">
        <w:t>jurisdiction</w:t>
      </w:r>
      <w:r w:rsidRPr="003F275F">
        <w:t xml:space="preserve"> did not meet its two-year milestone, the Commonwealth could apply a financial penalty of up to 25 per cent of funds</w:t>
      </w:r>
      <w:r w:rsidR="003F275F" w:rsidRPr="003F275F">
        <w:t xml:space="preserve">. </w:t>
      </w:r>
    </w:p>
    <w:p w:rsidR="003F275F" w:rsidRPr="003F275F" w:rsidRDefault="00B21A1D" w:rsidP="00222C59">
      <w:r w:rsidRPr="003F275F">
        <w:lastRenderedPageBreak/>
        <w:t xml:space="preserve">This policy change introduced a process which was complex and lengthy – and distracted officials from delivery and sharing best practice – and had unintended consequences such as incentivising </w:t>
      </w:r>
      <w:r w:rsidR="0004739C">
        <w:t>jurisdiction</w:t>
      </w:r>
      <w:r w:rsidRPr="003F275F">
        <w:t>s to rush to meet end of financial year deadlines and achieve targets</w:t>
      </w:r>
      <w:r w:rsidR="003F275F" w:rsidRPr="003F275F">
        <w:t xml:space="preserve">. </w:t>
      </w:r>
    </w:p>
    <w:p w:rsidR="003F275F" w:rsidRPr="003F275F" w:rsidRDefault="003F275F" w:rsidP="00222C59">
      <w:r w:rsidRPr="003F275F">
        <w:t xml:space="preserve">Queensland officials advised </w:t>
      </w:r>
      <w:r w:rsidRPr="003F275F">
        <w:rPr>
          <w:i/>
        </w:rPr>
        <w:t xml:space="preserve">‘it takes a lead time of two years to undertake consultation with communities, undertake programming and planning, meet legislative requirements and undertake land subdivisions works ahead of housing construction commencing. The requirement to bid for capital works every two years has resulted in a stop/start on the ground delivery program tied to Commonwealth and </w:t>
      </w:r>
      <w:r w:rsidR="001230FD">
        <w:rPr>
          <w:i/>
        </w:rPr>
        <w:t>state</w:t>
      </w:r>
      <w:r w:rsidRPr="003F275F">
        <w:rPr>
          <w:i/>
        </w:rPr>
        <w:t xml:space="preserve"> approvals. To reduce this impact, Queensland adopted a rolling program of works for new constructions and took on liability for starting additional projects ahead of receiving approval for the next two-year period of works</w:t>
      </w:r>
      <w:r w:rsidRPr="003F275F">
        <w:t>.’</w:t>
      </w:r>
    </w:p>
    <w:p w:rsidR="003F275F" w:rsidRPr="003F275F" w:rsidRDefault="003F275F" w:rsidP="00222C59">
      <w:r w:rsidRPr="003F275F">
        <w:t>South Australian officials stated ‘</w:t>
      </w:r>
      <w:r w:rsidRPr="003F275F">
        <w:rPr>
          <w:i/>
        </w:rPr>
        <w:t>reduced construction time frames are further compounded by the inherent nature of delivery in very remote locations. Allowing appropriate time frames for lead in and pre-construction planning will allow for contingency planning for seasonal impacts i.e. cultural business, community closures, local employee availability and high heat (&gt;47°C during summer months). The current bid process and funding model has resulted in construction start up over December to February, where building is slowed due to the above issues</w:t>
      </w:r>
      <w:r w:rsidRPr="003F275F">
        <w:t>.’</w:t>
      </w:r>
    </w:p>
    <w:p w:rsidR="003F275F" w:rsidRPr="00DC00B6" w:rsidRDefault="003F275F" w:rsidP="00211750">
      <w:pPr>
        <w:pStyle w:val="H4"/>
      </w:pPr>
      <w:bookmarkStart w:id="227" w:name="_Toc477178097"/>
      <w:bookmarkStart w:id="228" w:name="_Toc477248736"/>
      <w:bookmarkStart w:id="229" w:name="_Toc477252722"/>
      <w:r w:rsidRPr="00DC00B6">
        <w:t>Short timeframes impacted on quality delivery</w:t>
      </w:r>
      <w:bookmarkEnd w:id="227"/>
      <w:bookmarkEnd w:id="228"/>
      <w:bookmarkEnd w:id="229"/>
    </w:p>
    <w:p w:rsidR="003F275F" w:rsidRPr="003F275F" w:rsidRDefault="00B21A1D" w:rsidP="00222C59">
      <w:r w:rsidRPr="003F275F">
        <w:t>Policy change attempted to increase the number of houses delivered, but pressure to deliver in shorter timeframes resulted in the delivery of poor quality houses. For example, on Palm Island, off</w:t>
      </w:r>
      <w:r w:rsidRPr="003F275F">
        <w:noBreakHyphen/>
        <w:t>site flat pack houses were shipped to construction sites in place of on-site builds. During the Panel’s visit to Palm Island, community members noted this was a poor result because they were of worse quality and were not suited to the conditions of the land</w:t>
      </w:r>
      <w:r w:rsidR="003F275F" w:rsidRPr="003F275F">
        <w:t xml:space="preserve">. </w:t>
      </w:r>
    </w:p>
    <w:p w:rsidR="003F275F" w:rsidRPr="003F275F" w:rsidRDefault="00B21A1D" w:rsidP="00222C59">
      <w:r w:rsidRPr="003F275F">
        <w:t xml:space="preserve">Similarly, </w:t>
      </w:r>
      <w:r>
        <w:t>New South Wales</w:t>
      </w:r>
      <w:r w:rsidRPr="003F275F">
        <w:t xml:space="preserve"> reported that the imposed time constraints overwhelmed the ability to plan </w:t>
      </w:r>
      <w:r>
        <w:t>its</w:t>
      </w:r>
      <w:r w:rsidRPr="003F275F">
        <w:t xml:space="preserve"> investment. The rush to meet housing targets to secure funding meant that old housing stock was purchased to fulfil targets, reducing </w:t>
      </w:r>
      <w:r>
        <w:t>its</w:t>
      </w:r>
      <w:r w:rsidRPr="003F275F">
        <w:t xml:space="preserve"> ability to increase housing supply. </w:t>
      </w:r>
      <w:r w:rsidR="0004739C">
        <w:t>Jurisdiction</w:t>
      </w:r>
      <w:r w:rsidRPr="003F275F">
        <w:t xml:space="preserve"> governments reported the inability to engage in longer term contracts, limited flexibility and the stop start program impacted their ability to achieve value for money</w:t>
      </w:r>
      <w:r w:rsidR="003F275F" w:rsidRPr="003F275F">
        <w:t xml:space="preserve">. </w:t>
      </w:r>
    </w:p>
    <w:p w:rsidR="003F275F" w:rsidRPr="00BD130B" w:rsidRDefault="003F275F" w:rsidP="00211750">
      <w:pPr>
        <w:pStyle w:val="H3"/>
      </w:pPr>
      <w:bookmarkStart w:id="230" w:name="_Toc477178098"/>
      <w:bookmarkStart w:id="231" w:name="_Toc477248737"/>
      <w:bookmarkStart w:id="232" w:name="_Toc477252723"/>
      <w:bookmarkStart w:id="233" w:name="_Toc490218708"/>
      <w:r w:rsidRPr="00BD130B">
        <w:t>Local engagement, when done well, delivers better housing</w:t>
      </w:r>
      <w:bookmarkEnd w:id="230"/>
      <w:bookmarkEnd w:id="231"/>
      <w:bookmarkEnd w:id="232"/>
      <w:bookmarkEnd w:id="233"/>
    </w:p>
    <w:p w:rsidR="003F275F" w:rsidRPr="003F275F" w:rsidRDefault="00B21A1D" w:rsidP="00222C59">
      <w:bookmarkStart w:id="234" w:name="_Toc476644169"/>
      <w:bookmarkStart w:id="235" w:name="_Toc476650862"/>
      <w:bookmarkStart w:id="236" w:name="_Toc476658522"/>
      <w:bookmarkStart w:id="237" w:name="_Toc476659225"/>
      <w:bookmarkStart w:id="238" w:name="_Toc476661031"/>
      <w:bookmarkStart w:id="239" w:name="_Toc476663427"/>
      <w:bookmarkStart w:id="240" w:name="_Toc476669869"/>
      <w:bookmarkStart w:id="241" w:name="_Toc476665884"/>
      <w:bookmarkStart w:id="242" w:name="_Toc476671359"/>
      <w:bookmarkStart w:id="243" w:name="_Toc476676517"/>
      <w:bookmarkStart w:id="244" w:name="_Toc476677799"/>
      <w:bookmarkStart w:id="245" w:name="_Toc476678233"/>
      <w:r w:rsidRPr="003F275F">
        <w:t>Housing has worked best where local government is actively involved. In Queensland, local councils take on many of the building, and repairs and maintenance works. Councils were able to design houses to better meet the needs of communities and negotiate with the Queensland Government around build prices and additions. One council was building carports attached to the house, which could easily be transformed into an additional bedroom if the families grew</w:t>
      </w:r>
      <w:r w:rsidR="003F275F" w:rsidRPr="003F275F">
        <w:t xml:space="preserve">. </w:t>
      </w:r>
    </w:p>
    <w:p w:rsidR="003F275F" w:rsidRPr="003F275F" w:rsidRDefault="003F275F" w:rsidP="00222C59">
      <w:r w:rsidRPr="003F275F">
        <w:t>There needs to be sufficient flexibility within the program to support follow up of engagement at the local level. The Northern Territory Government advised ‘</w:t>
      </w:r>
      <w:r w:rsidRPr="003F275F">
        <w:rPr>
          <w:i/>
        </w:rPr>
        <w:t xml:space="preserve">targets need to be flexible so the </w:t>
      </w:r>
      <w:r w:rsidR="001230FD">
        <w:rPr>
          <w:i/>
        </w:rPr>
        <w:t>state</w:t>
      </w:r>
      <w:r w:rsidR="00954BA7">
        <w:rPr>
          <w:i/>
        </w:rPr>
        <w:t xml:space="preserve">s </w:t>
      </w:r>
      <w:r w:rsidRPr="003F275F">
        <w:rPr>
          <w:i/>
        </w:rPr>
        <w:lastRenderedPageBreak/>
        <w:t>can manage changes between communities at the program level and within a community to get best for community and program value for money outcomes</w:t>
      </w:r>
      <w:r w:rsidRPr="003F275F">
        <w:t>.’</w:t>
      </w:r>
    </w:p>
    <w:p w:rsidR="00B21A1D" w:rsidRPr="003F275F" w:rsidRDefault="00B21A1D" w:rsidP="00B21A1D">
      <w:r w:rsidRPr="003F275F">
        <w:t xml:space="preserve">During consultations some communities expressed frustration that they were unable to influence decisions about the number of bedrooms in the houses, which were primarily influenced by the housing targets and budgets for delivery. </w:t>
      </w:r>
      <w:r w:rsidR="0004739C">
        <w:t>Jurisdiction</w:t>
      </w:r>
      <w:r w:rsidRPr="003F275F">
        <w:t xml:space="preserve">s viewed that the Commonwealth imposed inflexibility by not defining certain build types, such as extensions and granny flats, as new builds. </w:t>
      </w:r>
    </w:p>
    <w:p w:rsidR="003F275F" w:rsidRPr="003F275F" w:rsidRDefault="00B21A1D" w:rsidP="00B21A1D">
      <w:r w:rsidRPr="003F275F">
        <w:t>The Panel also notes that engagement needs to be balanced against costs and the quality of delivery. In past practice there were examples of gross inefficiencies. For example through the Indigenous Housing Authority of the Northern Territory [1995-2005], consultations with local communities resulted in some 27 different housing designs that became too expensive to build. Similar problems were reported with SIHIP</w:t>
      </w:r>
      <w:r w:rsidR="003F275F" w:rsidRPr="003F275F">
        <w:t>.</w:t>
      </w:r>
    </w:p>
    <w:p w:rsidR="003F275F" w:rsidRDefault="003F275F" w:rsidP="00222C59">
      <w:r w:rsidRPr="003F275F">
        <w:t xml:space="preserve">There are many examples of effective community consultation in the design process however, which has </w:t>
      </w:r>
      <w:r w:rsidR="000E799E">
        <w:t>achieved the right balance</w:t>
      </w:r>
      <w:r w:rsidR="006144D7">
        <w:t>.</w:t>
      </w:r>
    </w:p>
    <w:tbl>
      <w:tblPr>
        <w:tblStyle w:val="TableGrid"/>
        <w:tblW w:w="0" w:type="auto"/>
        <w:tblLook w:val="04A0" w:firstRow="1" w:lastRow="0" w:firstColumn="1" w:lastColumn="0" w:noHBand="0" w:noVBand="1"/>
      </w:tblPr>
      <w:tblGrid>
        <w:gridCol w:w="8947"/>
      </w:tblGrid>
      <w:tr w:rsidR="00DD7426" w:rsidTr="00DD7426">
        <w:tc>
          <w:tcPr>
            <w:tcW w:w="9173" w:type="dxa"/>
          </w:tcPr>
          <w:p w:rsidR="00DD7426" w:rsidRPr="00222C59" w:rsidRDefault="00DD7426" w:rsidP="00DD7426">
            <w:pPr>
              <w:pBdr>
                <w:top w:val="single" w:sz="4" w:space="1" w:color="auto"/>
                <w:left w:val="single" w:sz="4" w:space="4" w:color="auto"/>
                <w:bottom w:val="single" w:sz="4" w:space="1" w:color="auto"/>
                <w:right w:val="single" w:sz="4" w:space="4" w:color="auto"/>
              </w:pBdr>
              <w:rPr>
                <w:b/>
              </w:rPr>
            </w:pPr>
            <w:r w:rsidRPr="00222C59">
              <w:rPr>
                <w:b/>
              </w:rPr>
              <w:t>Box 4</w:t>
            </w:r>
            <w:r>
              <w:rPr>
                <w:b/>
              </w:rPr>
              <w:t>.5</w:t>
            </w:r>
            <w:r w:rsidRPr="00222C59">
              <w:rPr>
                <w:b/>
              </w:rPr>
              <w:t xml:space="preserve">: Community engagement in Normanton, North West Queensland </w:t>
            </w:r>
          </w:p>
          <w:p w:rsidR="00DD7426" w:rsidRDefault="00DD7426" w:rsidP="00DD7426">
            <w:pPr>
              <w:pBdr>
                <w:top w:val="single" w:sz="4" w:space="1" w:color="auto"/>
                <w:left w:val="single" w:sz="4" w:space="4" w:color="auto"/>
                <w:bottom w:val="single" w:sz="4" w:space="1" w:color="auto"/>
                <w:right w:val="single" w:sz="4" w:space="4" w:color="auto"/>
              </w:pBdr>
            </w:pPr>
            <w:r w:rsidRPr="003F275F">
              <w:t>An alternative method of community consultation was used in the town of Normanton. Match stick models were used in consultation</w:t>
            </w:r>
            <w:r>
              <w:t>s</w:t>
            </w:r>
            <w:r w:rsidRPr="003F275F">
              <w:t xml:space="preserve"> to simply demonstrate the housing design. Community members could easily see what houses would look like. They were able to readily move fittings within the house, adapting it to community needs and wants. This method of conducting design consultation turned out to be extremely effective. Community members felt they were more engaged in the process and had input into the project. This method also sped up consultations which reduced costs in the long-term. </w:t>
            </w:r>
          </w:p>
        </w:tc>
      </w:tr>
    </w:tbl>
    <w:p w:rsidR="003F275F" w:rsidRPr="00BD130B" w:rsidRDefault="003424AE" w:rsidP="00211750">
      <w:pPr>
        <w:pStyle w:val="H3"/>
      </w:pPr>
      <w:bookmarkStart w:id="246" w:name="_Toc477178099"/>
      <w:bookmarkStart w:id="247" w:name="_Toc477248738"/>
      <w:bookmarkStart w:id="248" w:name="_Toc477252724"/>
      <w:bookmarkStart w:id="249" w:name="_Toc490218709"/>
      <w:r>
        <w:t>T</w:t>
      </w:r>
      <w:r w:rsidR="003F275F" w:rsidRPr="00BD130B">
        <w:t>he Strategy also buil</w:t>
      </w:r>
      <w:r>
        <w:t>t</w:t>
      </w:r>
      <w:r w:rsidR="003F275F" w:rsidRPr="00BD130B">
        <w:t xml:space="preserve"> accommodation to support employment and education outside remote communities</w:t>
      </w:r>
      <w:bookmarkEnd w:id="246"/>
      <w:bookmarkEnd w:id="247"/>
      <w:bookmarkEnd w:id="248"/>
      <w:bookmarkEnd w:id="249"/>
      <w:r w:rsidR="003F275F" w:rsidRPr="00BD130B">
        <w:t xml:space="preserve"> </w:t>
      </w:r>
    </w:p>
    <w:p w:rsidR="003F275F" w:rsidRPr="0093744D" w:rsidRDefault="00B21A1D" w:rsidP="00222C59">
      <w:r w:rsidRPr="0093744D">
        <w:t xml:space="preserve">The Commonwealth allocated a portion of funding under the Strategy to support people from remote communities to access accommodation for training, education, employment and support purposes (known as employment and education related accommodation or ERA). At 30 June 2016, the Strategy had spent $124.316 million on ERA and will provide a further $73.723 million over the two years to 30 June 2018. </w:t>
      </w:r>
      <w:r>
        <w:t xml:space="preserve">At 30 June 2016, </w:t>
      </w:r>
      <w:r w:rsidRPr="0093744D">
        <w:t>funding has delivered eight hostels and 165 houses</w:t>
      </w:r>
      <w:r w:rsidR="003F275F" w:rsidRPr="0093744D">
        <w:t xml:space="preserve">. </w:t>
      </w:r>
    </w:p>
    <w:p w:rsidR="003F275F" w:rsidRPr="0093744D" w:rsidRDefault="00B21A1D" w:rsidP="00222C59">
      <w:r w:rsidRPr="0093744D">
        <w:t xml:space="preserve">The Commonwealth provides funding for the capital works and </w:t>
      </w:r>
      <w:r w:rsidR="0004739C">
        <w:t>jurisdiction</w:t>
      </w:r>
      <w:r w:rsidRPr="0093744D">
        <w:t>s fund the ongoing operation of the facilities</w:t>
      </w:r>
      <w:r>
        <w:t>,</w:t>
      </w:r>
      <w:r w:rsidRPr="0093744D">
        <w:t xml:space="preserve"> including support staff. In South Australia’s 41 houses (118 bedrooms), there are currently 108 participants engaged in a variety of opportunities including vocational and educational training, health, community and housing services, hospitality</w:t>
      </w:r>
      <w:r>
        <w:t>,</w:t>
      </w:r>
      <w:r w:rsidRPr="0093744D">
        <w:t xml:space="preserve"> civil works, construction and mining</w:t>
      </w:r>
      <w:r>
        <w:t>,</w:t>
      </w:r>
      <w:r w:rsidRPr="0093744D">
        <w:t xml:space="preserve"> and administration</w:t>
      </w:r>
      <w:r w:rsidR="003F275F" w:rsidRPr="0093744D">
        <w:t xml:space="preserve">. </w:t>
      </w:r>
    </w:p>
    <w:p w:rsidR="003F275F" w:rsidRPr="0093744D" w:rsidRDefault="00B21A1D" w:rsidP="00222C59">
      <w:r w:rsidRPr="0093744D">
        <w:lastRenderedPageBreak/>
        <w:t>There was positive feedback during consultations about the program including that it works best where there is a high level of support for residents, not only to achieve their employment and training goals, but in developing skills to move into the broader housing market</w:t>
      </w:r>
      <w:r w:rsidR="003F275F" w:rsidRPr="0093744D">
        <w:t xml:space="preserve">. </w:t>
      </w:r>
    </w:p>
    <w:p w:rsidR="003F275F" w:rsidRPr="00BD130B" w:rsidRDefault="003F275F" w:rsidP="00211750">
      <w:pPr>
        <w:pStyle w:val="H3"/>
      </w:pPr>
      <w:bookmarkStart w:id="250" w:name="_Toc477178100"/>
      <w:bookmarkStart w:id="251" w:name="_Toc477248739"/>
      <w:bookmarkStart w:id="252" w:name="_Toc477252725"/>
      <w:bookmarkStart w:id="253" w:name="_Toc490218710"/>
      <w:r w:rsidRPr="00BD130B">
        <w:t>Proper planning of land and infrastructure is essential</w:t>
      </w:r>
      <w:bookmarkEnd w:id="250"/>
      <w:bookmarkEnd w:id="251"/>
      <w:bookmarkEnd w:id="252"/>
      <w:bookmarkEnd w:id="253"/>
      <w:r w:rsidRPr="00BD130B">
        <w:t xml:space="preserve"> </w:t>
      </w:r>
    </w:p>
    <w:p w:rsidR="003F275F" w:rsidRPr="003F275F" w:rsidRDefault="00B21A1D" w:rsidP="00222C59">
      <w:r w:rsidRPr="003F275F">
        <w:t>Before building can happen land must be secured and consideration</w:t>
      </w:r>
      <w:r>
        <w:t xml:space="preserve"> given to the availability and/</w:t>
      </w:r>
      <w:r w:rsidRPr="003F275F">
        <w:t>or need for essential infrastructure such as water storage facilities, sewage ponds, underground water stations and pipes, sewer pump stations, roads and drainage</w:t>
      </w:r>
      <w:r w:rsidR="003F275F" w:rsidRPr="003F275F">
        <w:t>.</w:t>
      </w:r>
    </w:p>
    <w:p w:rsidR="003F275F" w:rsidRPr="00DC00B6" w:rsidRDefault="003F275F" w:rsidP="00211750">
      <w:pPr>
        <w:pStyle w:val="H4"/>
      </w:pPr>
      <w:bookmarkStart w:id="254" w:name="_Toc477178101"/>
      <w:bookmarkStart w:id="255" w:name="_Toc477248740"/>
      <w:bookmarkStart w:id="256" w:name="_Toc477252726"/>
      <w:r w:rsidRPr="00DC00B6">
        <w:t>There were positive infrastructure outcomes under the Strategy</w:t>
      </w:r>
      <w:bookmarkEnd w:id="254"/>
      <w:bookmarkEnd w:id="255"/>
      <w:bookmarkEnd w:id="256"/>
      <w:r w:rsidRPr="00DC00B6">
        <w:t xml:space="preserve"> </w:t>
      </w:r>
    </w:p>
    <w:p w:rsidR="003F275F" w:rsidRPr="003F275F" w:rsidRDefault="00B21A1D" w:rsidP="00222C59">
      <w:r w:rsidRPr="003F275F">
        <w:t>During the Strategy</w:t>
      </w:r>
      <w:r>
        <w:t>,</w:t>
      </w:r>
      <w:r w:rsidRPr="003F275F">
        <w:t xml:space="preserve"> cadastral surveys were completed in many communities creating land boundaries, enabling leases for home ownership as well as mapping out community infrastructure</w:t>
      </w:r>
      <w:r>
        <w:t>.</w:t>
      </w:r>
      <w:r w:rsidRPr="003F275F">
        <w:t xml:space="preserve"> </w:t>
      </w:r>
      <w:r>
        <w:t>T</w:t>
      </w:r>
      <w:r w:rsidRPr="003F275F">
        <w:t>his did not happen everywhere</w:t>
      </w:r>
      <w:r w:rsidR="003F275F" w:rsidRPr="003F275F">
        <w:t xml:space="preserve">. </w:t>
      </w:r>
    </w:p>
    <w:p w:rsidR="003F275F" w:rsidRPr="003F275F" w:rsidRDefault="00B21A1D" w:rsidP="00222C59">
      <w:r w:rsidRPr="003F275F">
        <w:t xml:space="preserve">Some </w:t>
      </w:r>
      <w:r w:rsidR="0004739C">
        <w:t>jurisdiction</w:t>
      </w:r>
      <w:r w:rsidRPr="003F275F">
        <w:t>s report good planning</w:t>
      </w:r>
      <w:r>
        <w:t>. F</w:t>
      </w:r>
      <w:r w:rsidRPr="003F275F">
        <w:t>or example, the Northern Territory Government reports it has secured over 1,000 parcels of land for leases over infrastructure and cadastral surveys have been created for 50 remote communities. Queensland officials state it has adopted land use planning schemes as a statutory framework for community growth in 14 local government areas, identifying areas suitable for urban development</w:t>
      </w:r>
      <w:r w:rsidR="003F275F" w:rsidRPr="003F275F">
        <w:t xml:space="preserve">. </w:t>
      </w:r>
    </w:p>
    <w:p w:rsidR="003F275F" w:rsidRPr="00DC00B6" w:rsidRDefault="003F275F" w:rsidP="00211750">
      <w:pPr>
        <w:pStyle w:val="H4"/>
      </w:pPr>
      <w:bookmarkStart w:id="257" w:name="_Toc477178102"/>
      <w:bookmarkStart w:id="258" w:name="_Toc477248741"/>
      <w:bookmarkStart w:id="259" w:name="_Toc477252727"/>
      <w:r w:rsidRPr="00DC00B6">
        <w:t>There were also poor results and</w:t>
      </w:r>
      <w:r w:rsidR="00C111EA">
        <w:t>,</w:t>
      </w:r>
      <w:r w:rsidRPr="00DC00B6">
        <w:t xml:space="preserve"> early in the </w:t>
      </w:r>
      <w:r w:rsidR="005D7085">
        <w:t>Strategy</w:t>
      </w:r>
      <w:r w:rsidR="00C111EA">
        <w:t>,</w:t>
      </w:r>
      <w:r w:rsidRPr="00DC00B6">
        <w:t xml:space="preserve"> there were significant </w:t>
      </w:r>
      <w:r w:rsidR="00222C59" w:rsidRPr="00DC00B6">
        <w:t>missteps</w:t>
      </w:r>
      <w:bookmarkEnd w:id="257"/>
      <w:bookmarkEnd w:id="258"/>
      <w:bookmarkEnd w:id="259"/>
      <w:r w:rsidRPr="00DC00B6">
        <w:t xml:space="preserve"> </w:t>
      </w:r>
    </w:p>
    <w:bookmarkEnd w:id="234"/>
    <w:bookmarkEnd w:id="235"/>
    <w:bookmarkEnd w:id="236"/>
    <w:bookmarkEnd w:id="237"/>
    <w:bookmarkEnd w:id="238"/>
    <w:bookmarkEnd w:id="239"/>
    <w:bookmarkEnd w:id="240"/>
    <w:bookmarkEnd w:id="241"/>
    <w:bookmarkEnd w:id="242"/>
    <w:bookmarkEnd w:id="243"/>
    <w:bookmarkEnd w:id="244"/>
    <w:bookmarkEnd w:id="245"/>
    <w:p w:rsidR="003F275F" w:rsidRPr="003F275F" w:rsidRDefault="00C871C2" w:rsidP="00222C59">
      <w:r w:rsidRPr="003F275F">
        <w:t xml:space="preserve">There were also cases of poor placement of houses and overly large block sizes impeding future community </w:t>
      </w:r>
      <w:r>
        <w:t xml:space="preserve">growth. During consultations in </w:t>
      </w:r>
      <w:r w:rsidRPr="003F275F">
        <w:t>Looma</w:t>
      </w:r>
      <w:r>
        <w:t>,</w:t>
      </w:r>
      <w:r w:rsidRPr="003F275F">
        <w:t xml:space="preserve"> Western Australia, the community council was concerned there was no available land left to build on, as the only vacant land was on a flood plain</w:t>
      </w:r>
      <w:r w:rsidR="003F275F" w:rsidRPr="003F275F">
        <w:t xml:space="preserve">. </w:t>
      </w:r>
    </w:p>
    <w:p w:rsidR="003F275F" w:rsidRPr="003F275F" w:rsidRDefault="00C871C2" w:rsidP="00222C59">
      <w:r w:rsidRPr="003F275F">
        <w:t>The Panel also heard evidence that early in the program</w:t>
      </w:r>
      <w:r>
        <w:t>,</w:t>
      </w:r>
      <w:r w:rsidRPr="003F275F">
        <w:t xml:space="preserve"> pressure to deliver houses led to poor coordination with infrastructure departments. For example</w:t>
      </w:r>
      <w:r>
        <w:t>, the Panel was told by officials from more than one agency that</w:t>
      </w:r>
      <w:r w:rsidRPr="003F275F">
        <w:t xml:space="preserve"> when there was strong political pressure to deliver substantial numbers of new houses </w:t>
      </w:r>
      <w:r>
        <w:t xml:space="preserve">early in the Strategy. </w:t>
      </w:r>
      <w:r w:rsidRPr="003F275F">
        <w:t xml:space="preserve">South Australian houses were built in a community which the </w:t>
      </w:r>
      <w:r w:rsidR="0004739C">
        <w:t>jurisdiction</w:t>
      </w:r>
      <w:r w:rsidRPr="003F275F">
        <w:t>’s water authority had advised had little access to additional water supply without significant expense</w:t>
      </w:r>
      <w:r w:rsidR="003F275F" w:rsidRPr="003F275F">
        <w:t xml:space="preserve">. </w:t>
      </w:r>
    </w:p>
    <w:p w:rsidR="003F275F" w:rsidRPr="003F275F" w:rsidRDefault="00C871C2" w:rsidP="00222C59">
      <w:r>
        <w:t xml:space="preserve">This was clearly a difficult experience for many involved in the long-term administration of remote infrastructure and housing programs. </w:t>
      </w:r>
      <w:r w:rsidRPr="003F275F">
        <w:t>The Panel was assured that planning processes across their governments had improved by mid-way through the program, with much better examples offered</w:t>
      </w:r>
      <w:r w:rsidR="003F275F" w:rsidRPr="003F275F">
        <w:t>.</w:t>
      </w:r>
    </w:p>
    <w:p w:rsidR="003F275F" w:rsidRPr="00DC00B6" w:rsidRDefault="003F275F" w:rsidP="00211750">
      <w:pPr>
        <w:pStyle w:val="H4"/>
      </w:pPr>
      <w:bookmarkStart w:id="260" w:name="_Toc477178103"/>
      <w:bookmarkStart w:id="261" w:name="_Toc477248742"/>
      <w:bookmarkStart w:id="262" w:name="_Toc477252728"/>
      <w:r w:rsidRPr="00DC00B6">
        <w:lastRenderedPageBreak/>
        <w:t>Implementation depends on essential infrastructure but there was no funding plan</w:t>
      </w:r>
      <w:bookmarkEnd w:id="260"/>
      <w:bookmarkEnd w:id="261"/>
      <w:bookmarkEnd w:id="262"/>
      <w:r w:rsidRPr="00DC00B6">
        <w:t xml:space="preserve"> </w:t>
      </w:r>
    </w:p>
    <w:p w:rsidR="003F275F" w:rsidRPr="003F275F" w:rsidRDefault="003F275F" w:rsidP="00222C59">
      <w:r w:rsidRPr="003F275F">
        <w:t>In some cases, such as in the Northern Territory</w:t>
      </w:r>
      <w:r w:rsidR="00E8364F">
        <w:t>, the lack of essential infrastructure for housing</w:t>
      </w:r>
      <w:r w:rsidRPr="003F275F">
        <w:t xml:space="preserve"> resulted in demolition of buildings in order to use existing serviced lots, which presented a cost saving in comparison to servicing new land which was estimated</w:t>
      </w:r>
      <w:r w:rsidR="006F7715">
        <w:t xml:space="preserve"> to be $250,000 to $300,000 per </w:t>
      </w:r>
      <w:r w:rsidRPr="003F275F">
        <w:t>lot.</w:t>
      </w:r>
    </w:p>
    <w:p w:rsidR="003F275F" w:rsidRPr="003F275F" w:rsidRDefault="003F275F" w:rsidP="00222C59">
      <w:r w:rsidRPr="003F275F">
        <w:t xml:space="preserve">During the Strategy the Commonwealth and </w:t>
      </w:r>
      <w:r w:rsidR="0004739C">
        <w:t>jurisdiction</w:t>
      </w:r>
      <w:r w:rsidRPr="003F275F">
        <w:t xml:space="preserve">s </w:t>
      </w:r>
      <w:r w:rsidR="00B43EE1">
        <w:t xml:space="preserve">have </w:t>
      </w:r>
      <w:r w:rsidRPr="003F275F">
        <w:t xml:space="preserve">reached agreement to fund critical infrastructure, in some cases by sharing costs between the Strategy and </w:t>
      </w:r>
      <w:r w:rsidR="0004739C">
        <w:t>jurisdiction</w:t>
      </w:r>
      <w:r w:rsidRPr="003F275F">
        <w:t xml:space="preserve"> funds. </w:t>
      </w:r>
    </w:p>
    <w:p w:rsidR="003F275F" w:rsidRPr="00222C59" w:rsidRDefault="003F275F" w:rsidP="00222C59">
      <w:r w:rsidRPr="003F275F">
        <w:t>The lessons learned about the need to plan for infrastructure must inform future housing programs.</w:t>
      </w:r>
    </w:p>
    <w:p w:rsidR="003F275F" w:rsidRPr="00BD130B" w:rsidRDefault="003F275F" w:rsidP="00211750">
      <w:pPr>
        <w:pStyle w:val="H3"/>
      </w:pPr>
      <w:bookmarkStart w:id="263" w:name="_Toc477178104"/>
      <w:bookmarkStart w:id="264" w:name="_Toc477248743"/>
      <w:bookmarkStart w:id="265" w:name="_Toc477252729"/>
      <w:bookmarkStart w:id="266" w:name="_Toc490218711"/>
      <w:r w:rsidRPr="00BD130B">
        <w:t>There are challenges with the availability of serviced land for the future</w:t>
      </w:r>
      <w:bookmarkEnd w:id="263"/>
      <w:bookmarkEnd w:id="264"/>
      <w:bookmarkEnd w:id="265"/>
      <w:bookmarkEnd w:id="266"/>
      <w:r w:rsidRPr="00BD130B">
        <w:t xml:space="preserve"> </w:t>
      </w:r>
    </w:p>
    <w:p w:rsidR="00C871C2" w:rsidRPr="003F275F" w:rsidRDefault="00C871C2" w:rsidP="00C871C2">
      <w:r w:rsidRPr="003F275F">
        <w:t xml:space="preserve">There are already indications of limited capacity in most </w:t>
      </w:r>
      <w:r w:rsidR="0004739C">
        <w:t>jurisdiction</w:t>
      </w:r>
      <w:r w:rsidRPr="003F275F">
        <w:t xml:space="preserve">s </w:t>
      </w:r>
      <w:r>
        <w:t xml:space="preserve">for </w:t>
      </w:r>
      <w:r w:rsidRPr="003F275F">
        <w:t xml:space="preserve">existing infrastructure to support future additional house builds. </w:t>
      </w:r>
    </w:p>
    <w:p w:rsidR="003F275F" w:rsidRPr="003F275F" w:rsidRDefault="00C871C2" w:rsidP="00C871C2">
      <w:r w:rsidRPr="003F275F">
        <w:t xml:space="preserve">Furthermore, the number of remaining serviced lots is significantly lower than the number of new houses required. For example, in the Northern Territory, there are </w:t>
      </w:r>
      <w:r>
        <w:t xml:space="preserve">fewer than </w:t>
      </w:r>
      <w:r w:rsidRPr="003F275F">
        <w:t>70 serviced housing lots remaining</w:t>
      </w:r>
      <w:r>
        <w:t xml:space="preserve"> and additional infrastructure upgrades would be required before additional housing could be constructed.</w:t>
      </w:r>
      <w:r w:rsidRPr="003F275F">
        <w:t xml:space="preserve"> In South Australia, the communities of Amata and Pukatja have no sites available for construction and would require new subdivisions first</w:t>
      </w:r>
      <w:r w:rsidR="003F275F" w:rsidRPr="003F275F">
        <w:t>.</w:t>
      </w:r>
    </w:p>
    <w:p w:rsidR="003F275F" w:rsidRPr="003F275F" w:rsidRDefault="00C871C2" w:rsidP="00222C59">
      <w:r w:rsidRPr="003F275F">
        <w:t>Future programs should also consider how to encourage efficient u</w:t>
      </w:r>
      <w:r>
        <w:t>se of community infrastructure t</w:t>
      </w:r>
      <w:r w:rsidRPr="003F275F">
        <w:t>o limit the need for further upgrades</w:t>
      </w:r>
      <w:r>
        <w:t>. Infrastructure</w:t>
      </w:r>
      <w:r w:rsidRPr="003F275F">
        <w:t xml:space="preserve"> usage needs to be controlled, including through greater education and the use of effective price signals. </w:t>
      </w:r>
      <w:r w:rsidR="0004739C">
        <w:t>Jurisdiction</w:t>
      </w:r>
      <w:r w:rsidRPr="003F275F">
        <w:t>s have acknowledged this challenge and adopted different approaches to fund these costs</w:t>
      </w:r>
      <w:r w:rsidR="003F275F" w:rsidRPr="003F275F">
        <w:t>:</w:t>
      </w:r>
    </w:p>
    <w:p w:rsidR="003F275F" w:rsidRPr="003F275F" w:rsidRDefault="006F7715" w:rsidP="00627AAC">
      <w:pPr>
        <w:pStyle w:val="ListParagraph"/>
        <w:numPr>
          <w:ilvl w:val="0"/>
          <w:numId w:val="22"/>
        </w:numPr>
      </w:pPr>
      <w:r>
        <w:t>T</w:t>
      </w:r>
      <w:r w:rsidR="003F275F" w:rsidRPr="003F275F">
        <w:t>he Northern Territory Government reported reductions in water use following implementation of meters and improvements to electricity use after rolling out a tenant education program coupled</w:t>
      </w:r>
      <w:r w:rsidR="003972AB">
        <w:t xml:space="preserve"> with energy efficient products</w:t>
      </w:r>
      <w:r>
        <w:t>.</w:t>
      </w:r>
    </w:p>
    <w:p w:rsidR="003F275F" w:rsidRPr="00BD130B" w:rsidRDefault="003F275F" w:rsidP="00211750">
      <w:pPr>
        <w:pStyle w:val="H3"/>
      </w:pPr>
      <w:bookmarkStart w:id="267" w:name="_Toc477178105"/>
      <w:bookmarkStart w:id="268" w:name="_Toc477248744"/>
      <w:bookmarkStart w:id="269" w:name="_Toc477252730"/>
      <w:bookmarkStart w:id="270" w:name="_Toc490218712"/>
      <w:bookmarkStart w:id="271" w:name="_Toc476645395"/>
      <w:bookmarkStart w:id="272" w:name="_Toc476644172"/>
      <w:bookmarkStart w:id="273" w:name="_Toc476650865"/>
      <w:bookmarkStart w:id="274" w:name="_Toc476658525"/>
      <w:bookmarkStart w:id="275" w:name="_Toc476659228"/>
      <w:bookmarkStart w:id="276" w:name="_Toc476661034"/>
      <w:bookmarkStart w:id="277" w:name="_Toc476663430"/>
      <w:bookmarkStart w:id="278" w:name="_Toc476669872"/>
      <w:bookmarkStart w:id="279" w:name="_Toc476665887"/>
      <w:bookmarkStart w:id="280" w:name="_Toc476671362"/>
      <w:bookmarkStart w:id="281" w:name="_Toc476676520"/>
      <w:bookmarkStart w:id="282" w:name="_Toc476677802"/>
      <w:bookmarkStart w:id="283" w:name="_Toc476678236"/>
      <w:r w:rsidRPr="00BD130B">
        <w:t>Land reform was a key part of the Strategy</w:t>
      </w:r>
      <w:bookmarkEnd w:id="267"/>
      <w:bookmarkEnd w:id="268"/>
      <w:bookmarkEnd w:id="269"/>
      <w:bookmarkEnd w:id="270"/>
      <w:r w:rsidRPr="00BD130B">
        <w:t xml:space="preserve"> </w:t>
      </w:r>
    </w:p>
    <w:bookmarkEnd w:id="271"/>
    <w:bookmarkEnd w:id="272"/>
    <w:bookmarkEnd w:id="273"/>
    <w:bookmarkEnd w:id="274"/>
    <w:bookmarkEnd w:id="275"/>
    <w:bookmarkEnd w:id="276"/>
    <w:bookmarkEnd w:id="277"/>
    <w:bookmarkEnd w:id="278"/>
    <w:bookmarkEnd w:id="279"/>
    <w:bookmarkEnd w:id="280"/>
    <w:bookmarkEnd w:id="281"/>
    <w:bookmarkEnd w:id="282"/>
    <w:bookmarkEnd w:id="283"/>
    <w:p w:rsidR="003F275F" w:rsidRPr="003F275F" w:rsidRDefault="003F275F" w:rsidP="00222C59">
      <w:r w:rsidRPr="003F275F">
        <w:t>In order to gain housing investment, the Commonwealth required communities to provide secure 40</w:t>
      </w:r>
      <w:r w:rsidRPr="003F275F">
        <w:noBreakHyphen/>
        <w:t xml:space="preserve">year tenure over their land. This set up a clear agreement between the land owners and government about what can be done on their land. </w:t>
      </w:r>
    </w:p>
    <w:p w:rsidR="003F275F" w:rsidRPr="003F275F" w:rsidRDefault="003F275F" w:rsidP="00222C59">
      <w:r w:rsidRPr="003F275F">
        <w:t xml:space="preserve">Secure tenure enables governments to access land to build houses and related infrastructure, and put in place tenancy agreements for </w:t>
      </w:r>
      <w:r w:rsidR="00A70F11">
        <w:t>PTM</w:t>
      </w:r>
      <w:r w:rsidRPr="003F275F">
        <w:t xml:space="preserve">. Under these agreements governments are responsible </w:t>
      </w:r>
      <w:r w:rsidRPr="003F275F">
        <w:lastRenderedPageBreak/>
        <w:t>for the management and safety of a house, and tenants are responsible for paying rent and looking after their houses.</w:t>
      </w:r>
    </w:p>
    <w:p w:rsidR="003F275F" w:rsidRPr="00DC00B6" w:rsidRDefault="003F275F" w:rsidP="00211750">
      <w:pPr>
        <w:pStyle w:val="H4"/>
      </w:pPr>
      <w:bookmarkStart w:id="284" w:name="_Toc477178106"/>
      <w:bookmarkStart w:id="285" w:name="_Toc477248745"/>
      <w:bookmarkStart w:id="286" w:name="_Toc477252731"/>
      <w:r w:rsidRPr="00DC00B6">
        <w:t>Land reform is an area of achievement for the Strategy</w:t>
      </w:r>
      <w:bookmarkEnd w:id="284"/>
      <w:bookmarkEnd w:id="285"/>
      <w:bookmarkEnd w:id="286"/>
    </w:p>
    <w:p w:rsidR="003F275F" w:rsidRPr="003F275F" w:rsidRDefault="00887918" w:rsidP="00222C59">
      <w:r>
        <w:t>Given</w:t>
      </w:r>
      <w:r w:rsidR="003F275F" w:rsidRPr="003F275F">
        <w:t xml:space="preserve"> the </w:t>
      </w:r>
      <w:r>
        <w:t xml:space="preserve">early delays and challenges in </w:t>
      </w:r>
      <w:r w:rsidR="003F275F" w:rsidRPr="003F275F">
        <w:t xml:space="preserve">negotiating </w:t>
      </w:r>
      <w:r>
        <w:t xml:space="preserve">land reform, and </w:t>
      </w:r>
      <w:r w:rsidR="003F275F" w:rsidRPr="003F275F">
        <w:t xml:space="preserve">the </w:t>
      </w:r>
      <w:r>
        <w:t xml:space="preserve">large </w:t>
      </w:r>
      <w:r w:rsidR="003F275F" w:rsidRPr="003F275F">
        <w:t xml:space="preserve">number of </w:t>
      </w:r>
      <w:r>
        <w:t>leases to be put in place</w:t>
      </w:r>
      <w:r w:rsidR="003F275F" w:rsidRPr="003F275F">
        <w:t xml:space="preserve">, officials across </w:t>
      </w:r>
      <w:r>
        <w:t xml:space="preserve">all </w:t>
      </w:r>
      <w:r w:rsidR="0004739C">
        <w:t>jurisdiction</w:t>
      </w:r>
      <w:r>
        <w:t>s</w:t>
      </w:r>
      <w:r w:rsidR="003F275F" w:rsidRPr="003F275F">
        <w:t xml:space="preserve"> have achieved substantial progress. This has led to a </w:t>
      </w:r>
      <w:r w:rsidR="00FB2E71">
        <w:t>significant</w:t>
      </w:r>
      <w:r w:rsidR="00FB2E71" w:rsidRPr="003F275F">
        <w:t xml:space="preserve"> </w:t>
      </w:r>
      <w:r w:rsidR="003F275F" w:rsidRPr="003F275F">
        <w:t>building program, much greater clarity about mutual responsibilities and provides the basis for future investment and further reform.</w:t>
      </w:r>
    </w:p>
    <w:p w:rsidR="003F275F" w:rsidRPr="00DC00B6" w:rsidRDefault="003F275F" w:rsidP="00211750">
      <w:pPr>
        <w:pStyle w:val="H4"/>
      </w:pPr>
      <w:bookmarkStart w:id="287" w:name="_Toc477178107"/>
      <w:bookmarkStart w:id="288" w:name="_Toc477248746"/>
      <w:bookmarkStart w:id="289" w:name="_Toc477252732"/>
      <w:r w:rsidRPr="00DC00B6">
        <w:t>Nonetheless negotiations are complicated and progress has not been made everywhere</w:t>
      </w:r>
      <w:bookmarkEnd w:id="287"/>
      <w:bookmarkEnd w:id="288"/>
      <w:bookmarkEnd w:id="289"/>
    </w:p>
    <w:p w:rsidR="003F275F" w:rsidRPr="003F275F" w:rsidRDefault="00C871C2" w:rsidP="00222C59">
      <w:r w:rsidRPr="003F275F">
        <w:t xml:space="preserve">In some cases, agreements </w:t>
      </w:r>
      <w:r>
        <w:t xml:space="preserve">to secure long-term tenure for housing </w:t>
      </w:r>
      <w:r w:rsidRPr="003F275F">
        <w:t>could not be reached. These communities did not receive housing investment.</w:t>
      </w:r>
      <w:r w:rsidRPr="003F275F">
        <w:rPr>
          <w:b/>
        </w:rPr>
        <w:t xml:space="preserve"> </w:t>
      </w:r>
      <w:r w:rsidRPr="003F275F">
        <w:t xml:space="preserve">This occurred primarily in the Northern Territory on </w:t>
      </w:r>
      <w:r w:rsidRPr="003F275F">
        <w:rPr>
          <w:i/>
        </w:rPr>
        <w:t>Aboriginal Land Rights (NT) Act 1976</w:t>
      </w:r>
      <w:r w:rsidRPr="003F275F">
        <w:t xml:space="preserve"> (Cth) land or in communities with unique underlying land tenure which has made its resolution difficult. For example, Western Australian legislation prohibits Western Australia Housing from making housing management agreements with communities on non-Indigenous </w:t>
      </w:r>
      <w:r>
        <w:t xml:space="preserve">held </w:t>
      </w:r>
      <w:r w:rsidRPr="003F275F">
        <w:t>land such as National Parks and certain classes of crown land</w:t>
      </w:r>
      <w:r w:rsidR="003F275F" w:rsidRPr="003F275F">
        <w:t>.</w:t>
      </w:r>
    </w:p>
    <w:p w:rsidR="003F275F" w:rsidRPr="003F275F" w:rsidRDefault="00C871C2" w:rsidP="00222C59">
      <w:r w:rsidRPr="003F275F">
        <w:t>In addition to communities which have not received investment because of unresolved land tenure, there are communities where all or most of the land that has resolved tenure has already been built on</w:t>
      </w:r>
      <w:r w:rsidR="003F275F" w:rsidRPr="003F275F">
        <w:t xml:space="preserve">. </w:t>
      </w:r>
    </w:p>
    <w:p w:rsidR="003F275F" w:rsidRPr="003F275F" w:rsidRDefault="00C871C2" w:rsidP="00222C59">
      <w:pPr>
        <w:rPr>
          <w:b/>
        </w:rPr>
      </w:pPr>
      <w:r w:rsidRPr="003F275F">
        <w:t xml:space="preserve">Resolving land tenure agreements must be a priority so people have access to decent housing, regardless of which remote Indigenous community they live in. The Commonwealth and </w:t>
      </w:r>
      <w:r w:rsidR="0004739C">
        <w:t>jurisdiction</w:t>
      </w:r>
      <w:r w:rsidRPr="003F275F">
        <w:t xml:space="preserve"> governments still need to work with land councils, communities and/or local government to resolve some issues of land tenure and availability for future investment</w:t>
      </w:r>
      <w:r w:rsidR="003F275F" w:rsidRPr="003F275F">
        <w:rPr>
          <w:b/>
        </w:rPr>
        <w:t>.</w:t>
      </w:r>
    </w:p>
    <w:p w:rsidR="003F275F" w:rsidRPr="00BD130B" w:rsidRDefault="003F275F" w:rsidP="00211750">
      <w:pPr>
        <w:pStyle w:val="H3"/>
        <w:rPr>
          <w:lang w:eastAsia="en-AU"/>
        </w:rPr>
      </w:pPr>
      <w:bookmarkStart w:id="290" w:name="_Toc477178108"/>
      <w:bookmarkStart w:id="291" w:name="_Toc477248747"/>
      <w:bookmarkStart w:id="292" w:name="_Toc477252733"/>
      <w:bookmarkStart w:id="293" w:name="_Toc490218713"/>
      <w:bookmarkStart w:id="294" w:name="_Toc475991584"/>
      <w:bookmarkStart w:id="295" w:name="_Toc475991824"/>
      <w:bookmarkStart w:id="296" w:name="_Toc475996305"/>
      <w:bookmarkStart w:id="297" w:name="_Toc476483317"/>
      <w:r w:rsidRPr="00BD130B">
        <w:rPr>
          <w:lang w:eastAsia="en-AU"/>
        </w:rPr>
        <w:t>Home ownership has not been a big success of the Strategy</w:t>
      </w:r>
      <w:bookmarkEnd w:id="290"/>
      <w:bookmarkEnd w:id="291"/>
      <w:bookmarkEnd w:id="292"/>
      <w:bookmarkEnd w:id="293"/>
      <w:r w:rsidRPr="00BD130B">
        <w:t xml:space="preserve"> </w:t>
      </w:r>
      <w:bookmarkEnd w:id="294"/>
      <w:bookmarkEnd w:id="295"/>
      <w:bookmarkEnd w:id="296"/>
      <w:bookmarkEnd w:id="297"/>
    </w:p>
    <w:p w:rsidR="003F275F" w:rsidRPr="00B26DD8" w:rsidRDefault="00C871C2" w:rsidP="00222C59">
      <w:r w:rsidRPr="00B26DD8">
        <w:t>Beyond its core priority of improving housing supply and condition, the Strategy supported home ownership to provide alternative housing options for people from remote Indigenous comm</w:t>
      </w:r>
      <w:r>
        <w:t xml:space="preserve">unities. While this is a small </w:t>
      </w:r>
      <w:r w:rsidRPr="00B26DD8">
        <w:t>but important element of the Strategy, it cannot have any significant impact on reducing overcrowding and improving housing condition in the foreseeable future</w:t>
      </w:r>
      <w:r>
        <w:t xml:space="preserve">. That said, home ownership is </w:t>
      </w:r>
      <w:r w:rsidRPr="00B26DD8">
        <w:t>important to provide people choice and could be prioritised depending on local context and community wishes</w:t>
      </w:r>
      <w:r w:rsidR="003F275F" w:rsidRPr="00B26DD8">
        <w:t xml:space="preserve">. </w:t>
      </w:r>
    </w:p>
    <w:p w:rsidR="003F275F" w:rsidRPr="00B26DD8" w:rsidRDefault="00C871C2" w:rsidP="00222C59">
      <w:r w:rsidRPr="00B26DD8">
        <w:t>Home ownership was pursued under the Strategy primarily through land reform and the development of supporting policies. There are currently</w:t>
      </w:r>
      <w:r>
        <w:t xml:space="preserve"> 16 Indigenous home owners in remote New South Wales, </w:t>
      </w:r>
      <w:r w:rsidRPr="00B26DD8">
        <w:t>15</w:t>
      </w:r>
      <w:r>
        <w:t xml:space="preserve"> in the Northern </w:t>
      </w:r>
      <w:r w:rsidRPr="00B26DD8">
        <w:t xml:space="preserve">Territory and 37 in Queensland. While these are not large numbers and limited home ownership outcomes have been achieved through the Strategy, the </w:t>
      </w:r>
      <w:r w:rsidR="003F275F" w:rsidRPr="00B26DD8">
        <w:lastRenderedPageBreak/>
        <w:t xml:space="preserve">Panel’s view is these results should be celebrated as progress towards providing housing choice to remote Indigenous community members. </w:t>
      </w:r>
    </w:p>
    <w:p w:rsidR="003F275F" w:rsidRPr="00B26DD8" w:rsidRDefault="00C871C2" w:rsidP="00222C59">
      <w:r w:rsidRPr="00B26DD8">
        <w:t xml:space="preserve">The Strategy went some way to breaking down barriers to home ownership on Indigenous </w:t>
      </w:r>
      <w:r>
        <w:t xml:space="preserve">held </w:t>
      </w:r>
      <w:r w:rsidRPr="00B26DD8">
        <w:t>land by supporting funding for cadastral surveys and the Home Ownership on Indigenous Land program. In the Northern Territory, 99-yea</w:t>
      </w:r>
      <w:r>
        <w:t>r township leases or other long-</w:t>
      </w:r>
      <w:r w:rsidRPr="00B26DD8">
        <w:t>term tradeable tenure have been required since 2013 before houses are delivered</w:t>
      </w:r>
      <w:r w:rsidR="003F275F" w:rsidRPr="00B26DD8">
        <w:t xml:space="preserve">. </w:t>
      </w:r>
    </w:p>
    <w:p w:rsidR="003F275F" w:rsidRPr="00B26DD8" w:rsidRDefault="00C871C2" w:rsidP="00222C59">
      <w:r w:rsidRPr="00B26DD8">
        <w:t>Long</w:t>
      </w:r>
      <w:r>
        <w:t>-</w:t>
      </w:r>
      <w:r w:rsidRPr="00B26DD8">
        <w:t>term tradeable tenure supports home ownership and economic development, as the required tenure for Indigenous Business Australia (IBA), or other lenders, to provide a home loan. However there continues to be significant barriers to home ownership in remote Indigenous communities. Achieving home ownership needs a collaborative approach with communities, land owners, governments and IBA working together to have land available and developed, and ready investors</w:t>
      </w:r>
      <w:r w:rsidR="003F275F" w:rsidRPr="00B26DD8">
        <w:t xml:space="preserve">. </w:t>
      </w:r>
    </w:p>
    <w:p w:rsidR="003F275F" w:rsidRPr="00970EDA" w:rsidRDefault="00DC00B6" w:rsidP="00211750">
      <w:pPr>
        <w:pStyle w:val="H3"/>
        <w:rPr>
          <w:lang w:eastAsia="en-AU"/>
        </w:rPr>
      </w:pPr>
      <w:bookmarkStart w:id="298" w:name="_Toc477178109"/>
      <w:bookmarkStart w:id="299" w:name="_Toc477248748"/>
      <w:bookmarkStart w:id="300" w:name="_Toc477252734"/>
      <w:bookmarkStart w:id="301" w:name="_Toc490218714"/>
      <w:r w:rsidRPr="00970EDA">
        <w:rPr>
          <w:lang w:eastAsia="en-AU"/>
        </w:rPr>
        <w:t>Key Findings</w:t>
      </w:r>
      <w:bookmarkEnd w:id="298"/>
      <w:bookmarkEnd w:id="299"/>
      <w:bookmarkEnd w:id="300"/>
      <w:bookmarkEnd w:id="301"/>
    </w:p>
    <w:p w:rsidR="00C871C2" w:rsidRPr="00096B2B" w:rsidRDefault="00C871C2" w:rsidP="00C871C2">
      <w:pPr>
        <w:keepNext/>
        <w:rPr>
          <w:b/>
        </w:rPr>
      </w:pPr>
      <w:r>
        <w:rPr>
          <w:b/>
        </w:rPr>
        <w:t xml:space="preserve">Investment under the </w:t>
      </w:r>
      <w:r w:rsidRPr="00096B2B">
        <w:rPr>
          <w:b/>
        </w:rPr>
        <w:t xml:space="preserve">Strategy has resulted in 11,500 more safe and functional homes in remote Indigenous communities. </w:t>
      </w:r>
    </w:p>
    <w:p w:rsidR="00C871C2" w:rsidRPr="00096B2B" w:rsidRDefault="00C871C2" w:rsidP="00C871C2">
      <w:pPr>
        <w:rPr>
          <w:b/>
        </w:rPr>
      </w:pPr>
      <w:r w:rsidRPr="00096B2B">
        <w:rPr>
          <w:b/>
        </w:rPr>
        <w:t xml:space="preserve">Good quality housing design and construction is important to increase the durability of houses and reduce the whole of life costs of housing. </w:t>
      </w:r>
    </w:p>
    <w:p w:rsidR="00C871C2" w:rsidRPr="00096B2B" w:rsidRDefault="00C871C2" w:rsidP="00C871C2">
      <w:pPr>
        <w:rPr>
          <w:b/>
        </w:rPr>
      </w:pPr>
      <w:r w:rsidRPr="00096B2B">
        <w:rPr>
          <w:b/>
        </w:rPr>
        <w:t>To ensure building and safety standards are met and maintained, independent certification for acceptance must be complemented by strong project and work supervision and at least sample surveying of housing functionality over the life of new houses.</w:t>
      </w:r>
    </w:p>
    <w:p w:rsidR="00C871C2" w:rsidRPr="00096B2B" w:rsidRDefault="00C871C2" w:rsidP="00C871C2">
      <w:pPr>
        <w:rPr>
          <w:b/>
        </w:rPr>
      </w:pPr>
      <w:r w:rsidRPr="00096B2B">
        <w:rPr>
          <w:b/>
        </w:rPr>
        <w:t>Building houses in remote areas is expensive and difficult. Short term funding cycles have impacted on housing costs and quality. Longer planning cycles would allow greater flexibility in delivery and design of houses, better coordination with infrastructure and land planning, and the ability to work with communities to get the best local outcomes. Proper governance and oversight would be required for longer term cycles.</w:t>
      </w:r>
    </w:p>
    <w:p w:rsidR="00C871C2" w:rsidRPr="00096B2B" w:rsidRDefault="00C871C2" w:rsidP="00C871C2">
      <w:pPr>
        <w:rPr>
          <w:rFonts w:ascii="Calibri" w:eastAsia="Calibri" w:hAnsi="Calibri" w:cs="Times New Roman"/>
          <w:b/>
        </w:rPr>
      </w:pPr>
      <w:r w:rsidRPr="00096B2B">
        <w:rPr>
          <w:rFonts w:ascii="Calibri" w:eastAsia="Calibri" w:hAnsi="Calibri" w:cs="Times New Roman"/>
          <w:b/>
        </w:rPr>
        <w:t xml:space="preserve">Early in the Strategy there were examples of poor coordination within </w:t>
      </w:r>
      <w:r w:rsidR="0004739C">
        <w:rPr>
          <w:rFonts w:ascii="Calibri" w:eastAsia="Calibri" w:hAnsi="Calibri" w:cs="Times New Roman"/>
          <w:b/>
        </w:rPr>
        <w:t>jurisdiction</w:t>
      </w:r>
      <w:r w:rsidRPr="00096B2B">
        <w:rPr>
          <w:rFonts w:ascii="Calibri" w:eastAsia="Calibri" w:hAnsi="Calibri" w:cs="Times New Roman"/>
          <w:b/>
        </w:rPr>
        <w:t xml:space="preserve"> governments. The Panel has been assured these have been addressed but note this is a key and high stakes requirement of future program activity.</w:t>
      </w:r>
    </w:p>
    <w:p w:rsidR="00C871C2" w:rsidRPr="00096B2B" w:rsidRDefault="00C871C2" w:rsidP="00C871C2">
      <w:pPr>
        <w:rPr>
          <w:rFonts w:ascii="Calibri" w:eastAsia="Calibri" w:hAnsi="Calibri" w:cs="Times New Roman"/>
          <w:b/>
        </w:rPr>
      </w:pPr>
      <w:r w:rsidRPr="00096B2B">
        <w:rPr>
          <w:rFonts w:ascii="Calibri" w:eastAsia="Calibri" w:hAnsi="Calibri" w:cs="Times New Roman"/>
          <w:b/>
        </w:rPr>
        <w:t xml:space="preserve">There is increasing pressure on infrastructure and essential services in remote parts of Australia which will need to be addressed before more houses can be built. </w:t>
      </w:r>
    </w:p>
    <w:p w:rsidR="003F275F" w:rsidRDefault="00C871C2" w:rsidP="00C871C2">
      <w:pPr>
        <w:rPr>
          <w:rFonts w:ascii="Calibri" w:eastAsia="Calibri" w:hAnsi="Calibri" w:cs="Times New Roman"/>
          <w:b/>
        </w:rPr>
      </w:pPr>
      <w:r w:rsidRPr="00096B2B">
        <w:rPr>
          <w:rFonts w:ascii="Calibri" w:eastAsia="Calibri" w:hAnsi="Calibri" w:cs="Times New Roman"/>
          <w:b/>
        </w:rPr>
        <w:t>Good practice models need to be shared for the implementation of effective, but not punitive, incentive structures for use of water and power at a community and household level</w:t>
      </w:r>
      <w:r w:rsidR="003F275F" w:rsidRPr="00096B2B">
        <w:rPr>
          <w:rFonts w:ascii="Calibri" w:eastAsia="Calibri" w:hAnsi="Calibri" w:cs="Times New Roman"/>
          <w:b/>
        </w:rPr>
        <w:t>.</w:t>
      </w:r>
    </w:p>
    <w:p w:rsidR="00C871C2" w:rsidRPr="00096B2B" w:rsidRDefault="00C871C2" w:rsidP="00C871C2">
      <w:pPr>
        <w:rPr>
          <w:rFonts w:ascii="Calibri" w:eastAsia="Calibri" w:hAnsi="Calibri" w:cs="Times New Roman"/>
          <w:b/>
        </w:rPr>
      </w:pPr>
      <w:r w:rsidRPr="00096B2B">
        <w:rPr>
          <w:rFonts w:ascii="Calibri" w:eastAsia="Calibri" w:hAnsi="Calibri" w:cs="Times New Roman"/>
          <w:b/>
        </w:rPr>
        <w:t xml:space="preserve">Land tenure has supported housing delivery and proper management. However governments need to continue to work with land councils, communities and/or local government to resolve </w:t>
      </w:r>
      <w:r w:rsidRPr="00096B2B">
        <w:rPr>
          <w:rFonts w:ascii="Calibri" w:eastAsia="Calibri" w:hAnsi="Calibri" w:cs="Times New Roman"/>
          <w:b/>
        </w:rPr>
        <w:lastRenderedPageBreak/>
        <w:t>land tenure for future investment. Governments should especially target those communities with significant need which have not received investment.</w:t>
      </w:r>
    </w:p>
    <w:p w:rsidR="00C871C2" w:rsidRPr="00096B2B" w:rsidRDefault="00C871C2" w:rsidP="00C871C2">
      <w:pPr>
        <w:rPr>
          <w:rFonts w:ascii="Calibri" w:eastAsia="Calibri" w:hAnsi="Calibri" w:cs="Times New Roman"/>
          <w:b/>
        </w:rPr>
      </w:pPr>
      <w:r w:rsidRPr="00096B2B">
        <w:rPr>
          <w:rFonts w:ascii="Calibri" w:eastAsia="Calibri" w:hAnsi="Calibri" w:cs="Times New Roman"/>
          <w:b/>
        </w:rPr>
        <w:t>Alternative housing options, such as home ownership and employment related accommodation, are important to give people choice but will not significantly address housing need in the foreseeable future</w:t>
      </w:r>
      <w:r>
        <w:rPr>
          <w:rFonts w:ascii="Calibri" w:eastAsia="Calibri" w:hAnsi="Calibri" w:cs="Times New Roman"/>
          <w:b/>
        </w:rPr>
        <w:t>.</w:t>
      </w:r>
    </w:p>
    <w:p w:rsidR="00B34998" w:rsidRDefault="003E1003" w:rsidP="00B34998">
      <w:pPr>
        <w:spacing w:after="120" w:line="240" w:lineRule="auto"/>
        <w:rPr>
          <w:color w:val="003468" w:themeColor="text2"/>
          <w:sz w:val="44"/>
        </w:rPr>
      </w:pPr>
      <w:r>
        <w:br w:type="page"/>
      </w:r>
      <w:bookmarkStart w:id="302" w:name="_Toc477178110"/>
      <w:bookmarkStart w:id="303" w:name="_Toc477248749"/>
      <w:bookmarkStart w:id="304" w:name="_Toc477252735"/>
    </w:p>
    <w:p w:rsidR="003E1003" w:rsidRPr="003E1003" w:rsidRDefault="003E1003" w:rsidP="00211750">
      <w:pPr>
        <w:pStyle w:val="H2"/>
      </w:pPr>
      <w:bookmarkStart w:id="305" w:name="_Toc490218715"/>
      <w:r w:rsidRPr="003E1003">
        <w:lastRenderedPageBreak/>
        <w:t>Property and Tenancy Management</w:t>
      </w:r>
      <w:bookmarkEnd w:id="302"/>
      <w:bookmarkEnd w:id="303"/>
      <w:bookmarkEnd w:id="304"/>
      <w:bookmarkEnd w:id="305"/>
    </w:p>
    <w:p w:rsidR="003E1003" w:rsidRPr="003E1003" w:rsidRDefault="003E1003" w:rsidP="00211750">
      <w:pPr>
        <w:pStyle w:val="H3"/>
      </w:pPr>
      <w:bookmarkStart w:id="306" w:name="_Toc490218716"/>
      <w:bookmarkStart w:id="307" w:name="_Toc477178111"/>
      <w:bookmarkStart w:id="308" w:name="_Toc477248750"/>
      <w:bookmarkStart w:id="309" w:name="_Toc477252736"/>
      <w:bookmarkStart w:id="310" w:name="_Toc475553065"/>
      <w:r w:rsidRPr="003E1003">
        <w:t xml:space="preserve">The Strategy is the first national program to have such a substantial focus on </w:t>
      </w:r>
      <w:r w:rsidR="006F7715">
        <w:t>PTM</w:t>
      </w:r>
      <w:bookmarkEnd w:id="306"/>
      <w:r w:rsidR="000A0FCD">
        <w:t xml:space="preserve"> </w:t>
      </w:r>
      <w:bookmarkEnd w:id="307"/>
      <w:bookmarkEnd w:id="308"/>
      <w:bookmarkEnd w:id="309"/>
    </w:p>
    <w:p w:rsidR="00477552" w:rsidRPr="003E1003" w:rsidRDefault="00477552" w:rsidP="00477552">
      <w:r w:rsidRPr="003E1003">
        <w:t xml:space="preserve">The Strategy’s focus on PTM aimed to protect the Commonwealth’s investment in housing over the longer term. This included a focus on normalising tenancy rights and obligations and requiring action to upgrade property management. </w:t>
      </w:r>
    </w:p>
    <w:p w:rsidR="003E1003" w:rsidRPr="003E1003" w:rsidRDefault="00477552" w:rsidP="00477552">
      <w:r w:rsidRPr="003E1003">
        <w:t xml:space="preserve">Under the Strategy, the </w:t>
      </w:r>
      <w:r w:rsidR="0004739C">
        <w:t>jurisdiction</w:t>
      </w:r>
      <w:r w:rsidRPr="003E1003">
        <w:t>s became the providers of PTM, largely replacing ad hoc grants to Indigenous Community Housing Organisations (ICHOs) under CHIP.</w:t>
      </w:r>
      <w:r w:rsidR="003E1003" w:rsidRPr="003E1003">
        <w:t xml:space="preserve"> </w:t>
      </w:r>
    </w:p>
    <w:p w:rsidR="003E1003" w:rsidRPr="003E1003" w:rsidRDefault="003E1003" w:rsidP="00211750">
      <w:pPr>
        <w:pStyle w:val="H4"/>
      </w:pPr>
      <w:bookmarkStart w:id="311" w:name="_Toc477178112"/>
      <w:bookmarkStart w:id="312" w:name="_Toc477248751"/>
      <w:bookmarkStart w:id="313" w:name="_Toc477252737"/>
      <w:r w:rsidRPr="003E1003">
        <w:t>Initial progress on PTM reform was slow, in part due to political focus on building new houses</w:t>
      </w:r>
      <w:bookmarkEnd w:id="311"/>
      <w:bookmarkEnd w:id="312"/>
      <w:bookmarkEnd w:id="313"/>
      <w:r w:rsidRPr="003E1003">
        <w:t xml:space="preserve"> </w:t>
      </w:r>
    </w:p>
    <w:p w:rsidR="003E1003" w:rsidRPr="003E1003" w:rsidRDefault="00477552" w:rsidP="00222C59">
      <w:r w:rsidRPr="003E1003">
        <w:t xml:space="preserve">Initially </w:t>
      </w:r>
      <w:r w:rsidR="0004739C">
        <w:t>jurisdiction</w:t>
      </w:r>
      <w:r w:rsidRPr="003E1003">
        <w:t xml:space="preserve">s did not have a clear understanding of the distribution or condition of the stock due to the poor reporting that had occurred under CHIP. </w:t>
      </w:r>
      <w:r w:rsidR="0004739C">
        <w:t>Jurisdiction</w:t>
      </w:r>
      <w:r w:rsidRPr="003E1003">
        <w:t>s first needed to bring houses into their control and then gain information about where residents live</w:t>
      </w:r>
      <w:r>
        <w:t>d and incidents of overcrowding,</w:t>
      </w:r>
      <w:r w:rsidRPr="003E1003">
        <w:t xml:space="preserve"> and the condition of housing</w:t>
      </w:r>
      <w:r w:rsidR="003E1003" w:rsidRPr="003E1003">
        <w:t xml:space="preserve">. </w:t>
      </w:r>
    </w:p>
    <w:p w:rsidR="003E1003" w:rsidRPr="003E1003" w:rsidRDefault="00477552" w:rsidP="00222C59">
      <w:r w:rsidRPr="003E1003">
        <w:t>Compounding this slow start was the intense political pressure in 2008-09 where the main focus of governments was to deliver more houses. As a consequence the focus on PTM was sidelined. The Panel finds this to be one of the significant failings of the Strategy. This occurred despite the knowledge that maintenance of housing requires at least equal attention as construction, if the condition of housing is to be sustained</w:t>
      </w:r>
      <w:r w:rsidR="003E1003" w:rsidRPr="003E1003">
        <w:t>.</w:t>
      </w:r>
      <w:r w:rsidR="003E1003" w:rsidRPr="003E1003">
        <w:rPr>
          <w:vertAlign w:val="superscript"/>
        </w:rPr>
        <w:footnoteReference w:id="32"/>
      </w:r>
      <w:r w:rsidR="003E1003" w:rsidRPr="003E1003">
        <w:t xml:space="preserve"> </w:t>
      </w:r>
    </w:p>
    <w:p w:rsidR="003E1003" w:rsidRPr="003E1003" w:rsidRDefault="003E1003" w:rsidP="00211750">
      <w:pPr>
        <w:pStyle w:val="H4"/>
      </w:pPr>
      <w:bookmarkStart w:id="314" w:name="_Toc477178113"/>
      <w:bookmarkStart w:id="315" w:name="_Toc477248752"/>
      <w:bookmarkStart w:id="316" w:name="_Toc477252738"/>
      <w:r w:rsidRPr="003E1003">
        <w:t xml:space="preserve">Under the </w:t>
      </w:r>
      <w:r w:rsidR="003424AE">
        <w:t>Strategy</w:t>
      </w:r>
      <w:r w:rsidRPr="003E1003">
        <w:t xml:space="preserve">, payments to </w:t>
      </w:r>
      <w:r w:rsidR="0004739C">
        <w:t>jurisdiction</w:t>
      </w:r>
      <w:r w:rsidRPr="003E1003">
        <w:t xml:space="preserve">s evolved to emphasise active </w:t>
      </w:r>
      <w:bookmarkEnd w:id="314"/>
      <w:bookmarkEnd w:id="315"/>
      <w:bookmarkEnd w:id="316"/>
      <w:r w:rsidR="00C111EA">
        <w:t>PTM</w:t>
      </w:r>
      <w:r w:rsidRPr="003E1003">
        <w:t xml:space="preserve"> </w:t>
      </w:r>
    </w:p>
    <w:p w:rsidR="003E1003" w:rsidRPr="003E1003" w:rsidRDefault="00477552" w:rsidP="00222C59">
      <w:r w:rsidRPr="003E1003">
        <w:t xml:space="preserve">Initially the requirements for </w:t>
      </w:r>
      <w:r w:rsidR="0004739C">
        <w:t>jurisdiction</w:t>
      </w:r>
      <w:r w:rsidRPr="003E1003">
        <w:t xml:space="preserve"> governments were based primarily on putting in place tenancy agreements.</w:t>
      </w:r>
      <w:r w:rsidRPr="003E1003">
        <w:rPr>
          <w:b/>
        </w:rPr>
        <w:t xml:space="preserve"> </w:t>
      </w:r>
      <w:r w:rsidRPr="003E1003">
        <w:t>Formal tenancy agreements support proper house maintenance as tenants have an obligation to look after their houses and landlords have an obligation to maintain houses to a minimum standard</w:t>
      </w:r>
      <w:r w:rsidR="003E1003" w:rsidRPr="003E1003">
        <w:t>.</w:t>
      </w:r>
    </w:p>
    <w:p w:rsidR="00477552" w:rsidRPr="003E1003" w:rsidRDefault="00477552" w:rsidP="00477552">
      <w:r w:rsidRPr="003E1003">
        <w:t xml:space="preserve">More recently, and aligned with the current Commonwealth </w:t>
      </w:r>
      <w:r>
        <w:t xml:space="preserve">Indigenous Affairs </w:t>
      </w:r>
      <w:r w:rsidRPr="003E1003">
        <w:t xml:space="preserve">Minister’s focus on the poor quality of properties, the Strategy has intensified efforts to lift the performance of PTM through a new outcomes-based approach. </w:t>
      </w:r>
    </w:p>
    <w:p w:rsidR="00477552" w:rsidRPr="003E1003" w:rsidRDefault="00477552" w:rsidP="00477552">
      <w:r w:rsidRPr="003E1003">
        <w:lastRenderedPageBreak/>
        <w:t xml:space="preserve">In 2016, the Commonwealth introduced outcomes payments to </w:t>
      </w:r>
      <w:r w:rsidR="0004739C">
        <w:t>jurisdiction</w:t>
      </w:r>
      <w:r w:rsidRPr="003E1003">
        <w:t>s for more regular property inspections, improved maintenance plans and the completion of repairs within agreed timeframes</w:t>
      </w:r>
      <w:r>
        <w:t>.</w:t>
      </w:r>
    </w:p>
    <w:p w:rsidR="003E1003" w:rsidRPr="00A71496" w:rsidRDefault="00110C8D" w:rsidP="00F3240A">
      <w:pPr>
        <w:pStyle w:val="tbsfigs"/>
      </w:pPr>
      <w:r>
        <w:t>Table</w:t>
      </w:r>
      <w:r w:rsidR="003E1003">
        <w:t xml:space="preserve"> 5.1</w:t>
      </w:r>
      <w:r w:rsidR="003E1003" w:rsidRPr="003E1003">
        <w:t xml:space="preserve">: </w:t>
      </w:r>
      <w:r w:rsidR="0004739C">
        <w:t>Jurisdiction</w:t>
      </w:r>
      <w:r w:rsidR="003E1003" w:rsidRPr="003E1003">
        <w:t xml:space="preserve"> by </w:t>
      </w:r>
      <w:r w:rsidR="0004739C">
        <w:t>jurisdiction</w:t>
      </w:r>
      <w:r w:rsidR="003E1003" w:rsidRPr="003E1003">
        <w:t xml:space="preserve"> – Commonwealth investment in </w:t>
      </w:r>
      <w:r w:rsidR="006F7715">
        <w:t>PTM 2008-</w:t>
      </w:r>
      <w:r w:rsidR="003E1003" w:rsidRPr="003E1003">
        <w:t>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1: Jurisdiction by jurisdiction - Commonwealth investment in PTM 2008-2018"/>
        <w:tblDescription w:val="Commonwealth investment (shown in $ millions) in property and tenancy management for each jurisdiction between 2008-2018."/>
      </w:tblPr>
      <w:tblGrid>
        <w:gridCol w:w="917"/>
        <w:gridCol w:w="1007"/>
        <w:gridCol w:w="990"/>
        <w:gridCol w:w="1031"/>
        <w:gridCol w:w="1032"/>
        <w:gridCol w:w="986"/>
        <w:gridCol w:w="957"/>
        <w:gridCol w:w="1025"/>
        <w:gridCol w:w="1002"/>
      </w:tblGrid>
      <w:tr w:rsidR="003E1003" w:rsidRPr="003E1003" w:rsidTr="006F7715">
        <w:tc>
          <w:tcPr>
            <w:tcW w:w="1071" w:type="dxa"/>
            <w:shd w:val="clear" w:color="auto" w:fill="5CADFF" w:themeFill="text2" w:themeFillTint="66"/>
          </w:tcPr>
          <w:p w:rsidR="003E1003" w:rsidRPr="003E1003" w:rsidRDefault="003E1003" w:rsidP="00A71496">
            <w:pPr>
              <w:pStyle w:val="Heading6"/>
            </w:pPr>
          </w:p>
        </w:tc>
        <w:tc>
          <w:tcPr>
            <w:tcW w:w="1138" w:type="dxa"/>
            <w:shd w:val="clear" w:color="auto" w:fill="5CADFF" w:themeFill="text2" w:themeFillTint="66"/>
          </w:tcPr>
          <w:p w:rsidR="003E1003" w:rsidRPr="003E1003" w:rsidRDefault="003E1003" w:rsidP="00A71496">
            <w:pPr>
              <w:pStyle w:val="Heading6"/>
            </w:pPr>
            <w:r w:rsidRPr="003E1003">
              <w:t>NSW*</w:t>
            </w:r>
          </w:p>
        </w:tc>
        <w:tc>
          <w:tcPr>
            <w:tcW w:w="1111" w:type="dxa"/>
            <w:shd w:val="clear" w:color="auto" w:fill="5CADFF" w:themeFill="text2" w:themeFillTint="66"/>
          </w:tcPr>
          <w:p w:rsidR="003E1003" w:rsidRPr="003E1003" w:rsidRDefault="003E1003" w:rsidP="00A71496">
            <w:pPr>
              <w:pStyle w:val="Heading6"/>
            </w:pPr>
            <w:r w:rsidRPr="003E1003">
              <w:t>Vic*</w:t>
            </w:r>
          </w:p>
        </w:tc>
        <w:tc>
          <w:tcPr>
            <w:tcW w:w="1119" w:type="dxa"/>
            <w:shd w:val="clear" w:color="auto" w:fill="5CADFF" w:themeFill="text2" w:themeFillTint="66"/>
          </w:tcPr>
          <w:p w:rsidR="003E1003" w:rsidRPr="003E1003" w:rsidRDefault="003E1003" w:rsidP="00A71496">
            <w:pPr>
              <w:pStyle w:val="Heading6"/>
            </w:pPr>
            <w:r w:rsidRPr="003E1003">
              <w:t>Qld</w:t>
            </w:r>
          </w:p>
        </w:tc>
        <w:tc>
          <w:tcPr>
            <w:tcW w:w="1120" w:type="dxa"/>
            <w:shd w:val="clear" w:color="auto" w:fill="5CADFF" w:themeFill="text2" w:themeFillTint="66"/>
          </w:tcPr>
          <w:p w:rsidR="003E1003" w:rsidRPr="003E1003" w:rsidRDefault="003E1003" w:rsidP="00A71496">
            <w:pPr>
              <w:pStyle w:val="Heading6"/>
            </w:pPr>
            <w:r w:rsidRPr="003E1003">
              <w:t>WA</w:t>
            </w:r>
          </w:p>
        </w:tc>
        <w:tc>
          <w:tcPr>
            <w:tcW w:w="1105" w:type="dxa"/>
            <w:shd w:val="clear" w:color="auto" w:fill="5CADFF" w:themeFill="text2" w:themeFillTint="66"/>
          </w:tcPr>
          <w:p w:rsidR="003E1003" w:rsidRPr="003E1003" w:rsidRDefault="003E1003" w:rsidP="00A71496">
            <w:pPr>
              <w:pStyle w:val="Heading6"/>
            </w:pPr>
            <w:r w:rsidRPr="003E1003">
              <w:t>SA</w:t>
            </w:r>
          </w:p>
        </w:tc>
        <w:tc>
          <w:tcPr>
            <w:tcW w:w="1117" w:type="dxa"/>
            <w:shd w:val="clear" w:color="auto" w:fill="5CADFF" w:themeFill="text2" w:themeFillTint="66"/>
          </w:tcPr>
          <w:p w:rsidR="003E1003" w:rsidRPr="003E1003" w:rsidRDefault="003E1003" w:rsidP="00A71496">
            <w:pPr>
              <w:pStyle w:val="Heading6"/>
            </w:pPr>
            <w:r w:rsidRPr="003E1003">
              <w:t>Tas*</w:t>
            </w:r>
          </w:p>
        </w:tc>
        <w:tc>
          <w:tcPr>
            <w:tcW w:w="1109" w:type="dxa"/>
            <w:shd w:val="clear" w:color="auto" w:fill="5CADFF" w:themeFill="text2" w:themeFillTint="66"/>
          </w:tcPr>
          <w:p w:rsidR="003E1003" w:rsidRPr="003E1003" w:rsidRDefault="003E1003" w:rsidP="00A71496">
            <w:pPr>
              <w:pStyle w:val="Heading6"/>
            </w:pPr>
            <w:r w:rsidRPr="003E1003">
              <w:t>NT</w:t>
            </w:r>
          </w:p>
        </w:tc>
        <w:tc>
          <w:tcPr>
            <w:tcW w:w="1072" w:type="dxa"/>
            <w:shd w:val="clear" w:color="auto" w:fill="5CADFF" w:themeFill="text2" w:themeFillTint="66"/>
          </w:tcPr>
          <w:p w:rsidR="003E1003" w:rsidRPr="003E1003" w:rsidRDefault="003E1003" w:rsidP="00A71496">
            <w:pPr>
              <w:pStyle w:val="Heading6"/>
            </w:pPr>
            <w:r w:rsidRPr="003E1003">
              <w:t>Total</w:t>
            </w:r>
          </w:p>
        </w:tc>
      </w:tr>
      <w:tr w:rsidR="003E1003" w:rsidRPr="003E1003" w:rsidTr="006F7715">
        <w:tc>
          <w:tcPr>
            <w:tcW w:w="1071" w:type="dxa"/>
          </w:tcPr>
          <w:p w:rsidR="003E1003" w:rsidRPr="003E1003" w:rsidRDefault="003E1003" w:rsidP="003E1003">
            <w:pPr>
              <w:keepNext/>
              <w:keepLines/>
              <w:widowControl w:val="0"/>
              <w:rPr>
                <w:rFonts w:ascii="Calibri" w:eastAsia="Calibri" w:hAnsi="Calibri" w:cs="Times New Roman"/>
                <w:b/>
                <w:sz w:val="20"/>
                <w:szCs w:val="20"/>
              </w:rPr>
            </w:pPr>
            <w:r w:rsidRPr="003E1003">
              <w:rPr>
                <w:rFonts w:ascii="Calibri" w:eastAsia="Calibri" w:hAnsi="Calibri" w:cs="Times New Roman"/>
                <w:b/>
                <w:sz w:val="20"/>
                <w:szCs w:val="20"/>
              </w:rPr>
              <w:t>Total ($m)</w:t>
            </w:r>
          </w:p>
        </w:tc>
        <w:tc>
          <w:tcPr>
            <w:tcW w:w="1138"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15.710</w:t>
            </w:r>
          </w:p>
        </w:tc>
        <w:tc>
          <w:tcPr>
            <w:tcW w:w="1111"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13.837</w:t>
            </w:r>
          </w:p>
        </w:tc>
        <w:tc>
          <w:tcPr>
            <w:tcW w:w="1119"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238.991</w:t>
            </w:r>
          </w:p>
        </w:tc>
        <w:tc>
          <w:tcPr>
            <w:tcW w:w="1120"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207.228</w:t>
            </w:r>
          </w:p>
        </w:tc>
        <w:tc>
          <w:tcPr>
            <w:tcW w:w="1105"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43.402</w:t>
            </w:r>
          </w:p>
        </w:tc>
        <w:tc>
          <w:tcPr>
            <w:tcW w:w="1117"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1.850</w:t>
            </w:r>
          </w:p>
        </w:tc>
        <w:tc>
          <w:tcPr>
            <w:tcW w:w="1109"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sz w:val="20"/>
                <w:szCs w:val="20"/>
              </w:rPr>
              <w:t>393.818</w:t>
            </w:r>
          </w:p>
        </w:tc>
        <w:tc>
          <w:tcPr>
            <w:tcW w:w="1072" w:type="dxa"/>
          </w:tcPr>
          <w:p w:rsidR="003E1003" w:rsidRPr="003E1003" w:rsidRDefault="003E1003" w:rsidP="003E1003">
            <w:pPr>
              <w:keepNext/>
              <w:keepLines/>
              <w:widowControl w:val="0"/>
              <w:rPr>
                <w:rFonts w:ascii="Calibri" w:eastAsia="Calibri" w:hAnsi="Calibri" w:cs="Times New Roman"/>
                <w:sz w:val="20"/>
                <w:szCs w:val="20"/>
              </w:rPr>
            </w:pPr>
            <w:r w:rsidRPr="003E1003">
              <w:rPr>
                <w:rFonts w:ascii="Calibri" w:eastAsia="Calibri" w:hAnsi="Calibri" w:cs="Calibri"/>
                <w:b/>
                <w:sz w:val="20"/>
                <w:szCs w:val="20"/>
              </w:rPr>
              <w:t>918.486</w:t>
            </w:r>
          </w:p>
        </w:tc>
      </w:tr>
    </w:tbl>
    <w:p w:rsidR="003E1003" w:rsidRPr="00EB680F" w:rsidRDefault="003E1003" w:rsidP="003E1003">
      <w:pPr>
        <w:keepNext/>
        <w:keepLines/>
        <w:widowControl w:val="0"/>
        <w:spacing w:after="0" w:line="240" w:lineRule="auto"/>
        <w:rPr>
          <w:rFonts w:ascii="Calibri" w:eastAsia="Calibri" w:hAnsi="Calibri" w:cs="Times New Roman"/>
          <w:sz w:val="18"/>
          <w:szCs w:val="18"/>
        </w:rPr>
      </w:pPr>
      <w:r w:rsidRPr="00EB680F">
        <w:rPr>
          <w:rFonts w:ascii="Calibri" w:eastAsia="Calibri" w:hAnsi="Calibri" w:cs="Times New Roman"/>
          <w:sz w:val="18"/>
          <w:szCs w:val="18"/>
        </w:rPr>
        <w:t xml:space="preserve">Source: Commonwealth administrative data </w:t>
      </w:r>
    </w:p>
    <w:p w:rsidR="003E1003" w:rsidRPr="00EB680F" w:rsidRDefault="003E1003" w:rsidP="00042574">
      <w:pPr>
        <w:keepNext/>
        <w:keepLines/>
        <w:widowControl w:val="0"/>
        <w:spacing w:after="0" w:line="240" w:lineRule="auto"/>
        <w:rPr>
          <w:rFonts w:ascii="Calibri" w:eastAsia="Calibri" w:hAnsi="Calibri" w:cs="Times New Roman"/>
          <w:sz w:val="18"/>
          <w:szCs w:val="18"/>
        </w:rPr>
      </w:pPr>
      <w:r w:rsidRPr="00EB680F">
        <w:rPr>
          <w:rFonts w:ascii="Calibri" w:eastAsia="Calibri" w:hAnsi="Calibri" w:cs="Times New Roman"/>
          <w:sz w:val="18"/>
          <w:szCs w:val="18"/>
        </w:rPr>
        <w:t>*</w:t>
      </w:r>
      <w:r w:rsidR="008257B3" w:rsidRPr="00EB680F">
        <w:rPr>
          <w:rFonts w:ascii="Calibri" w:eastAsia="Calibri" w:hAnsi="Calibri" w:cs="Times New Roman"/>
          <w:sz w:val="18"/>
          <w:szCs w:val="18"/>
        </w:rPr>
        <w:t>I</w:t>
      </w:r>
      <w:r w:rsidRPr="00EB680F">
        <w:rPr>
          <w:rFonts w:ascii="Calibri" w:eastAsia="Calibri" w:hAnsi="Calibri" w:cs="Times New Roman"/>
          <w:sz w:val="18"/>
          <w:szCs w:val="18"/>
        </w:rPr>
        <w:t>ncl</w:t>
      </w:r>
      <w:r w:rsidR="00042574" w:rsidRPr="00EB680F">
        <w:rPr>
          <w:rFonts w:ascii="Calibri" w:eastAsia="Calibri" w:hAnsi="Calibri" w:cs="Times New Roman"/>
          <w:sz w:val="18"/>
          <w:szCs w:val="18"/>
        </w:rPr>
        <w:t xml:space="preserve">udes funds </w:t>
      </w:r>
      <w:r w:rsidR="008257B3" w:rsidRPr="00EB680F">
        <w:rPr>
          <w:rFonts w:ascii="Calibri" w:eastAsia="Calibri" w:hAnsi="Calibri" w:cs="Times New Roman"/>
          <w:sz w:val="18"/>
          <w:szCs w:val="18"/>
        </w:rPr>
        <w:t xml:space="preserve">allocated </w:t>
      </w:r>
      <w:r w:rsidR="00042574" w:rsidRPr="00EB680F">
        <w:rPr>
          <w:rFonts w:ascii="Calibri" w:eastAsia="Calibri" w:hAnsi="Calibri" w:cs="Times New Roman"/>
          <w:sz w:val="18"/>
          <w:szCs w:val="18"/>
        </w:rPr>
        <w:t>in buy-out</w:t>
      </w:r>
      <w:r w:rsidR="008257B3" w:rsidRPr="00EB680F">
        <w:rPr>
          <w:rFonts w:ascii="Calibri" w:eastAsia="Calibri" w:hAnsi="Calibri" w:cs="Times New Roman"/>
          <w:sz w:val="18"/>
          <w:szCs w:val="18"/>
        </w:rPr>
        <w:t>s, Tasmania and Victoria exited the Strategy in 2015 and New South Wales exited in 2016.</w:t>
      </w:r>
    </w:p>
    <w:p w:rsidR="003E1003" w:rsidRPr="003E1003" w:rsidRDefault="003E1003" w:rsidP="00211750">
      <w:pPr>
        <w:pStyle w:val="H4"/>
      </w:pPr>
      <w:bookmarkStart w:id="317" w:name="_Toc477178114"/>
      <w:bookmarkStart w:id="318" w:name="_Toc477248753"/>
      <w:bookmarkStart w:id="319" w:name="_Toc477252739"/>
      <w:r w:rsidRPr="003E1003">
        <w:t>There has been significant progress putting reformed PTM arrangements in place</w:t>
      </w:r>
      <w:bookmarkEnd w:id="317"/>
      <w:bookmarkEnd w:id="318"/>
      <w:bookmarkEnd w:id="319"/>
      <w:r w:rsidRPr="003E1003">
        <w:t xml:space="preserve"> </w:t>
      </w:r>
    </w:p>
    <w:p w:rsidR="003E1003" w:rsidRPr="003E1003" w:rsidRDefault="00477552" w:rsidP="00222C59">
      <w:r w:rsidRPr="003E1003">
        <w:t>There are now 15,000 properties in New South Wales, Queen</w:t>
      </w:r>
      <w:r>
        <w:t>sland, Western Australia, South </w:t>
      </w:r>
      <w:r w:rsidRPr="003E1003">
        <w:t>Australia, Tasmania and the Northern Territory which have reformed PTM arrangements in place. The invigorated focus on PTM is showing positive results</w:t>
      </w:r>
      <w:r w:rsidR="003E1003" w:rsidRPr="003E1003">
        <w:t xml:space="preserve">. </w:t>
      </w:r>
    </w:p>
    <w:p w:rsidR="00FB5DD6" w:rsidRPr="003E1003" w:rsidRDefault="00477552" w:rsidP="00222C59">
      <w:r w:rsidRPr="003E1003">
        <w:t xml:space="preserve">A recent independent study of changes to housing management surveyed tenants on remote Indigenous communities. It found two thirds of the tenants agreed that housing and living conditions were </w:t>
      </w:r>
      <w:r>
        <w:t>‘</w:t>
      </w:r>
      <w:r w:rsidRPr="003E1003">
        <w:t>at least a bit better</w:t>
      </w:r>
      <w:r>
        <w:t>’</w:t>
      </w:r>
      <w:r w:rsidRPr="003E1003">
        <w:t>, and just over half felt that overa</w:t>
      </w:r>
      <w:r>
        <w:t>ll things in the community are ‘</w:t>
      </w:r>
      <w:r w:rsidRPr="003E1003">
        <w:t>better</w:t>
      </w:r>
      <w:r>
        <w:t>’</w:t>
      </w:r>
      <w:r w:rsidRPr="003E1003">
        <w:t xml:space="preserve"> because the </w:t>
      </w:r>
      <w:r w:rsidR="0004739C">
        <w:t>jurisdiction</w:t>
      </w:r>
      <w:r w:rsidRPr="003E1003">
        <w:t xml:space="preserve"> housing department is managing their house</w:t>
      </w:r>
      <w:r w:rsidR="003E1003" w:rsidRPr="003E1003">
        <w:t>.</w:t>
      </w:r>
      <w:r w:rsidR="003E1003" w:rsidRPr="003E1003">
        <w:rPr>
          <w:vertAlign w:val="superscript"/>
        </w:rPr>
        <w:footnoteReference w:id="33"/>
      </w:r>
      <w:r w:rsidR="003E1003" w:rsidRPr="003E1003">
        <w:t xml:space="preserve"> </w:t>
      </w:r>
    </w:p>
    <w:p w:rsidR="003E1003" w:rsidRPr="003E1003" w:rsidRDefault="003E1003" w:rsidP="00211750">
      <w:pPr>
        <w:pStyle w:val="H3"/>
      </w:pPr>
      <w:bookmarkStart w:id="320" w:name="_Toc477178115"/>
      <w:bookmarkStart w:id="321" w:name="_Toc477248754"/>
      <w:bookmarkStart w:id="322" w:name="_Toc477252740"/>
      <w:bookmarkStart w:id="323" w:name="_Toc490218717"/>
      <w:r w:rsidRPr="003E1003">
        <w:t xml:space="preserve">Property management is important among lessons already </w:t>
      </w:r>
      <w:r w:rsidR="003376F8">
        <w:t>learned</w:t>
      </w:r>
      <w:r w:rsidRPr="003E1003">
        <w:t xml:space="preserve"> but progress has been mixed</w:t>
      </w:r>
      <w:bookmarkEnd w:id="320"/>
      <w:bookmarkEnd w:id="321"/>
      <w:bookmarkEnd w:id="322"/>
      <w:bookmarkEnd w:id="323"/>
    </w:p>
    <w:p w:rsidR="003E1003" w:rsidRDefault="00477552" w:rsidP="00222C59">
      <w:r w:rsidRPr="003E1003">
        <w:t xml:space="preserve">Each </w:t>
      </w:r>
      <w:r w:rsidR="0004739C">
        <w:t>jurisdiction</w:t>
      </w:r>
      <w:r w:rsidRPr="003E1003">
        <w:t xml:space="preserve"> has implemented a ‘program of ongoing maintenance and repairs’ and conducts regular house inspections. </w:t>
      </w:r>
      <w:r w:rsidRPr="003E1003">
        <w:rPr>
          <w:rFonts w:eastAsia="Times New Roman"/>
        </w:rPr>
        <w:t xml:space="preserve">Each </w:t>
      </w:r>
      <w:r w:rsidR="0004739C">
        <w:rPr>
          <w:rFonts w:eastAsia="Times New Roman"/>
        </w:rPr>
        <w:t>jurisdiction</w:t>
      </w:r>
      <w:r w:rsidRPr="003E1003">
        <w:rPr>
          <w:rFonts w:eastAsia="Times New Roman"/>
        </w:rPr>
        <w:t xml:space="preserve"> has approached this differently. </w:t>
      </w:r>
      <w:r w:rsidRPr="003E1003">
        <w:t>A summary of the arrangements for e</w:t>
      </w:r>
      <w:r>
        <w:t xml:space="preserve">ach </w:t>
      </w:r>
      <w:r w:rsidR="0004739C">
        <w:t>jurisdiction</w:t>
      </w:r>
      <w:r>
        <w:t xml:space="preserve"> is outlined in Box 5.2</w:t>
      </w:r>
      <w:r w:rsidR="003E1003" w:rsidRPr="003E1003">
        <w:t>.</w:t>
      </w:r>
    </w:p>
    <w:tbl>
      <w:tblPr>
        <w:tblStyle w:val="TableGrid"/>
        <w:tblW w:w="0" w:type="auto"/>
        <w:tblLook w:val="04A0" w:firstRow="1" w:lastRow="0" w:firstColumn="1" w:lastColumn="0" w:noHBand="0" w:noVBand="1"/>
      </w:tblPr>
      <w:tblGrid>
        <w:gridCol w:w="8947"/>
      </w:tblGrid>
      <w:tr w:rsidR="00DD7426" w:rsidTr="00DD7426">
        <w:tc>
          <w:tcPr>
            <w:tcW w:w="9173" w:type="dxa"/>
          </w:tcPr>
          <w:p w:rsidR="00DD7426" w:rsidRPr="00222C59" w:rsidRDefault="00DD7426" w:rsidP="00DD7426">
            <w:pPr>
              <w:keepNext/>
              <w:pBdr>
                <w:top w:val="single" w:sz="4" w:space="1" w:color="auto"/>
                <w:left w:val="single" w:sz="4" w:space="4" w:color="auto"/>
                <w:bottom w:val="single" w:sz="4" w:space="1" w:color="auto"/>
                <w:right w:val="single" w:sz="4" w:space="4" w:color="auto"/>
              </w:pBdr>
              <w:rPr>
                <w:b/>
              </w:rPr>
            </w:pPr>
            <w:r>
              <w:rPr>
                <w:b/>
              </w:rPr>
              <w:lastRenderedPageBreak/>
              <w:t>Box 5.2</w:t>
            </w:r>
            <w:r w:rsidRPr="00222C59">
              <w:rPr>
                <w:b/>
              </w:rPr>
              <w:t xml:space="preserve">: </w:t>
            </w:r>
            <w:r>
              <w:rPr>
                <w:b/>
              </w:rPr>
              <w:t>Jurisdiction</w:t>
            </w:r>
            <w:r w:rsidRPr="00222C59">
              <w:rPr>
                <w:b/>
              </w:rPr>
              <w:t xml:space="preserve"> </w:t>
            </w:r>
            <w:r>
              <w:rPr>
                <w:b/>
              </w:rPr>
              <w:t>government</w:t>
            </w:r>
            <w:r w:rsidRPr="00222C59">
              <w:rPr>
                <w:b/>
              </w:rPr>
              <w:t xml:space="preserve"> maintenance and repair policies</w:t>
            </w:r>
          </w:p>
          <w:p w:rsidR="00DD7426" w:rsidRPr="00222C59" w:rsidRDefault="00DD7426" w:rsidP="00DD7426">
            <w:pPr>
              <w:keepNext/>
              <w:pBdr>
                <w:top w:val="single" w:sz="4" w:space="1" w:color="auto"/>
                <w:left w:val="single" w:sz="4" w:space="4" w:color="auto"/>
                <w:bottom w:val="single" w:sz="4" w:space="1" w:color="auto"/>
                <w:right w:val="single" w:sz="4" w:space="4" w:color="auto"/>
              </w:pBdr>
              <w:spacing w:before="240"/>
              <w:rPr>
                <w:rFonts w:eastAsia="Times New Roman"/>
                <w:b/>
              </w:rPr>
            </w:pPr>
            <w:r w:rsidRPr="00222C59">
              <w:rPr>
                <w:rFonts w:eastAsia="Times New Roman"/>
                <w:b/>
              </w:rPr>
              <w:t>Queensland</w:t>
            </w:r>
          </w:p>
          <w:p w:rsidR="00DD7426" w:rsidRDefault="00DD7426" w:rsidP="00DD7426">
            <w:pPr>
              <w:pBdr>
                <w:top w:val="single" w:sz="4" w:space="1" w:color="auto"/>
                <w:left w:val="single" w:sz="4" w:space="4" w:color="auto"/>
                <w:bottom w:val="single" w:sz="4" w:space="1" w:color="auto"/>
                <w:right w:val="single" w:sz="4" w:space="4" w:color="auto"/>
              </w:pBdr>
              <w:rPr>
                <w:rFonts w:cs="Calibri"/>
              </w:rPr>
            </w:pPr>
            <w:r w:rsidRPr="003E1003">
              <w:rPr>
                <w:rFonts w:cs="Calibri"/>
              </w:rPr>
              <w:t xml:space="preserve">Asset management life cycle principles guide the housing asset management practices applied to remote Indigenous housing in Queensland and identify the priorities for refurbishments, repairs and maintenance, replacement and redevelopment. </w:t>
            </w:r>
            <w:r w:rsidRPr="003E1003">
              <w:rPr>
                <w:rFonts w:eastAsia="Times New Roman" w:cs="Calibri"/>
                <w:lang w:eastAsia="en-AU"/>
              </w:rPr>
              <w:t>New investment in repairs, maintenance and upgrades to maximise the useful life of dwellings is considered mitigation against much higher future costs.</w:t>
            </w:r>
          </w:p>
          <w:p w:rsidR="00DD7426" w:rsidRDefault="00DD7426" w:rsidP="00DD7426">
            <w:pPr>
              <w:pBdr>
                <w:top w:val="single" w:sz="4" w:space="1" w:color="auto"/>
                <w:left w:val="single" w:sz="4" w:space="4" w:color="auto"/>
                <w:bottom w:val="single" w:sz="4" w:space="1" w:color="auto"/>
                <w:right w:val="single" w:sz="4" w:space="4" w:color="auto"/>
              </w:pBdr>
              <w:rPr>
                <w:rFonts w:cs="Calibri"/>
              </w:rPr>
            </w:pPr>
          </w:p>
          <w:p w:rsidR="00DD7426" w:rsidRPr="003E1003" w:rsidRDefault="00DD7426" w:rsidP="00DD7426">
            <w:pPr>
              <w:pBdr>
                <w:top w:val="single" w:sz="4" w:space="1" w:color="auto"/>
                <w:left w:val="single" w:sz="4" w:space="4" w:color="auto"/>
                <w:bottom w:val="single" w:sz="4" w:space="1" w:color="auto"/>
                <w:right w:val="single" w:sz="4" w:space="4" w:color="auto"/>
              </w:pBdr>
              <w:rPr>
                <w:rFonts w:cs="Calibri"/>
              </w:rPr>
            </w:pPr>
            <w:r w:rsidRPr="003E1003">
              <w:rPr>
                <w:rFonts w:cs="Calibri"/>
              </w:rPr>
              <w:t xml:space="preserve">Queensland undertakes a rolling program for regular property inspections and scheduling of responsive and planned cyclical maintenance and upgrade works. Inspections are used to </w:t>
            </w:r>
            <w:r w:rsidRPr="003E1003">
              <w:t>develop an annual plan for proactive maintenance. Using this system, Queensland has reduced the balance of reactive repairs to proactive maintenance to over 80 per cent planned and less than 20 per cent reactive, against an internal benchmark of 70 per cent planned.</w:t>
            </w:r>
            <w:r w:rsidRPr="003E1003">
              <w:rPr>
                <w:rFonts w:cs="Calibri"/>
              </w:rPr>
              <w:t xml:space="preserve"> </w:t>
            </w:r>
          </w:p>
          <w:p w:rsidR="00DD7426" w:rsidRDefault="00DD7426" w:rsidP="00DD7426">
            <w:pPr>
              <w:pBdr>
                <w:top w:val="single" w:sz="4" w:space="1" w:color="auto"/>
                <w:left w:val="single" w:sz="4" w:space="4" w:color="auto"/>
                <w:bottom w:val="single" w:sz="4" w:space="1" w:color="auto"/>
                <w:right w:val="single" w:sz="4" w:space="4" w:color="auto"/>
              </w:pBdr>
              <w:rPr>
                <w:rFonts w:cs="Calibri"/>
              </w:rPr>
            </w:pPr>
            <w:r w:rsidRPr="003E1003">
              <w:rPr>
                <w:rFonts w:cs="Calibri"/>
              </w:rPr>
              <w:t xml:space="preserve">In 2016, 97 per cent of properties met Queensland’s social housing standard for housing condition. Through its responsive repair system, Queensland reports that 96 per cent of repair requests are addressed within safe response times. </w:t>
            </w:r>
          </w:p>
          <w:p w:rsidR="00DD7426" w:rsidRPr="00222C59" w:rsidRDefault="00DD7426" w:rsidP="00DD7426">
            <w:pPr>
              <w:pBdr>
                <w:top w:val="single" w:sz="4" w:space="1" w:color="auto"/>
                <w:left w:val="single" w:sz="4" w:space="4" w:color="auto"/>
                <w:bottom w:val="single" w:sz="4" w:space="1" w:color="auto"/>
                <w:right w:val="single" w:sz="4" w:space="4" w:color="auto"/>
              </w:pBdr>
              <w:spacing w:before="240"/>
              <w:rPr>
                <w:b/>
              </w:rPr>
            </w:pPr>
            <w:r w:rsidRPr="00222C59">
              <w:rPr>
                <w:b/>
              </w:rPr>
              <w:t>Western Australia</w:t>
            </w:r>
          </w:p>
          <w:p w:rsidR="00DD7426" w:rsidRDefault="00DD7426" w:rsidP="00DD7426">
            <w:pPr>
              <w:pBdr>
                <w:top w:val="single" w:sz="4" w:space="1" w:color="auto"/>
                <w:left w:val="single" w:sz="4" w:space="4" w:color="auto"/>
                <w:bottom w:val="single" w:sz="4" w:space="1" w:color="auto"/>
                <w:right w:val="single" w:sz="4" w:space="4" w:color="auto"/>
              </w:pBdr>
            </w:pPr>
            <w:r w:rsidRPr="003E1003">
              <w:t xml:space="preserve">In 2014-15, Western Australia transitioned all remote housing to the Head Maintenance Contract, which started on 1 July 2015. Under this model, requirements for repairs and maintenance are identified by housing management staff and reported via Habitat or via Housing Direct, the Housing Authority’s contact centre. Identified work is then categorised as requiring immediate repair, or as an item that can be planned and programmed. Planned and programmed works are then logged on a Planned Routine Maintenance Register for later bundling and issuing, according to priority and location. </w:t>
            </w:r>
          </w:p>
          <w:p w:rsidR="00DD7426" w:rsidRPr="003E1003" w:rsidRDefault="00DD7426" w:rsidP="00DD7426">
            <w:pPr>
              <w:pBdr>
                <w:top w:val="single" w:sz="4" w:space="1" w:color="auto"/>
                <w:left w:val="single" w:sz="4" w:space="4" w:color="auto"/>
                <w:bottom w:val="single" w:sz="4" w:space="1" w:color="auto"/>
                <w:right w:val="single" w:sz="4" w:space="4" w:color="auto"/>
              </w:pBdr>
            </w:pPr>
          </w:p>
          <w:p w:rsidR="00DD7426" w:rsidRPr="003E1003" w:rsidRDefault="00DD7426" w:rsidP="00DD7426">
            <w:pPr>
              <w:pBdr>
                <w:top w:val="single" w:sz="4" w:space="1" w:color="auto"/>
                <w:left w:val="single" w:sz="4" w:space="4" w:color="auto"/>
                <w:bottom w:val="single" w:sz="4" w:space="1" w:color="auto"/>
                <w:right w:val="single" w:sz="4" w:space="4" w:color="auto"/>
              </w:pBdr>
            </w:pPr>
            <w:r w:rsidRPr="003E1003">
              <w:t>Under the new arrangements, a more consistent approach to the classification and issuing of the works has been built in to housing maintenance systems and processes. In addition, the Planned Routine Maintenance Register is expected to allow the Housing Authority to achieve better value for money, particularly in remote locations.</w:t>
            </w:r>
          </w:p>
          <w:p w:rsidR="00DD7426" w:rsidRPr="003E1003" w:rsidRDefault="00DD7426" w:rsidP="00DD7426">
            <w:pPr>
              <w:pBdr>
                <w:top w:val="single" w:sz="4" w:space="1" w:color="auto"/>
                <w:left w:val="single" w:sz="4" w:space="4" w:color="auto"/>
                <w:bottom w:val="single" w:sz="4" w:space="1" w:color="auto"/>
                <w:right w:val="single" w:sz="4" w:space="4" w:color="auto"/>
              </w:pBdr>
            </w:pPr>
            <w:r w:rsidRPr="003E1003">
              <w:t xml:space="preserve">Through the Quality Assurance Framework, all housing providers are audited regularly in relation to repairs expenditure, prioritisation of works and completion of works carried out. Bi-annually, the Western Australian Department of Housing performs quality assurance testing of actual maintenance works. The testing sample includes maintenance conducted within a set period to ensure that works have been correctly categorised; completed within set timeframes and delivered to an acceptable standard. A random sample of files are identified for Quality Assurance testing based on the number of properties managed by the Housing Provider and the risk to Housing.   </w:t>
            </w:r>
          </w:p>
          <w:p w:rsidR="00DD7426" w:rsidRPr="003E1003" w:rsidRDefault="00DD7426" w:rsidP="00DD7426">
            <w:pPr>
              <w:pBdr>
                <w:top w:val="single" w:sz="4" w:space="1" w:color="auto"/>
                <w:left w:val="single" w:sz="4" w:space="4" w:color="auto"/>
                <w:bottom w:val="single" w:sz="4" w:space="1" w:color="auto"/>
                <w:right w:val="single" w:sz="4" w:space="4" w:color="auto"/>
              </w:pBdr>
            </w:pPr>
            <w:r w:rsidRPr="003E1003">
              <w:t xml:space="preserve">Western Australia also carries out cyclical maintenance for predictable works such as septic pump outs. </w:t>
            </w:r>
          </w:p>
          <w:p w:rsidR="00DD7426" w:rsidRDefault="00DD7426" w:rsidP="00DD7426">
            <w:pPr>
              <w:pBdr>
                <w:top w:val="single" w:sz="4" w:space="1" w:color="auto"/>
                <w:left w:val="single" w:sz="4" w:space="4" w:color="auto"/>
                <w:bottom w:val="single" w:sz="4" w:space="1" w:color="auto"/>
                <w:right w:val="single" w:sz="4" w:space="4" w:color="auto"/>
              </w:pBdr>
              <w:spacing w:before="240"/>
              <w:rPr>
                <w:b/>
              </w:rPr>
            </w:pPr>
          </w:p>
          <w:p w:rsidR="00DD7426" w:rsidRPr="00222C59" w:rsidRDefault="00DD7426" w:rsidP="00DD7426">
            <w:pPr>
              <w:pBdr>
                <w:top w:val="single" w:sz="4" w:space="1" w:color="auto"/>
                <w:left w:val="single" w:sz="4" w:space="4" w:color="auto"/>
                <w:bottom w:val="single" w:sz="4" w:space="1" w:color="auto"/>
                <w:right w:val="single" w:sz="4" w:space="4" w:color="auto"/>
              </w:pBdr>
              <w:spacing w:before="240"/>
              <w:rPr>
                <w:b/>
              </w:rPr>
            </w:pPr>
            <w:r w:rsidRPr="00222C59">
              <w:rPr>
                <w:b/>
              </w:rPr>
              <w:t>South Australia</w:t>
            </w:r>
          </w:p>
          <w:p w:rsidR="00DD7426" w:rsidRDefault="00DD7426" w:rsidP="00DD7426">
            <w:pPr>
              <w:pBdr>
                <w:top w:val="single" w:sz="4" w:space="1" w:color="auto"/>
                <w:left w:val="single" w:sz="4" w:space="4" w:color="auto"/>
                <w:bottom w:val="single" w:sz="4" w:space="1" w:color="auto"/>
                <w:right w:val="single" w:sz="4" w:space="4" w:color="auto"/>
              </w:pBdr>
            </w:pPr>
            <w:r w:rsidRPr="003E1003">
              <w:t>South Australia reported it commenced maintenance services from 2009. To date, 13 remote Aboriginal communities (542 houses) in South Australia receive a maintenance program commensurate with mainstream service. Housing SA’s remote housing maintenance comprises three main elements: emergency maintenance, responsive (but not urgent) maintenance, and programmed maintenance.</w:t>
            </w:r>
          </w:p>
          <w:p w:rsidR="00DD7426" w:rsidRPr="003E1003" w:rsidRDefault="00DD7426" w:rsidP="00DD7426">
            <w:pPr>
              <w:pBdr>
                <w:top w:val="single" w:sz="4" w:space="1" w:color="auto"/>
                <w:left w:val="single" w:sz="4" w:space="4" w:color="auto"/>
                <w:bottom w:val="single" w:sz="4" w:space="1" w:color="auto"/>
                <w:right w:val="single" w:sz="4" w:space="4" w:color="auto"/>
              </w:pBdr>
            </w:pPr>
          </w:p>
          <w:p w:rsidR="00DD7426" w:rsidRDefault="00DD7426" w:rsidP="00DD7426">
            <w:pPr>
              <w:pBdr>
                <w:top w:val="single" w:sz="4" w:space="1" w:color="auto"/>
                <w:left w:val="single" w:sz="4" w:space="4" w:color="auto"/>
                <w:bottom w:val="single" w:sz="4" w:space="1" w:color="auto"/>
                <w:right w:val="single" w:sz="4" w:space="4" w:color="auto"/>
              </w:pBdr>
            </w:pPr>
            <w:r w:rsidRPr="003E1003">
              <w:t xml:space="preserve">Responsive maintenance requests have increased from the beginning of the Strategy, due to improved reporting by tenants, changes to </w:t>
            </w:r>
            <w:r>
              <w:t>PTM</w:t>
            </w:r>
            <w:r w:rsidRPr="003E1003">
              <w:t xml:space="preserve"> model and changes to data collection.</w:t>
            </w:r>
            <w:r w:rsidRPr="003E1003">
              <w:rPr>
                <w:rFonts w:cs="Calibri"/>
                <w:color w:val="585858"/>
              </w:rPr>
              <w:t xml:space="preserve"> </w:t>
            </w:r>
            <w:r w:rsidRPr="003E1003">
              <w:t xml:space="preserve">South Australia reported an average response time of 18.4 days for all remote communities for maintenance requests and successful delivery against mainstream performance indicators for response times. </w:t>
            </w:r>
          </w:p>
          <w:p w:rsidR="00DD7426" w:rsidRPr="003E1003" w:rsidRDefault="00DD7426" w:rsidP="00DD7426">
            <w:pPr>
              <w:pBdr>
                <w:top w:val="single" w:sz="4" w:space="1" w:color="auto"/>
                <w:left w:val="single" w:sz="4" w:space="4" w:color="auto"/>
                <w:bottom w:val="single" w:sz="4" w:space="1" w:color="auto"/>
                <w:right w:val="single" w:sz="4" w:space="4" w:color="auto"/>
              </w:pBdr>
            </w:pPr>
          </w:p>
          <w:p w:rsidR="00DD7426" w:rsidRDefault="00DD7426" w:rsidP="00DD7426">
            <w:pPr>
              <w:pBdr>
                <w:top w:val="single" w:sz="4" w:space="1" w:color="auto"/>
                <w:left w:val="single" w:sz="4" w:space="4" w:color="auto"/>
                <w:bottom w:val="single" w:sz="4" w:space="1" w:color="auto"/>
                <w:right w:val="single" w:sz="4" w:space="4" w:color="auto"/>
              </w:pBdr>
            </w:pPr>
            <w:r w:rsidRPr="003E1003">
              <w:t xml:space="preserve">The </w:t>
            </w:r>
            <w:r>
              <w:t>Jurisdiction</w:t>
            </w:r>
            <w:r w:rsidRPr="003E1003">
              <w:t xml:space="preserve"> has a rolling program of maintenance, delivered on a seasonal and annual basis, on major items including air conditioning servicing, septic tank desludging and inspections upon replacement requirements. A new APY Lands contract commences in April 2017 and will allow for close tracking of maintenance work order response times and completion via a GPS application to be used by the service provider. </w:t>
            </w:r>
          </w:p>
          <w:p w:rsidR="00DD7426" w:rsidRPr="00DD7426" w:rsidRDefault="00DD7426" w:rsidP="00DD7426">
            <w:pPr>
              <w:pBdr>
                <w:top w:val="single" w:sz="4" w:space="1" w:color="auto"/>
                <w:left w:val="single" w:sz="4" w:space="4" w:color="auto"/>
                <w:bottom w:val="single" w:sz="4" w:space="1" w:color="auto"/>
                <w:right w:val="single" w:sz="4" w:space="4" w:color="auto"/>
              </w:pBdr>
              <w:spacing w:before="240"/>
            </w:pPr>
            <w:r w:rsidRPr="00222C59">
              <w:rPr>
                <w:b/>
              </w:rPr>
              <w:t>Northern Territory</w:t>
            </w:r>
          </w:p>
          <w:p w:rsidR="00DD7426" w:rsidRPr="003E1003" w:rsidRDefault="00DD7426" w:rsidP="00DD7426">
            <w:pPr>
              <w:pBdr>
                <w:top w:val="single" w:sz="4" w:space="1" w:color="auto"/>
                <w:left w:val="single" w:sz="4" w:space="4" w:color="auto"/>
                <w:bottom w:val="single" w:sz="4" w:space="1" w:color="auto"/>
                <w:right w:val="single" w:sz="4" w:space="4" w:color="auto"/>
              </w:pBdr>
              <w:rPr>
                <w:rFonts w:eastAsia="Times New Roman" w:cs="Calibri"/>
                <w:lang w:eastAsia="en-AU"/>
              </w:rPr>
            </w:pPr>
            <w:r w:rsidRPr="003E1003">
              <w:rPr>
                <w:rFonts w:eastAsia="Times New Roman" w:cs="Calibri"/>
                <w:lang w:eastAsia="en-AU"/>
              </w:rPr>
              <w:t>The Northern Territory Government has implemented tenancy management systems and repairs and maintenance programs have been delivered for the 5</w:t>
            </w:r>
            <w:r>
              <w:rPr>
                <w:rFonts w:eastAsia="Times New Roman" w:cs="Calibri"/>
                <w:lang w:eastAsia="en-AU"/>
              </w:rPr>
              <w:t>,</w:t>
            </w:r>
            <w:r w:rsidRPr="003E1003">
              <w:rPr>
                <w:rFonts w:eastAsia="Times New Roman" w:cs="Calibri"/>
                <w:lang w:eastAsia="en-AU"/>
              </w:rPr>
              <w:t>000 houses. In September 2013, the Northern Territory Government altered procurement to bundle repairs and maintenance and trades work for remote public housing and remote government employee housing.</w:t>
            </w:r>
          </w:p>
          <w:p w:rsidR="00DD7426" w:rsidRPr="003E1003" w:rsidRDefault="00DD7426" w:rsidP="00DD7426">
            <w:pPr>
              <w:pBdr>
                <w:top w:val="single" w:sz="4" w:space="1" w:color="auto"/>
                <w:left w:val="single" w:sz="4" w:space="4" w:color="auto"/>
                <w:bottom w:val="single" w:sz="4" w:space="1" w:color="auto"/>
                <w:right w:val="single" w:sz="4" w:space="4" w:color="auto"/>
              </w:pBdr>
              <w:rPr>
                <w:rFonts w:eastAsia="Times New Roman" w:cs="Calibri"/>
                <w:lang w:eastAsia="en-AU"/>
              </w:rPr>
            </w:pPr>
            <w:r w:rsidRPr="003E1003">
              <w:rPr>
                <w:rFonts w:eastAsia="Times New Roman" w:cs="Calibri"/>
                <w:lang w:eastAsia="en-AU"/>
              </w:rPr>
              <w:t>The Northern Territory uses its inspections to report items for repair</w:t>
            </w:r>
            <w:r>
              <w:rPr>
                <w:rFonts w:eastAsia="Times New Roman" w:cs="Calibri"/>
                <w:lang w:eastAsia="en-AU"/>
              </w:rPr>
              <w:t xml:space="preserve"> and to put onto a register. It </w:t>
            </w:r>
            <w:r w:rsidRPr="003E1003">
              <w:rPr>
                <w:rFonts w:eastAsia="Times New Roman" w:cs="Calibri"/>
                <w:lang w:eastAsia="en-AU"/>
              </w:rPr>
              <w:t xml:space="preserve">batches jobs for completion timed around urgent works or where there is a critical mass. The </w:t>
            </w:r>
            <w:r>
              <w:rPr>
                <w:rFonts w:eastAsia="Times New Roman" w:cs="Calibri"/>
                <w:lang w:eastAsia="en-AU"/>
              </w:rPr>
              <w:t>Northern Territory</w:t>
            </w:r>
            <w:r w:rsidRPr="003E1003">
              <w:rPr>
                <w:rFonts w:eastAsia="Times New Roman" w:cs="Calibri"/>
                <w:lang w:eastAsia="en-AU"/>
              </w:rPr>
              <w:t xml:space="preserve"> has put in place a local handymen panel by region which allows for a localised, proactive response to fix minor items and report other issues.</w:t>
            </w:r>
          </w:p>
          <w:p w:rsidR="00DD7426" w:rsidRPr="003E1003" w:rsidRDefault="00DD7426" w:rsidP="00DD7426">
            <w:pPr>
              <w:pBdr>
                <w:top w:val="single" w:sz="4" w:space="1" w:color="auto"/>
                <w:left w:val="single" w:sz="4" w:space="4" w:color="auto"/>
                <w:bottom w:val="single" w:sz="4" w:space="1" w:color="auto"/>
                <w:right w:val="single" w:sz="4" w:space="4" w:color="auto"/>
              </w:pBdr>
              <w:rPr>
                <w:rFonts w:eastAsia="Times New Roman" w:cs="Calibri"/>
                <w:lang w:eastAsia="en-AU"/>
              </w:rPr>
            </w:pPr>
            <w:r w:rsidRPr="003E1003">
              <w:rPr>
                <w:rFonts w:eastAsia="Times New Roman" w:cs="Calibri"/>
                <w:lang w:eastAsia="en-AU"/>
              </w:rPr>
              <w:t>Under the Strategy the Northern Territory Government is putting in place a planned maintenance program tri</w:t>
            </w:r>
            <w:r>
              <w:rPr>
                <w:rFonts w:eastAsia="Times New Roman" w:cs="Calibri"/>
                <w:lang w:eastAsia="en-AU"/>
              </w:rPr>
              <w:t>a</w:t>
            </w:r>
            <w:r w:rsidRPr="003E1003">
              <w:rPr>
                <w:rFonts w:eastAsia="Times New Roman" w:cs="Calibri"/>
                <w:lang w:eastAsia="en-AU"/>
              </w:rPr>
              <w:t xml:space="preserve">l for five per cent of </w:t>
            </w:r>
            <w:r>
              <w:rPr>
                <w:rFonts w:eastAsia="Times New Roman" w:cs="Calibri"/>
                <w:lang w:eastAsia="en-AU"/>
              </w:rPr>
              <w:t>its</w:t>
            </w:r>
            <w:r w:rsidRPr="003E1003">
              <w:rPr>
                <w:rFonts w:eastAsia="Times New Roman" w:cs="Calibri"/>
                <w:lang w:eastAsia="en-AU"/>
              </w:rPr>
              <w:t xml:space="preserve"> remote housing stock and will start rolling out maintenance visits from a local maintenance worker.</w:t>
            </w:r>
          </w:p>
          <w:p w:rsidR="00DD7426" w:rsidRPr="00DD7426" w:rsidRDefault="00DD7426" w:rsidP="00DD7426">
            <w:pPr>
              <w:pBdr>
                <w:top w:val="single" w:sz="4" w:space="1" w:color="auto"/>
                <w:left w:val="single" w:sz="4" w:space="4" w:color="auto"/>
                <w:bottom w:val="single" w:sz="4" w:space="1" w:color="auto"/>
                <w:right w:val="single" w:sz="4" w:space="4" w:color="auto"/>
              </w:pBdr>
              <w:rPr>
                <w:rFonts w:eastAsia="Times New Roman" w:cs="Calibri"/>
                <w:lang w:eastAsia="en-AU"/>
              </w:rPr>
            </w:pPr>
            <w:r w:rsidRPr="003E1003">
              <w:rPr>
                <w:rFonts w:eastAsia="Times New Roman" w:cs="Calibri"/>
                <w:lang w:eastAsia="en-AU"/>
              </w:rPr>
              <w:t xml:space="preserve">Currently the property management contract is separate to tenancy management contract and this can result in two different providers involved in one community to delivery housing services. </w:t>
            </w:r>
          </w:p>
        </w:tc>
      </w:tr>
    </w:tbl>
    <w:p w:rsidR="00DD7426" w:rsidRPr="003E1003" w:rsidRDefault="00DD7426" w:rsidP="00222C59"/>
    <w:p w:rsidR="003E1003" w:rsidRPr="003E1003" w:rsidRDefault="003E1003" w:rsidP="00211750">
      <w:pPr>
        <w:pStyle w:val="H3"/>
      </w:pPr>
      <w:bookmarkStart w:id="324" w:name="_Toc477178116"/>
      <w:bookmarkStart w:id="325" w:name="_Toc477248755"/>
      <w:bookmarkStart w:id="326" w:name="_Toc477252741"/>
      <w:bookmarkStart w:id="327" w:name="_Toc490218718"/>
      <w:r w:rsidRPr="003E1003">
        <w:lastRenderedPageBreak/>
        <w:t xml:space="preserve">There are further lessons to be </w:t>
      </w:r>
      <w:r w:rsidR="003376F8">
        <w:t>learned</w:t>
      </w:r>
      <w:r w:rsidRPr="003E1003">
        <w:t xml:space="preserve"> from the delivery of </w:t>
      </w:r>
      <w:r w:rsidRPr="0070040F">
        <w:rPr>
          <w:rStyle w:val="H3Char"/>
        </w:rPr>
        <w:t>maintenance</w:t>
      </w:r>
      <w:r w:rsidRPr="003E1003">
        <w:t xml:space="preserve"> services under the Strategy</w:t>
      </w:r>
      <w:bookmarkEnd w:id="324"/>
      <w:bookmarkEnd w:id="325"/>
      <w:bookmarkEnd w:id="326"/>
      <w:bookmarkEnd w:id="327"/>
      <w:r w:rsidRPr="003E1003">
        <w:t xml:space="preserve"> </w:t>
      </w:r>
    </w:p>
    <w:p w:rsidR="003E1003" w:rsidRPr="003E1003" w:rsidRDefault="00477552" w:rsidP="00222C59">
      <w:r w:rsidRPr="003E1003">
        <w:t xml:space="preserve">These different approaches have achieved different results. Sometimes these results fly in the face of inherited wisdom lessons that should already have been </w:t>
      </w:r>
      <w:r>
        <w:t>learned</w:t>
      </w:r>
      <w:r w:rsidRPr="003E1003">
        <w:t>. Other learnings have been seriously underscored for the first time under the Strategy. In this section we set both out, in order to guide property management in remote communities going f</w:t>
      </w:r>
      <w:r>
        <w:t>orward</w:t>
      </w:r>
      <w:r w:rsidR="00222C59">
        <w:t>.</w:t>
      </w:r>
    </w:p>
    <w:p w:rsidR="003E1003" w:rsidRPr="003E1003" w:rsidRDefault="003E1003" w:rsidP="00211750">
      <w:pPr>
        <w:pStyle w:val="H4"/>
      </w:pPr>
      <w:bookmarkStart w:id="328" w:name="_Toc477178117"/>
      <w:bookmarkStart w:id="329" w:name="_Toc477248756"/>
      <w:bookmarkStart w:id="330" w:name="_Toc477252742"/>
      <w:r w:rsidRPr="003E1003">
        <w:t>Maintenance programs overly dependent on reactive maintenance are unlikely to work</w:t>
      </w:r>
      <w:bookmarkEnd w:id="328"/>
      <w:bookmarkEnd w:id="329"/>
      <w:bookmarkEnd w:id="330"/>
      <w:r w:rsidRPr="003E1003">
        <w:t xml:space="preserve"> </w:t>
      </w:r>
    </w:p>
    <w:p w:rsidR="003E1003" w:rsidRPr="003E1003" w:rsidRDefault="00477552" w:rsidP="00222C59">
      <w:r w:rsidRPr="003E1003">
        <w:t xml:space="preserve">Maintenance programs based solely on </w:t>
      </w:r>
      <w:r>
        <w:t xml:space="preserve">reactive or </w:t>
      </w:r>
      <w:r w:rsidRPr="003E1003">
        <w:t>responsive maintenance (that is, when repair and other work only occurs when a tenant notifies the landlord) are unlikely to work for a number of reasons.</w:t>
      </w:r>
      <w:r w:rsidRPr="003E1003">
        <w:rPr>
          <w:vertAlign w:val="superscript"/>
        </w:rPr>
        <w:footnoteReference w:id="34"/>
      </w:r>
      <w:r w:rsidRPr="003E1003">
        <w:t xml:space="preserve"> Communications systems in ma</w:t>
      </w:r>
      <w:r>
        <w:t xml:space="preserve">ny remote areas are unreliable, </w:t>
      </w:r>
      <w:r w:rsidRPr="003E1003">
        <w:t>and long wet seasons often make it challenging to access communities all year round</w:t>
      </w:r>
      <w:r w:rsidR="003E1003" w:rsidRPr="003E1003">
        <w:t xml:space="preserve">. </w:t>
      </w:r>
    </w:p>
    <w:p w:rsidR="00477552" w:rsidRPr="003E1003" w:rsidRDefault="00477552" w:rsidP="00477552">
      <w:r w:rsidRPr="003E1003">
        <w:t xml:space="preserve">Logistics can be challenging, and the travel costs associated with responsive maintenance are very high. Thus the results will inherently be mixed for tenants. The </w:t>
      </w:r>
      <w:r>
        <w:t>Panel</w:t>
      </w:r>
      <w:r w:rsidRPr="003E1003">
        <w:t xml:space="preserve"> </w:t>
      </w:r>
      <w:r>
        <w:t>heard</w:t>
      </w:r>
      <w:r w:rsidRPr="003E1003">
        <w:t xml:space="preserve"> many complaints of slow delivery, </w:t>
      </w:r>
      <w:r>
        <w:t>especially</w:t>
      </w:r>
      <w:r w:rsidRPr="003E1003">
        <w:t xml:space="preserve"> of reactive maintenance. </w:t>
      </w:r>
    </w:p>
    <w:p w:rsidR="003E1003" w:rsidRPr="003E1003" w:rsidRDefault="00477552" w:rsidP="00477552">
      <w:r w:rsidRPr="003E1003">
        <w:t>The effects of remoteness are especially pronounced for emergency repairs, due to the higher travel costs per job. Maintenance costs in very remote communities are more variable than in remote communities, and are between 1.3 and 5.1 times higher in the majority of cases</w:t>
      </w:r>
      <w:r w:rsidR="003E1003" w:rsidRPr="003E1003">
        <w:t xml:space="preserve">. </w:t>
      </w:r>
    </w:p>
    <w:p w:rsidR="003E1003" w:rsidRPr="003E1003" w:rsidRDefault="00477552" w:rsidP="00222C59">
      <w:r w:rsidRPr="003E1003">
        <w:t>Reactive maintenance will use up the available maintenance budget quickly, if part is not quarantined for planned cyclic maintenance. On average, emergency repairs cost 8.5 times more in very remote communities than in remote communities; and typically, the costs of emergency repairs are 75 per cent higher than planned activities, while responsive activities are 50 per cent more costly than planned</w:t>
      </w:r>
      <w:r w:rsidR="003E1003" w:rsidRPr="003E1003">
        <w:t>.</w:t>
      </w:r>
      <w:r w:rsidR="00837053">
        <w:rPr>
          <w:rStyle w:val="FootnoteReference"/>
        </w:rPr>
        <w:footnoteReference w:id="35"/>
      </w:r>
      <w:r w:rsidR="003E1003" w:rsidRPr="003E1003">
        <w:t xml:space="preserve"> </w:t>
      </w:r>
    </w:p>
    <w:p w:rsidR="003E1003" w:rsidRPr="003E1003" w:rsidRDefault="003E1003" w:rsidP="00211750">
      <w:pPr>
        <w:pStyle w:val="H4"/>
      </w:pPr>
      <w:bookmarkStart w:id="331" w:name="_Toc477178118"/>
      <w:bookmarkStart w:id="332" w:name="_Toc477248757"/>
      <w:bookmarkStart w:id="333" w:name="_Toc477252743"/>
      <w:r w:rsidRPr="003E1003">
        <w:t>Utilisation of local labour has real potential to manage maintenance costs</w:t>
      </w:r>
      <w:bookmarkEnd w:id="331"/>
      <w:bookmarkEnd w:id="332"/>
      <w:bookmarkEnd w:id="333"/>
      <w:r w:rsidRPr="003E1003">
        <w:t xml:space="preserve"> </w:t>
      </w:r>
    </w:p>
    <w:p w:rsidR="003E1003" w:rsidRPr="003E1003" w:rsidRDefault="003E1003" w:rsidP="00222C59">
      <w:r w:rsidRPr="003E1003">
        <w:t xml:space="preserve">The use of local labour for maintenance and tenancy management and up-skilling local workforces to perform, at least non-trade, jobs can also support managing costs and faster response times. This is examined in more detail later in this chapter. </w:t>
      </w:r>
    </w:p>
    <w:p w:rsidR="003E1003" w:rsidRPr="003E1003" w:rsidRDefault="003E1003" w:rsidP="00222C59">
      <w:r w:rsidRPr="003E1003">
        <w:lastRenderedPageBreak/>
        <w:t xml:space="preserve">Local employment outcomes under the Strategy are discussed in the next chapter. The </w:t>
      </w:r>
      <w:r w:rsidR="00D4068D">
        <w:t>Panel</w:t>
      </w:r>
      <w:r w:rsidRPr="003E1003">
        <w:t xml:space="preserve"> heard consistently from local government community organisations and businesses that repairs and maintenance programs </w:t>
      </w:r>
      <w:r w:rsidR="00837053">
        <w:t>is</w:t>
      </w:r>
      <w:r w:rsidRPr="003E1003">
        <w:t xml:space="preserve"> one area where local employment should be possible.</w:t>
      </w:r>
    </w:p>
    <w:p w:rsidR="003E1003" w:rsidRPr="003E1003" w:rsidRDefault="003E1003" w:rsidP="00211750">
      <w:pPr>
        <w:pStyle w:val="H4"/>
      </w:pPr>
      <w:bookmarkStart w:id="334" w:name="_Toc477178119"/>
      <w:bookmarkStart w:id="335" w:name="_Toc477248758"/>
      <w:bookmarkStart w:id="336" w:name="_Toc477252744"/>
      <w:r w:rsidRPr="003E1003">
        <w:t xml:space="preserve">The Commonwealth has had limited </w:t>
      </w:r>
      <w:r w:rsidR="00825D2D">
        <w:t>over</w:t>
      </w:r>
      <w:r w:rsidRPr="003E1003">
        <w:t>sight of the quality of maintenance programs</w:t>
      </w:r>
      <w:bookmarkEnd w:id="334"/>
      <w:bookmarkEnd w:id="335"/>
      <w:bookmarkEnd w:id="336"/>
      <w:r w:rsidRPr="003E1003">
        <w:t xml:space="preserve"> </w:t>
      </w:r>
    </w:p>
    <w:p w:rsidR="003E1003" w:rsidRPr="003E1003" w:rsidRDefault="003E1003" w:rsidP="00222C59">
      <w:r w:rsidRPr="003E1003">
        <w:t xml:space="preserve">Even </w:t>
      </w:r>
      <w:r w:rsidR="00837053">
        <w:t>after</w:t>
      </w:r>
      <w:r w:rsidR="00837053" w:rsidRPr="003E1003">
        <w:t xml:space="preserve"> </w:t>
      </w:r>
      <w:r w:rsidRPr="003E1003">
        <w:t>the 2016 changes to the Strategy, the Commonwealth has limited oversight of the quality of repairs and maintenance programs, which makes both program administration and objective performance measurement challenging.</w:t>
      </w:r>
      <w:r w:rsidRPr="003E1003">
        <w:rPr>
          <w:b/>
        </w:rPr>
        <w:t xml:space="preserve"> </w:t>
      </w:r>
      <w:r w:rsidRPr="003E1003">
        <w:t xml:space="preserve">While </w:t>
      </w:r>
      <w:r w:rsidR="0004739C">
        <w:t>jurisdiction</w:t>
      </w:r>
      <w:r w:rsidRPr="003E1003">
        <w:t xml:space="preserve">s conduct regular house inspections, the program does not require </w:t>
      </w:r>
      <w:r w:rsidR="0004739C">
        <w:t>jurisdiction</w:t>
      </w:r>
      <w:r w:rsidRPr="003E1003">
        <w:t xml:space="preserve">s to provide information to the Commonwealth on the results of the inspections. </w:t>
      </w:r>
    </w:p>
    <w:p w:rsidR="003E1003" w:rsidRPr="003E1003" w:rsidRDefault="003E1003" w:rsidP="00222C59">
      <w:r w:rsidRPr="003E1003">
        <w:t xml:space="preserve">In the absence of the Commonwealth being able to </w:t>
      </w:r>
      <w:r w:rsidRPr="003E1003" w:rsidDel="00825CE2">
        <w:t xml:space="preserve">provide </w:t>
      </w:r>
      <w:r w:rsidRPr="003E1003">
        <w:t xml:space="preserve">this information and clarify the state of affairs, on balance, the </w:t>
      </w:r>
      <w:r w:rsidR="00F536E2">
        <w:t>P</w:t>
      </w:r>
      <w:r w:rsidRPr="003E1003">
        <w:t xml:space="preserve">anel is confident there is significant room for improvement in the delivery of repairs and maintenance to remote Indigenous housing. </w:t>
      </w:r>
    </w:p>
    <w:p w:rsidR="003E1003" w:rsidRPr="003E1003" w:rsidRDefault="003E1003" w:rsidP="00211750">
      <w:pPr>
        <w:pStyle w:val="H3"/>
      </w:pPr>
      <w:bookmarkStart w:id="337" w:name="_Toc477178121"/>
      <w:bookmarkStart w:id="338" w:name="_Toc477248759"/>
      <w:bookmarkStart w:id="339" w:name="_Toc477252745"/>
      <w:bookmarkStart w:id="340" w:name="_Toc490218719"/>
      <w:bookmarkStart w:id="341" w:name="_Toc475553066"/>
      <w:bookmarkStart w:id="342" w:name="_Toc475991582"/>
      <w:bookmarkStart w:id="343" w:name="_Toc475991822"/>
      <w:bookmarkStart w:id="344" w:name="_Toc475996303"/>
      <w:bookmarkEnd w:id="310"/>
      <w:r w:rsidRPr="003E1003">
        <w:t xml:space="preserve">Formalising tenancy agreements was a start but tenants are not clear </w:t>
      </w:r>
      <w:r w:rsidR="00825D2D">
        <w:t xml:space="preserve">about </w:t>
      </w:r>
      <w:r w:rsidRPr="003E1003">
        <w:t>rights and responsibilities</w:t>
      </w:r>
      <w:bookmarkEnd w:id="337"/>
      <w:bookmarkEnd w:id="338"/>
      <w:bookmarkEnd w:id="339"/>
      <w:bookmarkEnd w:id="340"/>
      <w:r w:rsidRPr="003E1003">
        <w:t xml:space="preserve"> </w:t>
      </w:r>
    </w:p>
    <w:p w:rsidR="003E1003" w:rsidRPr="00B9482C" w:rsidRDefault="00BB1379" w:rsidP="00222C59">
      <w:r w:rsidRPr="00B9482C">
        <w:t xml:space="preserve">Under the CHIP, there were often no formal tenancy agreements in place. Through the Strategy, tenancy agreements were put in place for 98 per cent of all new builds and refurbishments within eight weeks of completion. </w:t>
      </w:r>
      <w:r>
        <w:t>Tenancy management has progressed significantly under the Strategy and is much easier from a base where houses are not as overcrowded. The reduction in overcrowding, repairs and maintenance schemes in place, and land reform, have made it easier for tenants to look after their houses and manage their tenancies</w:t>
      </w:r>
      <w:r w:rsidR="00FB5DD6">
        <w:t xml:space="preserve">. </w:t>
      </w:r>
    </w:p>
    <w:p w:rsidR="003E1003" w:rsidRPr="00B9482C" w:rsidRDefault="00BB1379" w:rsidP="00222C59">
      <w:r w:rsidRPr="00B9482C">
        <w:t>Despite the implementation of tenancy agreements</w:t>
      </w:r>
      <w:r>
        <w:t>,</w:t>
      </w:r>
      <w:r w:rsidRPr="00B9482C">
        <w:t xml:space="preserve"> tenants continue to express confusion about their rights and responsibilities, particular points of confusion that the Panel commonly heard during consultations were</w:t>
      </w:r>
      <w:r w:rsidR="003E1003" w:rsidRPr="00B9482C">
        <w:t>:</w:t>
      </w:r>
    </w:p>
    <w:p w:rsidR="003E1003" w:rsidRPr="00222C59" w:rsidRDefault="003E1003" w:rsidP="00627AAC">
      <w:pPr>
        <w:pStyle w:val="ListParagraph"/>
        <w:numPr>
          <w:ilvl w:val="0"/>
          <w:numId w:val="23"/>
        </w:numPr>
        <w:rPr>
          <w:rFonts w:ascii="Calibri" w:eastAsia="Calibri" w:hAnsi="Calibri" w:cs="Times New Roman"/>
        </w:rPr>
      </w:pPr>
      <w:r w:rsidRPr="00222C59">
        <w:rPr>
          <w:rFonts w:ascii="Calibri" w:eastAsia="Calibri" w:hAnsi="Calibri" w:cs="Times New Roman"/>
        </w:rPr>
        <w:t>who to contact when things are broken</w:t>
      </w:r>
    </w:p>
    <w:p w:rsidR="003E1003" w:rsidRPr="00222C59" w:rsidRDefault="003E1003" w:rsidP="00627AAC">
      <w:pPr>
        <w:pStyle w:val="ListParagraph"/>
        <w:numPr>
          <w:ilvl w:val="0"/>
          <w:numId w:val="23"/>
        </w:numPr>
        <w:rPr>
          <w:rFonts w:ascii="Calibri" w:eastAsia="Calibri" w:hAnsi="Calibri" w:cs="Times New Roman"/>
        </w:rPr>
      </w:pPr>
      <w:r w:rsidRPr="00222C59">
        <w:rPr>
          <w:rFonts w:ascii="Calibri" w:eastAsia="Calibri" w:hAnsi="Calibri" w:cs="Times New Roman"/>
        </w:rPr>
        <w:t>rent setting and collection policies</w:t>
      </w:r>
    </w:p>
    <w:p w:rsidR="003E1003" w:rsidRPr="00222C59" w:rsidRDefault="003E1003" w:rsidP="00627AAC">
      <w:pPr>
        <w:pStyle w:val="ListParagraph"/>
        <w:numPr>
          <w:ilvl w:val="0"/>
          <w:numId w:val="23"/>
        </w:numPr>
        <w:rPr>
          <w:rFonts w:ascii="Calibri" w:eastAsia="Calibri" w:hAnsi="Calibri" w:cs="Times New Roman"/>
        </w:rPr>
      </w:pPr>
      <w:r w:rsidRPr="00222C59">
        <w:rPr>
          <w:rFonts w:ascii="Calibri" w:eastAsia="Calibri" w:hAnsi="Calibri" w:cs="Times New Roman"/>
        </w:rPr>
        <w:t>responsibility to notify the landlord about occupancy changes</w:t>
      </w:r>
      <w:r w:rsidR="00EB680F">
        <w:rPr>
          <w:rFonts w:ascii="Calibri" w:eastAsia="Calibri" w:hAnsi="Calibri" w:cs="Times New Roman"/>
        </w:rPr>
        <w:t>,</w:t>
      </w:r>
      <w:r w:rsidRPr="00222C59">
        <w:rPr>
          <w:rFonts w:ascii="Calibri" w:eastAsia="Calibri" w:hAnsi="Calibri" w:cs="Times New Roman"/>
        </w:rPr>
        <w:t xml:space="preserve"> and</w:t>
      </w:r>
    </w:p>
    <w:p w:rsidR="003E1003" w:rsidRPr="00222C59" w:rsidRDefault="003E1003" w:rsidP="00627AAC">
      <w:pPr>
        <w:pStyle w:val="ListParagraph"/>
        <w:numPr>
          <w:ilvl w:val="0"/>
          <w:numId w:val="23"/>
        </w:numPr>
        <w:rPr>
          <w:rFonts w:ascii="Calibri" w:eastAsia="Calibri" w:hAnsi="Calibri" w:cs="Times New Roman"/>
        </w:rPr>
      </w:pPr>
      <w:r w:rsidRPr="00222C59">
        <w:rPr>
          <w:rFonts w:ascii="Calibri" w:eastAsia="Calibri" w:hAnsi="Calibri" w:cs="Times New Roman"/>
        </w:rPr>
        <w:t>responsibility for yard maintenance.</w:t>
      </w:r>
    </w:p>
    <w:p w:rsidR="003E1003" w:rsidRPr="00B9482C" w:rsidRDefault="0004739C" w:rsidP="00211750">
      <w:pPr>
        <w:pStyle w:val="H4"/>
      </w:pPr>
      <w:bookmarkStart w:id="345" w:name="_Toc477178122"/>
      <w:bookmarkStart w:id="346" w:name="_Toc477248760"/>
      <w:bookmarkStart w:id="347" w:name="_Toc477252746"/>
      <w:r>
        <w:t>Jurisdiction</w:t>
      </w:r>
      <w:r w:rsidR="003E1003" w:rsidRPr="00B9482C">
        <w:t>s are now responding to these concerns</w:t>
      </w:r>
      <w:bookmarkEnd w:id="345"/>
      <w:bookmarkEnd w:id="346"/>
      <w:bookmarkEnd w:id="347"/>
      <w:r w:rsidR="003E1003" w:rsidRPr="00B9482C">
        <w:t xml:space="preserve"> </w:t>
      </w:r>
    </w:p>
    <w:p w:rsidR="003E1003" w:rsidRPr="003E1003" w:rsidRDefault="0004739C" w:rsidP="00222C59">
      <w:r>
        <w:t>Jurisdiction</w:t>
      </w:r>
      <w:r w:rsidR="00BB1379" w:rsidRPr="003E1003">
        <w:t xml:space="preserve"> governments have recognised tenant concerns, and tenant support and education are the key focus for tenancy management policies. Each </w:t>
      </w:r>
      <w:r>
        <w:t>jurisdiction</w:t>
      </w:r>
      <w:r w:rsidR="00BB1379" w:rsidRPr="003E1003">
        <w:t xml:space="preserve"> is approaching this in a different way</w:t>
      </w:r>
      <w:r w:rsidR="003E1003" w:rsidRPr="003E1003">
        <w:t>:</w:t>
      </w:r>
    </w:p>
    <w:p w:rsidR="003E1003" w:rsidRPr="003E1003" w:rsidRDefault="003E1003" w:rsidP="00627AAC">
      <w:pPr>
        <w:pStyle w:val="ListParagraph"/>
        <w:numPr>
          <w:ilvl w:val="0"/>
          <w:numId w:val="24"/>
        </w:numPr>
      </w:pPr>
      <w:r w:rsidRPr="003E1003">
        <w:lastRenderedPageBreak/>
        <w:t xml:space="preserve">New South Wales provided tenant education workshops to inform tenants about their rights and responsibilities. They also published a tenant-authored range of child and adult focused stories and comic books. </w:t>
      </w:r>
    </w:p>
    <w:p w:rsidR="003E1003" w:rsidRPr="003E1003" w:rsidRDefault="003E1003" w:rsidP="00627AAC">
      <w:pPr>
        <w:pStyle w:val="ListParagraph"/>
        <w:numPr>
          <w:ilvl w:val="0"/>
          <w:numId w:val="24"/>
        </w:numPr>
      </w:pPr>
      <w:r w:rsidRPr="003E1003">
        <w:t xml:space="preserve">Queensland has delivered more than 14,000 tenancy support services to </w:t>
      </w:r>
      <w:r w:rsidR="00837053">
        <w:t>improve</w:t>
      </w:r>
      <w:r w:rsidR="00FD677D">
        <w:t xml:space="preserve"> </w:t>
      </w:r>
      <w:r w:rsidRPr="003E1003">
        <w:t>tenants’ understanding of the system. Queensland also uses a ‘Blue Phone’ system to enable swift communication between te</w:t>
      </w:r>
      <w:r w:rsidR="0053011A">
        <w:t>nants housing authorities (see B</w:t>
      </w:r>
      <w:r w:rsidRPr="003E1003">
        <w:t>ox</w:t>
      </w:r>
      <w:r w:rsidR="00110C8D">
        <w:t xml:space="preserve"> 5.3</w:t>
      </w:r>
      <w:r w:rsidRPr="003E1003">
        <w:t>).</w:t>
      </w:r>
    </w:p>
    <w:p w:rsidR="003E1003" w:rsidRPr="003E1003" w:rsidRDefault="003E1003" w:rsidP="00627AAC">
      <w:pPr>
        <w:pStyle w:val="ListParagraph"/>
        <w:numPr>
          <w:ilvl w:val="0"/>
          <w:numId w:val="24"/>
        </w:numPr>
      </w:pPr>
      <w:r w:rsidRPr="003E1003">
        <w:t>Western Australia, 100 per cent of tenants are provided with tenancy rights and responsibility training within two months of signing a tenancy agreement.</w:t>
      </w:r>
    </w:p>
    <w:p w:rsidR="003E1003" w:rsidRPr="003E1003" w:rsidRDefault="003E1003" w:rsidP="00627AAC">
      <w:pPr>
        <w:pStyle w:val="ListParagraph"/>
        <w:numPr>
          <w:ilvl w:val="0"/>
          <w:numId w:val="24"/>
        </w:numPr>
      </w:pPr>
      <w:r w:rsidRPr="003E1003">
        <w:t>In South Australia, local employees are paired with a more experienced staff member to assist with translating and discussing tenancy obligations.</w:t>
      </w:r>
    </w:p>
    <w:p w:rsidR="003E1003" w:rsidRPr="003E1003" w:rsidRDefault="003E1003" w:rsidP="00627AAC">
      <w:pPr>
        <w:pStyle w:val="ListParagraph"/>
        <w:numPr>
          <w:ilvl w:val="0"/>
          <w:numId w:val="24"/>
        </w:numPr>
      </w:pPr>
      <w:r w:rsidRPr="003E1003">
        <w:t>The Northern Territory has implemented standardised tenancy management arrangements based on public housing standards. Successes have been achieved with Tenancy Management Services contracts that provide for locally based Community Housing Officers to deliver tenancy support and advice.</w:t>
      </w:r>
    </w:p>
    <w:p w:rsidR="003E1003" w:rsidRPr="003E1003" w:rsidRDefault="003E1003" w:rsidP="003E1003">
      <w:pPr>
        <w:spacing w:after="120" w:line="240" w:lineRule="auto"/>
        <w:ind w:left="447"/>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75"/>
        <w:gridCol w:w="4472"/>
      </w:tblGrid>
      <w:tr w:rsidR="003E1003" w:rsidRPr="003E1003" w:rsidTr="003E1003">
        <w:trPr>
          <w:cantSplit/>
        </w:trPr>
        <w:tc>
          <w:tcPr>
            <w:tcW w:w="0" w:type="auto"/>
            <w:gridSpan w:val="2"/>
          </w:tcPr>
          <w:p w:rsidR="003E1003" w:rsidRPr="003E1003" w:rsidRDefault="00B9482C" w:rsidP="003E1003">
            <w:pPr>
              <w:keepNext/>
              <w:rPr>
                <w:rFonts w:ascii="Calibri" w:eastAsia="Calibri" w:hAnsi="Calibri" w:cs="Times New Roman"/>
                <w:b/>
                <w:noProof/>
                <w:lang w:eastAsia="en-AU"/>
              </w:rPr>
            </w:pPr>
            <w:r>
              <w:rPr>
                <w:rFonts w:ascii="Calibri" w:eastAsia="Calibri" w:hAnsi="Calibri" w:cs="Times New Roman"/>
                <w:b/>
              </w:rPr>
              <w:t>Box 5</w:t>
            </w:r>
            <w:r w:rsidR="00110C8D">
              <w:rPr>
                <w:rFonts w:ascii="Calibri" w:eastAsia="Calibri" w:hAnsi="Calibri" w:cs="Times New Roman"/>
                <w:b/>
              </w:rPr>
              <w:t>.3</w:t>
            </w:r>
            <w:r w:rsidR="003E1003" w:rsidRPr="003E1003">
              <w:rPr>
                <w:rFonts w:ascii="Calibri" w:eastAsia="Calibri" w:hAnsi="Calibri" w:cs="Times New Roman"/>
                <w:b/>
              </w:rPr>
              <w:t>: Queensland’s Blue Phone System</w:t>
            </w:r>
          </w:p>
        </w:tc>
      </w:tr>
      <w:tr w:rsidR="003E1003" w:rsidRPr="003E1003" w:rsidTr="003E1003">
        <w:trPr>
          <w:cantSplit/>
          <w:trHeight w:val="5818"/>
        </w:trPr>
        <w:tc>
          <w:tcPr>
            <w:tcW w:w="0" w:type="auto"/>
          </w:tcPr>
          <w:p w:rsidR="003E1003" w:rsidRPr="003E1003" w:rsidRDefault="003E1003" w:rsidP="003E1003">
            <w:pPr>
              <w:rPr>
                <w:rFonts w:ascii="Calibri" w:eastAsia="Calibri" w:hAnsi="Calibri" w:cs="Times New Roman"/>
                <w:b/>
              </w:rPr>
            </w:pPr>
            <w:r w:rsidRPr="003E1003">
              <w:rPr>
                <w:rFonts w:ascii="Calibri" w:eastAsia="Calibri" w:hAnsi="Calibri" w:cs="Times New Roman"/>
                <w:b/>
                <w:noProof/>
                <w:lang w:eastAsia="en-AU"/>
              </w:rPr>
              <w:drawing>
                <wp:anchor distT="0" distB="0" distL="114300" distR="114300" simplePos="0" relativeHeight="251658240" behindDoc="0" locked="0" layoutInCell="1" allowOverlap="1" wp14:anchorId="7A1AE0DA" wp14:editId="7A1AE0DB">
                  <wp:simplePos x="0" y="0"/>
                  <wp:positionH relativeFrom="column">
                    <wp:posOffset>-304800</wp:posOffset>
                  </wp:positionH>
                  <wp:positionV relativeFrom="paragraph">
                    <wp:posOffset>387350</wp:posOffset>
                  </wp:positionV>
                  <wp:extent cx="3220720" cy="2417445"/>
                  <wp:effectExtent l="134937" t="112713" r="152718" b="171767"/>
                  <wp:wrapSquare wrapText="bothSides"/>
                  <wp:docPr id="11" name="Picture 11" descr="Queensland Blue Phone for contacting the local Housing Officer" title="Queensland Blue Phone for contacting the local Housin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10\AppData\Local\Microsoft\Windows\Temporary Internet Files\Content.Outlook\DGDXUOSZ\image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220720" cy="241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0" w:type="auto"/>
          </w:tcPr>
          <w:p w:rsidR="00BB1379" w:rsidRPr="003E1003" w:rsidRDefault="00BB1379" w:rsidP="00BB1379">
            <w:r w:rsidRPr="003E1003">
              <w:t>Coordinating maintenance is challenging in remote circumstances, especially when a community lives across water, like in Moa Island in the Torres Strait. If community members cannot report their needs, it leads to high levels of unreported problems, which can lead to major remediation work.</w:t>
            </w:r>
          </w:p>
          <w:p w:rsidR="00BB1379" w:rsidRPr="003E1003" w:rsidRDefault="00BB1379" w:rsidP="00BB1379">
            <w:r w:rsidRPr="003E1003">
              <w:t xml:space="preserve">Queensland has a Blue Phone for contacting the Local Housing Officer in Thursday Island to lodge housing maintenance requests. It is more popular than the mainstream 1300 number, which contacts Queensland Housing in Brisbane. The local line deals better with language barriers and technical questions. </w:t>
            </w:r>
          </w:p>
          <w:p w:rsidR="003E1003" w:rsidRPr="003E1003" w:rsidRDefault="00BB1379" w:rsidP="00BB1379">
            <w:r w:rsidRPr="003E1003">
              <w:t>This system is available throughout Queensland’s remote communities. It is intended to put community members directly in touch with a Maintenance Call Centre staff member, no matter where they are</w:t>
            </w:r>
            <w:r w:rsidR="003E1003" w:rsidRPr="003E1003">
              <w:t xml:space="preserve">. </w:t>
            </w:r>
          </w:p>
        </w:tc>
      </w:tr>
    </w:tbl>
    <w:p w:rsidR="003E1003" w:rsidRPr="003E1003" w:rsidRDefault="003E1003" w:rsidP="003E1003">
      <w:pPr>
        <w:rPr>
          <w:rFonts w:ascii="Calibri" w:eastAsia="Calibri" w:hAnsi="Calibri" w:cs="Times New Roman"/>
        </w:rPr>
      </w:pPr>
    </w:p>
    <w:p w:rsidR="003E1003" w:rsidRPr="00B9482C" w:rsidRDefault="003E1003" w:rsidP="00211750">
      <w:pPr>
        <w:pStyle w:val="H4"/>
      </w:pPr>
      <w:bookmarkStart w:id="348" w:name="_Toc477178123"/>
      <w:bookmarkStart w:id="349" w:name="_Toc477248761"/>
      <w:bookmarkStart w:id="350" w:name="_Toc477252747"/>
      <w:r w:rsidRPr="00B9482C">
        <w:lastRenderedPageBreak/>
        <w:t xml:space="preserve">Tenant recourse to enforce their rights has been </w:t>
      </w:r>
      <w:r w:rsidR="000A0FCD">
        <w:t>weak</w:t>
      </w:r>
      <w:r w:rsidRPr="00B9482C">
        <w:t xml:space="preserve"> and more work is needed on managing poor performing tenants</w:t>
      </w:r>
      <w:bookmarkEnd w:id="348"/>
      <w:bookmarkEnd w:id="349"/>
      <w:bookmarkEnd w:id="350"/>
    </w:p>
    <w:p w:rsidR="003E1003" w:rsidRPr="003E1003" w:rsidRDefault="00BB1379" w:rsidP="00222C59">
      <w:pPr>
        <w:rPr>
          <w:b/>
        </w:rPr>
      </w:pPr>
      <w:r w:rsidRPr="003E1003">
        <w:t>Consequences and enforcement of rights and responsibilities are important for both tenants and landlords.</w:t>
      </w:r>
      <w:r w:rsidRPr="003E1003">
        <w:rPr>
          <w:b/>
        </w:rPr>
        <w:t xml:space="preserve"> </w:t>
      </w:r>
      <w:r w:rsidRPr="003E1003">
        <w:t>The Panel heard it is sometimes challenging for tenants to have access to recourse if landlords do not meet their obligations.</w:t>
      </w:r>
      <w:r w:rsidRPr="003E1003">
        <w:rPr>
          <w:b/>
        </w:rPr>
        <w:t xml:space="preserve"> </w:t>
      </w:r>
      <w:r w:rsidRPr="003E1003">
        <w:t xml:space="preserve">There were examples of poorly maintained houses and tenants feeling powerless to take any action. Without outreach or advocacy services, tenants in remote areas are less able to access </w:t>
      </w:r>
      <w:r w:rsidR="0004739C">
        <w:t>jurisdiction</w:t>
      </w:r>
      <w:r w:rsidRPr="003E1003">
        <w:t xml:space="preserve"> tenancy tribunals</w:t>
      </w:r>
      <w:r w:rsidR="003E1003" w:rsidRPr="003E1003">
        <w:t xml:space="preserve">. </w:t>
      </w:r>
    </w:p>
    <w:p w:rsidR="00BB1379" w:rsidRPr="003E1003" w:rsidRDefault="00BB1379" w:rsidP="00BB1379">
      <w:pPr>
        <w:rPr>
          <w:b/>
        </w:rPr>
      </w:pPr>
      <w:r w:rsidRPr="003E1003">
        <w:t xml:space="preserve">Community leaders, including traditional owners and significant numbers of senior women, many of whom are household heads, have lent support to the reforms and their level of participation and contribution to the development of good </w:t>
      </w:r>
      <w:r>
        <w:t>PTM</w:t>
      </w:r>
      <w:r w:rsidRPr="003E1003">
        <w:t xml:space="preserve"> is a result of the leadership they provided. It is important to have the backing of the right individuals when implementing policy change. The </w:t>
      </w:r>
      <w:r>
        <w:t>Panel</w:t>
      </w:r>
      <w:r w:rsidRPr="003E1003">
        <w:t xml:space="preserve"> is of the view that recourse for tenants with good records against poor landlord behaviour is a key underpinning of the credibility of tenancy reform.</w:t>
      </w:r>
    </w:p>
    <w:p w:rsidR="003E1003" w:rsidRPr="003E1003" w:rsidRDefault="00BB1379" w:rsidP="00BB1379">
      <w:r w:rsidRPr="003E1003">
        <w:t xml:space="preserve">Similarly, tenancy system credibility depends on resolute but fair management of poor performing tenants. </w:t>
      </w:r>
      <w:r>
        <w:t xml:space="preserve">Landlords (usually </w:t>
      </w:r>
      <w:r w:rsidR="0004739C">
        <w:t>jurisdiction</w:t>
      </w:r>
      <w:r>
        <w:t xml:space="preserve">s) need to follow through on sanctions set out in tenancy agreements. </w:t>
      </w:r>
      <w:r w:rsidRPr="003E1003">
        <w:t>In the relatively small number of cases where tenant damage is deliberate, there are good practices occurring to better align incentives. A good example is the tenant damage penalties us</w:t>
      </w:r>
      <w:r>
        <w:t>ed in one New South Wales local land council (see Box 5</w:t>
      </w:r>
      <w:r w:rsidRPr="003E1003">
        <w:t>.4)</w:t>
      </w:r>
      <w:r w:rsidR="003E1003" w:rsidRPr="003E1003">
        <w:t>.</w:t>
      </w:r>
    </w:p>
    <w:p w:rsidR="003E1003" w:rsidRPr="003E1003" w:rsidRDefault="003E1003" w:rsidP="00222C59">
      <w:r w:rsidRPr="003E1003">
        <w:t xml:space="preserve">The </w:t>
      </w:r>
      <w:r w:rsidR="00D4068D">
        <w:t>Panel</w:t>
      </w:r>
      <w:r w:rsidRPr="003E1003">
        <w:t xml:space="preserve"> was concerned that there are neither regional nor national fora for the effective sharing of examples of good practice.</w:t>
      </w:r>
    </w:p>
    <w:tbl>
      <w:tblPr>
        <w:tblStyle w:val="TableGrid1"/>
        <w:tblW w:w="0" w:type="auto"/>
        <w:tblLook w:val="04A0" w:firstRow="1" w:lastRow="0" w:firstColumn="1" w:lastColumn="0" w:noHBand="0" w:noVBand="1"/>
      </w:tblPr>
      <w:tblGrid>
        <w:gridCol w:w="8947"/>
      </w:tblGrid>
      <w:tr w:rsidR="003E1003" w:rsidRPr="003E1003" w:rsidTr="003E1003">
        <w:trPr>
          <w:cantSplit/>
        </w:trPr>
        <w:tc>
          <w:tcPr>
            <w:tcW w:w="9173" w:type="dxa"/>
          </w:tcPr>
          <w:p w:rsidR="003E1003" w:rsidRPr="00222C59" w:rsidRDefault="00B9482C" w:rsidP="00222C59">
            <w:pPr>
              <w:rPr>
                <w:b/>
                <w:lang w:eastAsia="en-AU"/>
              </w:rPr>
            </w:pPr>
            <w:r w:rsidRPr="00222C59">
              <w:rPr>
                <w:b/>
                <w:lang w:eastAsia="en-AU"/>
              </w:rPr>
              <w:t>Box 5</w:t>
            </w:r>
            <w:r w:rsidR="003E1003" w:rsidRPr="00222C59">
              <w:rPr>
                <w:b/>
                <w:lang w:eastAsia="en-AU"/>
              </w:rPr>
              <w:t xml:space="preserve">.4: Tenant damage penalties in </w:t>
            </w:r>
            <w:r w:rsidR="007313CB">
              <w:rPr>
                <w:b/>
                <w:lang w:eastAsia="en-AU"/>
              </w:rPr>
              <w:t>New South Wales</w:t>
            </w:r>
            <w:r w:rsidR="003E1003" w:rsidRPr="00222C59">
              <w:rPr>
                <w:b/>
                <w:lang w:eastAsia="en-AU"/>
              </w:rPr>
              <w:t xml:space="preserve"> community</w:t>
            </w:r>
          </w:p>
          <w:p w:rsidR="003E1003" w:rsidRPr="003E1003" w:rsidRDefault="0074049C" w:rsidP="00222C59">
            <w:pPr>
              <w:rPr>
                <w:lang w:eastAsia="en-AU"/>
              </w:rPr>
            </w:pPr>
            <w:r w:rsidRPr="003E1003">
              <w:rPr>
                <w:lang w:eastAsia="en-AU"/>
              </w:rPr>
              <w:t xml:space="preserve">A local land council on the Central Coast of </w:t>
            </w:r>
            <w:r>
              <w:rPr>
                <w:lang w:eastAsia="en-AU"/>
              </w:rPr>
              <w:t>New South Wales</w:t>
            </w:r>
            <w:r w:rsidRPr="003E1003">
              <w:rPr>
                <w:lang w:eastAsia="en-AU"/>
              </w:rPr>
              <w:t xml:space="preserve"> runs an Affordable Housing Program based on cost recovery. This Program sets a base rent for properties each year, including cost of rates, insurance, and cyclical maintenance. The Council reviews costs annually and adjusts property rents in line with the costs to run each house. If a tenant has taken poor care of their home and maintenance costs are higher than expected, rent is raised and lowered where costs are lower</w:t>
            </w:r>
            <w:r w:rsidR="003E1003" w:rsidRPr="003E1003">
              <w:rPr>
                <w:lang w:eastAsia="en-AU"/>
              </w:rPr>
              <w:t>.</w:t>
            </w:r>
          </w:p>
        </w:tc>
      </w:tr>
    </w:tbl>
    <w:p w:rsidR="003E1003" w:rsidRPr="003E1003" w:rsidRDefault="003E1003" w:rsidP="00211750">
      <w:pPr>
        <w:pStyle w:val="H3"/>
      </w:pPr>
      <w:bookmarkStart w:id="351" w:name="_Toc477178124"/>
      <w:bookmarkStart w:id="352" w:name="_Toc477248762"/>
      <w:bookmarkStart w:id="353" w:name="_Toc477252748"/>
      <w:bookmarkStart w:id="354" w:name="_Toc490218720"/>
      <w:r w:rsidRPr="003E1003">
        <w:t xml:space="preserve">There have been positive changes to rental policy and practices </w:t>
      </w:r>
      <w:r w:rsidR="000A0FCD">
        <w:t xml:space="preserve">but </w:t>
      </w:r>
      <w:r w:rsidRPr="003E1003">
        <w:t xml:space="preserve">again, </w:t>
      </w:r>
      <w:r w:rsidR="00622CC3">
        <w:t xml:space="preserve">there is </w:t>
      </w:r>
      <w:r w:rsidRPr="003E1003">
        <w:t>more to do</w:t>
      </w:r>
      <w:bookmarkEnd w:id="351"/>
      <w:bookmarkEnd w:id="352"/>
      <w:bookmarkEnd w:id="353"/>
      <w:bookmarkEnd w:id="354"/>
    </w:p>
    <w:p w:rsidR="003E1003" w:rsidRPr="003E1003" w:rsidRDefault="003E1003" w:rsidP="00222C59">
      <w:r w:rsidRPr="003E1003">
        <w:t xml:space="preserve">With the shift to ‘public housing like’ tenancy management systems through the Strategy, </w:t>
      </w:r>
      <w:r w:rsidR="0004739C">
        <w:t>jurisdiction</w:t>
      </w:r>
      <w:r w:rsidRPr="003E1003">
        <w:t xml:space="preserve">s have introduced income-based rents with a cap – a policy closely aligned to urban social housing systems. </w:t>
      </w:r>
    </w:p>
    <w:p w:rsidR="003E1003" w:rsidRPr="003E1003" w:rsidRDefault="0074049C" w:rsidP="00222C59">
      <w:r w:rsidRPr="003E1003">
        <w:t xml:space="preserve">Each </w:t>
      </w:r>
      <w:r w:rsidR="0004739C">
        <w:t>jurisdiction</w:t>
      </w:r>
      <w:r w:rsidRPr="003E1003">
        <w:t xml:space="preserve"> has approached rent policy differently, reflecting differences in mainstream social housing policies historical practice. For example, Western Australian officials reported communities struggled to adjust to paying rent, as before the Strategy no rent was charged. South Australia has </w:t>
      </w:r>
      <w:r w:rsidRPr="003E1003">
        <w:lastRenderedPageBreak/>
        <w:t>adopted a client-focused rental policy, with provisions such as waiving rent and maintenance debts accrued due to domestic and family violence</w:t>
      </w:r>
      <w:r w:rsidR="003E1003" w:rsidRPr="003E1003">
        <w:t xml:space="preserve">. </w:t>
      </w:r>
    </w:p>
    <w:p w:rsidR="003E1003" w:rsidRPr="003E1003" w:rsidRDefault="003E1003" w:rsidP="00222C59">
      <w:r w:rsidRPr="003E1003">
        <w:t xml:space="preserve">Most </w:t>
      </w:r>
      <w:r w:rsidR="0004739C">
        <w:t>jurisdiction</w:t>
      </w:r>
      <w:r w:rsidRPr="003E1003">
        <w:t>s have introduced policies that involve setting rent that is roughly 25 per cent of all tenants’ income, capped at a reduced market equivalent rent, collected from a single head tenant.</w:t>
      </w:r>
    </w:p>
    <w:p w:rsidR="003E1003" w:rsidRPr="003E1003" w:rsidRDefault="00110C8D" w:rsidP="00F3240A">
      <w:pPr>
        <w:pStyle w:val="tbsfigs"/>
      </w:pPr>
      <w:r>
        <w:t>Table 5.5</w:t>
      </w:r>
      <w:r w:rsidR="003E1003" w:rsidRPr="003E1003">
        <w:t xml:space="preserve">: </w:t>
      </w:r>
      <w:r w:rsidR="0004739C">
        <w:t>Jurisdiction</w:t>
      </w:r>
      <w:r w:rsidR="003E1003" w:rsidRPr="003E1003">
        <w:t xml:space="preserve"> by </w:t>
      </w:r>
      <w:r w:rsidR="0004739C">
        <w:t>jurisdiction</w:t>
      </w:r>
      <w:r w:rsidR="003E1003" w:rsidRPr="003E1003">
        <w:t xml:space="preserve"> </w:t>
      </w:r>
      <w:r w:rsidR="00AE0E99">
        <w:t xml:space="preserve">(continuing </w:t>
      </w:r>
      <w:r w:rsidR="0004739C">
        <w:t>jurisdiction</w:t>
      </w:r>
      <w:r w:rsidR="00AE0E99">
        <w:t xml:space="preserve">s) </w:t>
      </w:r>
      <w:r w:rsidR="003E1003" w:rsidRPr="003E1003">
        <w:t xml:space="preserve">– change in rents charged and collected since 2011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5: Jurisdiction by jurisdiction - change in rents charged and collected since 2011"/>
        <w:tblDescription w:val="Changes in average rent charged ($) and collected (%) by Queensland, Western Australia, South Australia and the Northern Territory since 2011."/>
      </w:tblPr>
      <w:tblGrid>
        <w:gridCol w:w="2094"/>
        <w:gridCol w:w="849"/>
        <w:gridCol w:w="883"/>
        <w:gridCol w:w="815"/>
        <w:gridCol w:w="815"/>
        <w:gridCol w:w="815"/>
        <w:gridCol w:w="815"/>
        <w:gridCol w:w="911"/>
        <w:gridCol w:w="875"/>
      </w:tblGrid>
      <w:tr w:rsidR="003E1003" w:rsidRPr="003E1003" w:rsidTr="000A12CF">
        <w:tc>
          <w:tcPr>
            <w:tcW w:w="2094" w:type="dxa"/>
            <w:vMerge w:val="restart"/>
          </w:tcPr>
          <w:p w:rsidR="003E1003" w:rsidRPr="003E1003" w:rsidRDefault="003E1003" w:rsidP="003E1003">
            <w:pPr>
              <w:keepNext/>
              <w:keepLines/>
              <w:widowControl w:val="0"/>
              <w:rPr>
                <w:rFonts w:ascii="Calibri" w:eastAsia="Calibri" w:hAnsi="Calibri" w:cs="Times New Roman"/>
                <w:sz w:val="20"/>
              </w:rPr>
            </w:pPr>
          </w:p>
        </w:tc>
        <w:tc>
          <w:tcPr>
            <w:tcW w:w="1732" w:type="dxa"/>
            <w:gridSpan w:val="2"/>
            <w:shd w:val="clear" w:color="auto" w:fill="5CADFF" w:themeFill="text2" w:themeFillTint="66"/>
          </w:tcPr>
          <w:p w:rsidR="003E1003" w:rsidRPr="003E1003" w:rsidRDefault="003E1003" w:rsidP="00484E41">
            <w:pPr>
              <w:pStyle w:val="Heading6"/>
              <w:jc w:val="center"/>
            </w:pPr>
            <w:r w:rsidRPr="003E1003">
              <w:t>Qld</w:t>
            </w:r>
          </w:p>
        </w:tc>
        <w:tc>
          <w:tcPr>
            <w:tcW w:w="1630" w:type="dxa"/>
            <w:gridSpan w:val="2"/>
            <w:shd w:val="clear" w:color="auto" w:fill="5CADFF" w:themeFill="text2" w:themeFillTint="66"/>
          </w:tcPr>
          <w:p w:rsidR="003E1003" w:rsidRPr="003E1003" w:rsidRDefault="003E1003" w:rsidP="00484E41">
            <w:pPr>
              <w:pStyle w:val="Heading6"/>
              <w:jc w:val="center"/>
            </w:pPr>
            <w:r w:rsidRPr="003E1003">
              <w:t>WA</w:t>
            </w:r>
          </w:p>
        </w:tc>
        <w:tc>
          <w:tcPr>
            <w:tcW w:w="1630" w:type="dxa"/>
            <w:gridSpan w:val="2"/>
            <w:shd w:val="clear" w:color="auto" w:fill="5CADFF" w:themeFill="text2" w:themeFillTint="66"/>
          </w:tcPr>
          <w:p w:rsidR="003E1003" w:rsidRPr="003E1003" w:rsidRDefault="003E1003" w:rsidP="00484E41">
            <w:pPr>
              <w:pStyle w:val="Heading6"/>
              <w:jc w:val="center"/>
            </w:pPr>
            <w:r w:rsidRPr="003E1003">
              <w:t>SA</w:t>
            </w:r>
          </w:p>
        </w:tc>
        <w:tc>
          <w:tcPr>
            <w:tcW w:w="1786" w:type="dxa"/>
            <w:gridSpan w:val="2"/>
            <w:shd w:val="clear" w:color="auto" w:fill="5CADFF" w:themeFill="text2" w:themeFillTint="66"/>
          </w:tcPr>
          <w:p w:rsidR="003E1003" w:rsidRPr="003E1003" w:rsidRDefault="003E1003" w:rsidP="00484E41">
            <w:pPr>
              <w:pStyle w:val="Heading6"/>
              <w:jc w:val="center"/>
            </w:pPr>
            <w:r w:rsidRPr="003E1003">
              <w:t>NT</w:t>
            </w:r>
          </w:p>
        </w:tc>
      </w:tr>
      <w:tr w:rsidR="003E1003" w:rsidRPr="003E1003" w:rsidTr="000A12CF">
        <w:tc>
          <w:tcPr>
            <w:tcW w:w="2094" w:type="dxa"/>
            <w:vMerge/>
          </w:tcPr>
          <w:p w:rsidR="003E1003" w:rsidRPr="003E1003" w:rsidRDefault="003E1003" w:rsidP="003E1003">
            <w:pPr>
              <w:keepNext/>
              <w:keepLines/>
              <w:widowControl w:val="0"/>
              <w:rPr>
                <w:rFonts w:ascii="Calibri" w:eastAsia="Calibri" w:hAnsi="Calibri" w:cs="Times New Roman"/>
                <w:sz w:val="20"/>
              </w:rPr>
            </w:pPr>
          </w:p>
        </w:tc>
        <w:tc>
          <w:tcPr>
            <w:tcW w:w="849"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2011</w:t>
            </w:r>
          </w:p>
        </w:tc>
        <w:tc>
          <w:tcPr>
            <w:tcW w:w="883"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2016</w:t>
            </w:r>
          </w:p>
        </w:tc>
        <w:tc>
          <w:tcPr>
            <w:tcW w:w="815"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2011</w:t>
            </w:r>
          </w:p>
        </w:tc>
        <w:tc>
          <w:tcPr>
            <w:tcW w:w="815"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2016</w:t>
            </w:r>
          </w:p>
        </w:tc>
        <w:tc>
          <w:tcPr>
            <w:tcW w:w="815"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2011</w:t>
            </w:r>
          </w:p>
        </w:tc>
        <w:tc>
          <w:tcPr>
            <w:tcW w:w="815"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2016</w:t>
            </w:r>
          </w:p>
        </w:tc>
        <w:tc>
          <w:tcPr>
            <w:tcW w:w="911"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2011/12</w:t>
            </w:r>
          </w:p>
        </w:tc>
        <w:tc>
          <w:tcPr>
            <w:tcW w:w="875" w:type="dxa"/>
            <w:shd w:val="clear" w:color="auto" w:fill="5CADFF" w:themeFill="text2" w:themeFillTint="66"/>
          </w:tcPr>
          <w:p w:rsidR="003E1003" w:rsidRPr="003E1003" w:rsidRDefault="003E1003" w:rsidP="003E1003">
            <w:pPr>
              <w:keepNext/>
              <w:keepLines/>
              <w:widowControl w:val="0"/>
              <w:rPr>
                <w:rFonts w:ascii="Calibri" w:eastAsia="Calibri" w:hAnsi="Calibri" w:cs="Times New Roman"/>
                <w:b/>
                <w:sz w:val="20"/>
              </w:rPr>
            </w:pPr>
            <w:r w:rsidRPr="003E1003">
              <w:rPr>
                <w:rFonts w:ascii="Calibri" w:eastAsia="Calibri" w:hAnsi="Calibri" w:cs="Times New Roman"/>
                <w:b/>
                <w:sz w:val="20"/>
              </w:rPr>
              <w:t>2016</w:t>
            </w:r>
          </w:p>
        </w:tc>
      </w:tr>
      <w:tr w:rsidR="003E1003" w:rsidRPr="003E1003" w:rsidTr="00222C59">
        <w:tc>
          <w:tcPr>
            <w:tcW w:w="2094"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 average rent charged</w:t>
            </w:r>
          </w:p>
        </w:tc>
        <w:tc>
          <w:tcPr>
            <w:tcW w:w="849"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$42.92</w:t>
            </w:r>
          </w:p>
        </w:tc>
        <w:tc>
          <w:tcPr>
            <w:tcW w:w="883"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$88.22</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$57.15</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$93.78</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$3.60</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$52.92</w:t>
            </w:r>
          </w:p>
        </w:tc>
        <w:tc>
          <w:tcPr>
            <w:tcW w:w="911"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$57.03</w:t>
            </w:r>
          </w:p>
        </w:tc>
        <w:tc>
          <w:tcPr>
            <w:tcW w:w="87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$115.42</w:t>
            </w:r>
          </w:p>
        </w:tc>
      </w:tr>
      <w:tr w:rsidR="003E1003" w:rsidRPr="003E1003" w:rsidTr="00222C59">
        <w:trPr>
          <w:trHeight w:val="231"/>
        </w:trPr>
        <w:tc>
          <w:tcPr>
            <w:tcW w:w="2094"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 rent collected</w:t>
            </w:r>
          </w:p>
        </w:tc>
        <w:tc>
          <w:tcPr>
            <w:tcW w:w="849"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107.88%</w:t>
            </w:r>
            <w:r w:rsidR="00222C59">
              <w:rPr>
                <w:rFonts w:ascii="Calibri" w:eastAsia="Calibri" w:hAnsi="Calibri" w:cs="Times New Roman"/>
                <w:sz w:val="20"/>
              </w:rPr>
              <w:t>*</w:t>
            </w:r>
          </w:p>
        </w:tc>
        <w:tc>
          <w:tcPr>
            <w:tcW w:w="883"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85.42%</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54.96%</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77.40%</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99.20%</w:t>
            </w:r>
          </w:p>
        </w:tc>
        <w:tc>
          <w:tcPr>
            <w:tcW w:w="81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98.34%</w:t>
            </w:r>
          </w:p>
        </w:tc>
        <w:tc>
          <w:tcPr>
            <w:tcW w:w="911"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89.96%</w:t>
            </w:r>
          </w:p>
        </w:tc>
        <w:tc>
          <w:tcPr>
            <w:tcW w:w="875" w:type="dxa"/>
          </w:tcPr>
          <w:p w:rsidR="003E1003" w:rsidRPr="003E1003" w:rsidRDefault="003E1003" w:rsidP="003E1003">
            <w:pPr>
              <w:keepNext/>
              <w:keepLines/>
              <w:widowControl w:val="0"/>
              <w:rPr>
                <w:rFonts w:ascii="Calibri" w:eastAsia="Calibri" w:hAnsi="Calibri" w:cs="Times New Roman"/>
                <w:sz w:val="20"/>
              </w:rPr>
            </w:pPr>
            <w:r w:rsidRPr="003E1003">
              <w:rPr>
                <w:rFonts w:ascii="Calibri" w:eastAsia="Calibri" w:hAnsi="Calibri" w:cs="Times New Roman"/>
                <w:sz w:val="20"/>
              </w:rPr>
              <w:t>66.23%</w:t>
            </w:r>
          </w:p>
        </w:tc>
      </w:tr>
    </w:tbl>
    <w:p w:rsidR="00EB680F" w:rsidRPr="00EB680F" w:rsidRDefault="00EB680F" w:rsidP="00EB680F">
      <w:pPr>
        <w:spacing w:after="0"/>
        <w:rPr>
          <w:rFonts w:ascii="Calibri" w:eastAsia="Calibri" w:hAnsi="Calibri" w:cs="Times New Roman"/>
          <w:sz w:val="18"/>
          <w:szCs w:val="18"/>
        </w:rPr>
      </w:pPr>
      <w:r w:rsidRPr="00EB680F">
        <w:rPr>
          <w:rFonts w:ascii="Calibri" w:eastAsia="Calibri" w:hAnsi="Calibri" w:cs="Times New Roman"/>
          <w:sz w:val="18"/>
          <w:szCs w:val="18"/>
        </w:rPr>
        <w:t>* Qld over collection in 2011 was due to collection of previous rental arrears following the implementation of a new electronic tenancy management system</w:t>
      </w:r>
    </w:p>
    <w:p w:rsidR="003E1003" w:rsidRDefault="003E1003" w:rsidP="00EB680F">
      <w:pPr>
        <w:keepNext/>
        <w:spacing w:after="0" w:line="240" w:lineRule="auto"/>
        <w:rPr>
          <w:rFonts w:ascii="Calibri" w:eastAsia="Calibri" w:hAnsi="Calibri" w:cs="Times New Roman"/>
          <w:sz w:val="18"/>
          <w:szCs w:val="18"/>
        </w:rPr>
      </w:pPr>
      <w:r w:rsidRPr="00EB680F">
        <w:rPr>
          <w:rFonts w:ascii="Calibri" w:eastAsia="Calibri" w:hAnsi="Calibri" w:cs="Times New Roman"/>
          <w:sz w:val="18"/>
          <w:szCs w:val="18"/>
        </w:rPr>
        <w:t xml:space="preserve">Source: Commonwealth administrative data </w:t>
      </w:r>
    </w:p>
    <w:p w:rsidR="00EB680F" w:rsidRPr="00EB680F" w:rsidRDefault="00EB680F" w:rsidP="00EB680F">
      <w:pPr>
        <w:keepNext/>
        <w:spacing w:after="0" w:line="240" w:lineRule="auto"/>
        <w:rPr>
          <w:rFonts w:ascii="Calibri" w:eastAsia="Calibri" w:hAnsi="Calibri" w:cs="Times New Roman"/>
          <w:sz w:val="18"/>
          <w:szCs w:val="18"/>
        </w:rPr>
      </w:pPr>
    </w:p>
    <w:p w:rsidR="0074049C" w:rsidRPr="003E1003" w:rsidRDefault="0074049C" w:rsidP="0074049C">
      <w:r w:rsidRPr="003E1003">
        <w:t xml:space="preserve">Average rents charged have increased in all </w:t>
      </w:r>
      <w:r w:rsidR="0004739C">
        <w:t>jurisdiction</w:t>
      </w:r>
      <w:r w:rsidRPr="003E1003">
        <w:t xml:space="preserve">s over the course of the Strategy. From 2010-11 to 2016, average weekly rent per household has increased from $32.44 to $69.10. This has been a positive trend, as </w:t>
      </w:r>
      <w:r w:rsidR="0004739C">
        <w:t>jurisdiction</w:t>
      </w:r>
      <w:r w:rsidRPr="003E1003">
        <w:t xml:space="preserve">s have been able to recover more of the costs of PTM. </w:t>
      </w:r>
    </w:p>
    <w:p w:rsidR="003E1003" w:rsidRPr="003E1003" w:rsidRDefault="0074049C" w:rsidP="0074049C">
      <w:r w:rsidRPr="003E1003">
        <w:t xml:space="preserve">However, at the same time the proportion of rent collected has </w:t>
      </w:r>
      <w:r>
        <w:t xml:space="preserve">decreased in some </w:t>
      </w:r>
      <w:r w:rsidR="0004739C">
        <w:t>jurisdiction</w:t>
      </w:r>
      <w:r>
        <w:t>s. South </w:t>
      </w:r>
      <w:r w:rsidRPr="003E1003">
        <w:t xml:space="preserve">Australia is the only </w:t>
      </w:r>
      <w:r w:rsidR="0004739C">
        <w:t>jurisdiction</w:t>
      </w:r>
      <w:r w:rsidRPr="003E1003">
        <w:t xml:space="preserve"> to maintain high collection of rent charged, though this may simply reflect the low level of rent charged. South Australian rents are almost $40 per week lower than other </w:t>
      </w:r>
      <w:r w:rsidR="0004739C">
        <w:t>jurisdiction</w:t>
      </w:r>
      <w:r w:rsidRPr="003E1003">
        <w:t xml:space="preserve">s. There is a wide variation between the rents </w:t>
      </w:r>
      <w:r w:rsidR="0004739C">
        <w:t>jurisdiction</w:t>
      </w:r>
      <w:r w:rsidRPr="003E1003">
        <w:t xml:space="preserve">s charge, which would suggest some </w:t>
      </w:r>
      <w:r w:rsidR="0004739C">
        <w:t>jurisdiction</w:t>
      </w:r>
      <w:r w:rsidRPr="003E1003">
        <w:t>s might not be charging optimum rates to balance recovering the costs of PTM and setting a fair amount for tenants to pay</w:t>
      </w:r>
      <w:r w:rsidR="003E1003" w:rsidRPr="003E1003">
        <w:t xml:space="preserve">. </w:t>
      </w:r>
    </w:p>
    <w:p w:rsidR="003E1003" w:rsidRPr="00B9482C" w:rsidRDefault="003E1003" w:rsidP="00211750">
      <w:pPr>
        <w:pStyle w:val="H4"/>
      </w:pPr>
      <w:bookmarkStart w:id="355" w:name="_Toc477178125"/>
      <w:bookmarkStart w:id="356" w:name="_Toc477248763"/>
      <w:bookmarkStart w:id="357" w:name="_Toc477252749"/>
      <w:r w:rsidRPr="00B9482C">
        <w:t>There are some specific challenges in rental reform</w:t>
      </w:r>
      <w:bookmarkEnd w:id="355"/>
      <w:bookmarkEnd w:id="356"/>
      <w:bookmarkEnd w:id="357"/>
      <w:r w:rsidRPr="00B9482C">
        <w:t xml:space="preserve"> </w:t>
      </w:r>
    </w:p>
    <w:p w:rsidR="003E1003" w:rsidRPr="003E1003" w:rsidRDefault="0074049C" w:rsidP="00222C59">
      <w:r w:rsidRPr="003E1003">
        <w:t xml:space="preserve">There are considerable differences and a lack of transparency about how rents are set. During consultations, tenants reported confusion about how rent is calculated. Communities were also concerned that, in many cases, the head tenant was left to pay the entire rent which caused financial stress for one person, despite often a much larger number of adults residing in the house. Instances were highlighted of head tenants having significant rental arrears debts against their name due to rents not being paid or due to tenant damage which may have been caused by other residents or visitors </w:t>
      </w:r>
      <w:r>
        <w:t>to</w:t>
      </w:r>
      <w:r w:rsidRPr="003E1003">
        <w:t xml:space="preserve"> the house</w:t>
      </w:r>
      <w:r w:rsidR="003E1003" w:rsidRPr="003E1003">
        <w:t xml:space="preserve">. </w:t>
      </w:r>
    </w:p>
    <w:p w:rsidR="003E1003" w:rsidRPr="003E1003" w:rsidRDefault="0004739C" w:rsidP="00222C59">
      <w:r>
        <w:t>Jurisdiction</w:t>
      </w:r>
      <w:r w:rsidR="0074049C" w:rsidRPr="003E1003">
        <w:t xml:space="preserve">s advise one of the main reasons for rental arrears is tenants cancelling automatic rent deductions through Centrelink or due to suspension of welfare payments. To address this issue, the Commonwealth and </w:t>
      </w:r>
      <w:r>
        <w:t>jurisdiction</w:t>
      </w:r>
      <w:r w:rsidR="0074049C" w:rsidRPr="003E1003">
        <w:t>s have been working to implement</w:t>
      </w:r>
      <w:r w:rsidR="0074049C" w:rsidRPr="003E1003">
        <w:rPr>
          <w:b/>
        </w:rPr>
        <w:t xml:space="preserve"> </w:t>
      </w:r>
      <w:r w:rsidR="0074049C" w:rsidRPr="003E1003">
        <w:t xml:space="preserve">a compulsory rent deduction scheme to prevent tenants cancelling their rental payments. Once introduced, all residents of a </w:t>
      </w:r>
      <w:r w:rsidR="0074049C" w:rsidRPr="003E1003">
        <w:lastRenderedPageBreak/>
        <w:t>house who are earning an income from Centrelink can be put on the system to ensure rents are being paid by everyone</w:t>
      </w:r>
      <w:r w:rsidR="003E1003" w:rsidRPr="003E1003">
        <w:t xml:space="preserve">. </w:t>
      </w:r>
    </w:p>
    <w:p w:rsidR="003E1003" w:rsidRPr="003E1003" w:rsidRDefault="0074049C" w:rsidP="00222C59">
      <w:r w:rsidRPr="003E1003">
        <w:t>There are also money management programs in place which could be better utilised to help tenants plan their budgets and alleviate financial stress. The Commonwealth separately funds financial counselling and capability services and provides practical tools to control spending through the Income Management and Basics Card program. The Basics Card oper</w:t>
      </w:r>
      <w:r>
        <w:t>ates across all of the Northern </w:t>
      </w:r>
      <w:r w:rsidRPr="003E1003">
        <w:t>Territory and across various regions and trial sites in the rest of Australia, and is used by 340,000 people</w:t>
      </w:r>
      <w:r w:rsidR="003E1003" w:rsidRPr="003E1003">
        <w:t xml:space="preserve">. </w:t>
      </w:r>
    </w:p>
    <w:p w:rsidR="003E1003" w:rsidRDefault="0074049C" w:rsidP="00222C59">
      <w:r w:rsidRPr="003E1003">
        <w:t xml:space="preserve">Given the importance of adequate rent setting and collection policies, the variation currently found across the </w:t>
      </w:r>
      <w:r w:rsidR="0004739C">
        <w:t>jurisdiction</w:t>
      </w:r>
      <w:r w:rsidRPr="003E1003">
        <w:t>s, and the inequity of the head tenant model where multiple adults are living in a house, the Panel finds rent setting and collection policies to be an area requiring substantial further reform. Best practice approaches should be identified and applied</w:t>
      </w:r>
      <w:r w:rsidR="003E1003" w:rsidRPr="003E1003">
        <w:t>.</w:t>
      </w:r>
    </w:p>
    <w:p w:rsidR="008B2FDF" w:rsidRPr="008B2FDF" w:rsidRDefault="008B2FDF" w:rsidP="00211750">
      <w:pPr>
        <w:pStyle w:val="H3"/>
      </w:pPr>
      <w:bookmarkStart w:id="358" w:name="_Toc477178127"/>
      <w:bookmarkStart w:id="359" w:name="_Toc477248764"/>
      <w:bookmarkStart w:id="360" w:name="_Toc477252750"/>
      <w:bookmarkStart w:id="361" w:name="_Toc490218721"/>
      <w:r w:rsidRPr="008B2FDF">
        <w:t>There is a potential role for ICHOs in the future delivery of remote Indigenous housing</w:t>
      </w:r>
      <w:bookmarkEnd w:id="358"/>
      <w:bookmarkEnd w:id="359"/>
      <w:bookmarkEnd w:id="360"/>
      <w:bookmarkEnd w:id="361"/>
    </w:p>
    <w:p w:rsidR="008B2FDF" w:rsidRPr="008B2FDF" w:rsidRDefault="008B2FDF" w:rsidP="00222C59">
      <w:r w:rsidRPr="008B2FDF">
        <w:t xml:space="preserve">Before </w:t>
      </w:r>
      <w:r w:rsidR="005D7085">
        <w:t>the Strategy</w:t>
      </w:r>
      <w:r w:rsidRPr="008B2FDF">
        <w:t>, remote Indigenous housing was largely delivered by ICHOs under CHIP. The CHIP review found a number of issues with program delivery around a lack of regional focus, poor coordination and poor asset maintenance due to no recurrent funding. The review found this:</w:t>
      </w:r>
    </w:p>
    <w:p w:rsidR="008B2FDF" w:rsidRPr="008B2FDF" w:rsidRDefault="008B2FDF" w:rsidP="008B2FDF">
      <w:pPr>
        <w:spacing w:line="240" w:lineRule="auto"/>
        <w:ind w:left="720"/>
        <w:rPr>
          <w:rFonts w:ascii="Calibri" w:eastAsia="Calibri" w:hAnsi="Calibri" w:cs="Times New Roman"/>
          <w:i/>
        </w:rPr>
      </w:pPr>
      <w:r w:rsidRPr="008B2FDF">
        <w:rPr>
          <w:rFonts w:ascii="Calibri" w:eastAsia="Calibri" w:hAnsi="Calibri" w:cs="Times New Roman"/>
          <w:i/>
        </w:rPr>
        <w:t xml:space="preserve">‘resulted in the creation of a large number of small, fragmented Indigenous Community Housing Organisations (ICHOs) as grant recipients that do not always collect adequate rent to fund their operations, prevent nepotism and favouritism, or ensure proper accountability. Over 80% of ICHOs manage 50 dwellings or less, the average rent collected is $40 per week. Analysis has shown small ICHOs cannot operate viably on this basis to properly manage tenants and assets. Recent investigations by </w:t>
      </w:r>
      <w:r w:rsidR="00942DD3" w:rsidRPr="008B2FDF">
        <w:rPr>
          <w:rFonts w:ascii="Calibri" w:eastAsia="Calibri" w:hAnsi="Calibri" w:cs="Times New Roman"/>
          <w:i/>
        </w:rPr>
        <w:t>Fa</w:t>
      </w:r>
      <w:r w:rsidR="00942DD3">
        <w:rPr>
          <w:rFonts w:ascii="Calibri" w:eastAsia="Calibri" w:hAnsi="Calibri" w:cs="Times New Roman"/>
          <w:i/>
        </w:rPr>
        <w:t>H</w:t>
      </w:r>
      <w:r w:rsidR="00942DD3" w:rsidRPr="008B2FDF">
        <w:rPr>
          <w:rFonts w:ascii="Calibri" w:eastAsia="Calibri" w:hAnsi="Calibri" w:cs="Times New Roman"/>
          <w:i/>
        </w:rPr>
        <w:t>CSIA</w:t>
      </w:r>
      <w:r w:rsidRPr="008B2FDF">
        <w:rPr>
          <w:rFonts w:ascii="Calibri" w:eastAsia="Calibri" w:hAnsi="Calibri" w:cs="Times New Roman"/>
          <w:i/>
        </w:rPr>
        <w:t xml:space="preserve"> have highlighted weaknesses in governance and accountability which make these problems worse.’</w:t>
      </w:r>
      <w:r w:rsidRPr="008B2FDF">
        <w:rPr>
          <w:rFonts w:ascii="Calibri" w:eastAsia="Calibri" w:hAnsi="Calibri" w:cs="Times New Roman"/>
          <w:i/>
          <w:vertAlign w:val="superscript"/>
        </w:rPr>
        <w:footnoteReference w:id="36"/>
      </w:r>
    </w:p>
    <w:p w:rsidR="0074049C" w:rsidRPr="008B2FDF" w:rsidRDefault="0004739C" w:rsidP="0074049C">
      <w:r>
        <w:t>Jurisdiction</w:t>
      </w:r>
      <w:r w:rsidR="0074049C" w:rsidRPr="008B2FDF">
        <w:t xml:space="preserve"> governments made the operational decision to move away from using ICHOs under </w:t>
      </w:r>
      <w:r w:rsidR="0074049C">
        <w:t>the Strategy</w:t>
      </w:r>
      <w:r w:rsidR="0074049C" w:rsidRPr="008B2FDF">
        <w:t xml:space="preserve">. This was primarily due to the number of small and unsustainable ICHOs and inadequate funding for housing management. As a consequence a large number of, usually small, unsustainable and poorly run ICHOs collapsed. </w:t>
      </w:r>
    </w:p>
    <w:p w:rsidR="008B2FDF" w:rsidRPr="008B2FDF" w:rsidRDefault="0074049C" w:rsidP="0074049C">
      <w:r w:rsidRPr="008B2FDF">
        <w:t>Funding of $400</w:t>
      </w:r>
      <w:r>
        <w:t xml:space="preserve"> </w:t>
      </w:r>
      <w:r w:rsidRPr="008B2FDF">
        <w:t>m</w:t>
      </w:r>
      <w:r>
        <w:t>illion</w:t>
      </w:r>
      <w:r w:rsidRPr="008B2FDF">
        <w:t xml:space="preserve"> was provided to </w:t>
      </w:r>
      <w:r w:rsidR="0004739C">
        <w:t>jurisdiction</w:t>
      </w:r>
      <w:r w:rsidRPr="008B2FDF">
        <w:t xml:space="preserve">s under the Strategy to bring remaining ICHOs up to standard and support them to acquire registration. In most </w:t>
      </w:r>
      <w:r w:rsidR="0004739C">
        <w:t>jurisdiction</w:t>
      </w:r>
      <w:r w:rsidRPr="008B2FDF">
        <w:t xml:space="preserve">s funding was </w:t>
      </w:r>
      <w:r>
        <w:t xml:space="preserve">also </w:t>
      </w:r>
      <w:r w:rsidRPr="008B2FDF">
        <w:t xml:space="preserve">provided to ICHOs to bring their properties up to standard through refurbishments. </w:t>
      </w:r>
      <w:r w:rsidR="0004739C">
        <w:t>Jurisdiction</w:t>
      </w:r>
      <w:r w:rsidRPr="008B2FDF">
        <w:t xml:space="preserve">s largely provided funding to ICHOs which sat outside the Strategy’s delivery footprint, for example in </w:t>
      </w:r>
      <w:r w:rsidRPr="008B2FDF">
        <w:lastRenderedPageBreak/>
        <w:t xml:space="preserve">regional towns. In order to receive funding, </w:t>
      </w:r>
      <w:r w:rsidR="0004739C">
        <w:t>jurisdiction</w:t>
      </w:r>
      <w:r w:rsidRPr="008B2FDF">
        <w:t>s required ICHOs to sign up to reforms or, later, the National Regulatory System for Community Housing established in 2011</w:t>
      </w:r>
      <w:r w:rsidR="008B2FDF" w:rsidRPr="008B2FDF">
        <w:t>.</w:t>
      </w:r>
    </w:p>
    <w:p w:rsidR="008B2FDF" w:rsidRPr="008B2FDF" w:rsidRDefault="0074049C" w:rsidP="00222C59">
      <w:r w:rsidRPr="008B2FDF">
        <w:t>ICHOs that chose not to sign up to reforms did not receive funding. This has resulted in a large number of houses being run by organisations not falling within regulatory schemes and with inadequate funds to continue to maintain ageing housing stock. In some cases houses are up to 50</w:t>
      </w:r>
      <w:r>
        <w:t> </w:t>
      </w:r>
      <w:r w:rsidRPr="008B2FDF">
        <w:t xml:space="preserve">years old and either an operating subsidy or refurbishments are needed for ICHOs to remain viable. If these ICHOs fail, housing stock will often fall to the </w:t>
      </w:r>
      <w:r w:rsidR="0004739C">
        <w:t>jurisdiction</w:t>
      </w:r>
      <w:r w:rsidRPr="008B2FDF">
        <w:t>s to pick up, bring up to standard and manage, increasing pressure on already tight housing budgets</w:t>
      </w:r>
      <w:r w:rsidR="008B2FDF" w:rsidRPr="008B2FDF">
        <w:t>.</w:t>
      </w:r>
    </w:p>
    <w:p w:rsidR="008B2FDF" w:rsidRPr="008B2FDF" w:rsidRDefault="0074049C" w:rsidP="00222C59">
      <w:r w:rsidRPr="008B2FDF">
        <w:t>Within the Strategy footprint</w:t>
      </w:r>
      <w:r>
        <w:t>,</w:t>
      </w:r>
      <w:r w:rsidRPr="008B2FDF">
        <w:t xml:space="preserve"> very few ICHOs remain operational. Where they are active, there are mixed outcomes. For example, for the small number of Councils running housing in Queensland, tenancy management performance has fallen behind government run housing in terms of rent collection and tenancy agreements in place. At the same time, community engagement and local employment has been high</w:t>
      </w:r>
      <w:r w:rsidR="008B2FDF" w:rsidRPr="008B2FDF">
        <w:t>.</w:t>
      </w:r>
    </w:p>
    <w:p w:rsidR="00BE7F5F" w:rsidRPr="00BE7F5F" w:rsidRDefault="00D4068D" w:rsidP="00211750">
      <w:pPr>
        <w:pStyle w:val="H4"/>
      </w:pPr>
      <w:bookmarkStart w:id="362" w:name="_Toc477178128"/>
      <w:bookmarkStart w:id="363" w:name="_Toc477248765"/>
      <w:bookmarkStart w:id="364" w:name="_Toc477252751"/>
      <w:r w:rsidRPr="008B2FDF">
        <w:t xml:space="preserve">ICHOs </w:t>
      </w:r>
      <w:r>
        <w:t xml:space="preserve">would need to be well </w:t>
      </w:r>
      <w:r w:rsidR="008B2FDF" w:rsidRPr="008B2FDF">
        <w:t xml:space="preserve">supported in remote housing delivery </w:t>
      </w:r>
      <w:r>
        <w:t xml:space="preserve">and prospects are likely to be best </w:t>
      </w:r>
      <w:r w:rsidR="008B2FDF" w:rsidRPr="008B2FDF">
        <w:t>where severe overcrowding has been addressed</w:t>
      </w:r>
      <w:bookmarkEnd w:id="362"/>
      <w:bookmarkEnd w:id="363"/>
      <w:bookmarkEnd w:id="364"/>
    </w:p>
    <w:p w:rsidR="00FE4AF5" w:rsidRDefault="00FE4AF5" w:rsidP="00222C59">
      <w:r>
        <w:t xml:space="preserve">In theory </w:t>
      </w:r>
      <w:r w:rsidR="008B2FDF" w:rsidRPr="008B2FDF">
        <w:t xml:space="preserve">ICHOs are well placed to work with their communities closely and respond to local needs and circumstances. </w:t>
      </w:r>
      <w:r>
        <w:t>Even after the history outlined above, there are, in fact,</w:t>
      </w:r>
      <w:r w:rsidR="008B2FDF" w:rsidRPr="008B2FDF">
        <w:t xml:space="preserve"> a number of successful and well run ICHOs. </w:t>
      </w:r>
    </w:p>
    <w:p w:rsidR="00FE4AF5" w:rsidRPr="008B2FDF" w:rsidRDefault="0074049C" w:rsidP="00222C59">
      <w:r w:rsidRPr="008B2FDF">
        <w:t xml:space="preserve">During consultations, some communities expressed a desire to run their own housing. This could be one delivery option available to the </w:t>
      </w:r>
      <w:r w:rsidR="0004739C">
        <w:t>jurisdiction</w:t>
      </w:r>
      <w:r w:rsidRPr="008B2FDF">
        <w:t xml:space="preserve">s; however it should not be used as an excuse </w:t>
      </w:r>
      <w:r>
        <w:t xml:space="preserve">by governments </w:t>
      </w:r>
      <w:r w:rsidRPr="008B2FDF">
        <w:t>to decrease funding. The CHIP focused ‘on capital expenditure at the expense of recurrent</w:t>
      </w:r>
      <w:r>
        <w:t xml:space="preserve"> </w:t>
      </w:r>
      <w:r w:rsidRPr="008B2FDF">
        <w:t>funding for asset maintenance resulting in a ‘running down’ of existing infrastructure.’</w:t>
      </w:r>
      <w:r w:rsidRPr="008B2FDF">
        <w:rPr>
          <w:vertAlign w:val="superscript"/>
        </w:rPr>
        <w:footnoteReference w:id="37"/>
      </w:r>
      <w:r w:rsidRPr="008B2FDF">
        <w:t xml:space="preserve"> Care needs to be taken to avoid setting up another series of poorly funded, unsustainable ICHOs, with little oversight by </w:t>
      </w:r>
      <w:r w:rsidR="0004739C">
        <w:t>jurisdiction</w:t>
      </w:r>
      <w:r w:rsidRPr="008B2FDF">
        <w:t xml:space="preserve"> governments</w:t>
      </w:r>
      <w:r w:rsidR="00FE4AF5" w:rsidRPr="008B2FDF">
        <w:t>.</w:t>
      </w:r>
    </w:p>
    <w:p w:rsidR="00FE4AF5" w:rsidRPr="008B2FDF" w:rsidRDefault="0074049C" w:rsidP="00222C59">
      <w:r w:rsidRPr="008B2FDF">
        <w:t>Given the dearth of ICHOs across remote communities in Queen</w:t>
      </w:r>
      <w:r>
        <w:t>sland, Western Australia, South </w:t>
      </w:r>
      <w:r w:rsidRPr="008B2FDF">
        <w:t>Australia and the Northern Territory, any move to community housing should be deliberate and accompanied by capacity development. The National Regulatory System</w:t>
      </w:r>
      <w:r>
        <w:t xml:space="preserve"> for Community Housing Providers</w:t>
      </w:r>
      <w:r w:rsidRPr="008B2FDF">
        <w:t xml:space="preserve"> provides a good basis for the capacity required to run community housing. Organisations need to be funded properly and be large enough to create efficiencies. Options include regional ICHOs or local ICHOs which are part of a larger community organisation. For example, New South Wales’s ‘Build and Grow Strategy’ aims to slowly increase the portfolio and capacity of its larger community housing providers by transitioning stock when contracts expire until 2020</w:t>
      </w:r>
      <w:r w:rsidR="00FE4AF5" w:rsidRPr="008B2FDF">
        <w:t xml:space="preserve">. </w:t>
      </w:r>
    </w:p>
    <w:p w:rsidR="008B2FDF" w:rsidRPr="008B2FDF" w:rsidRDefault="0074049C" w:rsidP="00222C59">
      <w:r w:rsidRPr="008B2FDF">
        <w:lastRenderedPageBreak/>
        <w:t xml:space="preserve">As ICHOs are community housing providers, their tenants may be eligible to access Commonwealth Rent Assistance (CRA). This can increase the overall rental income of ICHOs, which would normally increase rents by the value of CRA. However for CRA to apply rents would need to significantly increase from the current rates </w:t>
      </w:r>
      <w:r w:rsidR="0004739C">
        <w:t>jurisdiction</w:t>
      </w:r>
      <w:r w:rsidRPr="008B2FDF">
        <w:t xml:space="preserve">s charge in remote Indigenous communities, which range from an average of $52.92 to $115.42 per week. Current thresholds and </w:t>
      </w:r>
      <w:r>
        <w:t>rates are set out in Table 5.6</w:t>
      </w:r>
      <w:r w:rsidR="008B2FDF" w:rsidRPr="008B2FDF">
        <w:t>.</w:t>
      </w:r>
    </w:p>
    <w:p w:rsidR="008B2FDF" w:rsidRPr="00073A2D" w:rsidRDefault="00110C8D" w:rsidP="00F3240A">
      <w:pPr>
        <w:pStyle w:val="tbsfigs"/>
      </w:pPr>
      <w:r w:rsidRPr="00073A2D">
        <w:t>Table 5.6</w:t>
      </w:r>
      <w:r w:rsidR="008B2FDF" w:rsidRPr="00073A2D">
        <w:t xml:space="preserve"> Commonwealth Rent Assistance rates as at March 2017</w:t>
      </w:r>
    </w:p>
    <w:tbl>
      <w:tblPr>
        <w:tblStyle w:val="TableGrid2"/>
        <w:tblW w:w="0" w:type="auto"/>
        <w:tblLook w:val="04A0" w:firstRow="1" w:lastRow="0" w:firstColumn="1" w:lastColumn="0" w:noHBand="0" w:noVBand="1"/>
        <w:tblCaption w:val="Table 5.6: Commonwealth Rent Assistance rates as at March 2017"/>
        <w:tblDescription w:val="Eligibility thresholds and payment rates for Commonwealth Rent Assistance as at March 2017. The table shows thresholds and rates for low end and high end families."/>
      </w:tblPr>
      <w:tblGrid>
        <w:gridCol w:w="2099"/>
        <w:gridCol w:w="2286"/>
        <w:gridCol w:w="2566"/>
        <w:gridCol w:w="1996"/>
      </w:tblGrid>
      <w:tr w:rsidR="008B2FDF" w:rsidRPr="00EB680F" w:rsidTr="00052D04">
        <w:trPr>
          <w:tblHeader/>
        </w:trPr>
        <w:tc>
          <w:tcPr>
            <w:tcW w:w="0" w:type="auto"/>
            <w:shd w:val="clear" w:color="auto" w:fill="5CADFF" w:themeFill="text2" w:themeFillTint="66"/>
          </w:tcPr>
          <w:p w:rsidR="008B2FDF" w:rsidRPr="0074049C" w:rsidRDefault="008B2FDF" w:rsidP="008C3681">
            <w:pPr>
              <w:pStyle w:val="Heading6"/>
              <w:outlineLvl w:val="5"/>
              <w:rPr>
                <w:sz w:val="20"/>
                <w:szCs w:val="20"/>
              </w:rPr>
            </w:pPr>
          </w:p>
        </w:tc>
        <w:tc>
          <w:tcPr>
            <w:tcW w:w="0" w:type="auto"/>
            <w:shd w:val="clear" w:color="auto" w:fill="5CADFF" w:themeFill="text2" w:themeFillTint="66"/>
          </w:tcPr>
          <w:p w:rsidR="008B2FDF" w:rsidRPr="0074049C" w:rsidRDefault="008B2FDF" w:rsidP="008C3681">
            <w:pPr>
              <w:pStyle w:val="Heading6"/>
              <w:outlineLvl w:val="5"/>
              <w:rPr>
                <w:sz w:val="20"/>
                <w:szCs w:val="20"/>
              </w:rPr>
            </w:pPr>
            <w:r w:rsidRPr="0074049C">
              <w:rPr>
                <w:sz w:val="20"/>
                <w:szCs w:val="20"/>
              </w:rPr>
              <w:t>Minimum fortnightly rent for CRA eligibility</w:t>
            </w:r>
          </w:p>
        </w:tc>
        <w:tc>
          <w:tcPr>
            <w:tcW w:w="0" w:type="auto"/>
            <w:shd w:val="clear" w:color="auto" w:fill="5CADFF" w:themeFill="text2" w:themeFillTint="66"/>
          </w:tcPr>
          <w:p w:rsidR="008B2FDF" w:rsidRPr="0074049C" w:rsidRDefault="008B2FDF" w:rsidP="008C3681">
            <w:pPr>
              <w:pStyle w:val="Heading6"/>
              <w:outlineLvl w:val="5"/>
              <w:rPr>
                <w:sz w:val="20"/>
                <w:szCs w:val="20"/>
              </w:rPr>
            </w:pPr>
            <w:r w:rsidRPr="0074049C">
              <w:rPr>
                <w:sz w:val="20"/>
                <w:szCs w:val="20"/>
              </w:rPr>
              <w:t>Maximum payment if fortnightly rent is more than:</w:t>
            </w:r>
          </w:p>
        </w:tc>
        <w:tc>
          <w:tcPr>
            <w:tcW w:w="0" w:type="auto"/>
            <w:shd w:val="clear" w:color="auto" w:fill="5CADFF" w:themeFill="text2" w:themeFillTint="66"/>
          </w:tcPr>
          <w:p w:rsidR="008B2FDF" w:rsidRPr="0074049C" w:rsidRDefault="008B2FDF" w:rsidP="008C3681">
            <w:pPr>
              <w:pStyle w:val="Heading6"/>
              <w:outlineLvl w:val="5"/>
              <w:rPr>
                <w:sz w:val="20"/>
                <w:szCs w:val="20"/>
              </w:rPr>
            </w:pPr>
            <w:r w:rsidRPr="0074049C">
              <w:rPr>
                <w:sz w:val="20"/>
                <w:szCs w:val="20"/>
              </w:rPr>
              <w:t>Maximum fortnightly CRA payment</w:t>
            </w:r>
          </w:p>
        </w:tc>
      </w:tr>
      <w:tr w:rsidR="008B2FDF" w:rsidRPr="00EB680F" w:rsidTr="00052D04">
        <w:tc>
          <w:tcPr>
            <w:tcW w:w="0" w:type="auto"/>
          </w:tcPr>
          <w:p w:rsidR="008B2FDF" w:rsidRPr="00EB680F" w:rsidRDefault="008B2FDF" w:rsidP="008B2FDF">
            <w:pPr>
              <w:keepNext/>
              <w:keepLines/>
              <w:rPr>
                <w:rFonts w:ascii="Calibri" w:eastAsia="Calibri" w:hAnsi="Calibri" w:cs="Times New Roman"/>
                <w:sz w:val="20"/>
                <w:szCs w:val="20"/>
              </w:rPr>
            </w:pPr>
            <w:r w:rsidRPr="00EB680F">
              <w:rPr>
                <w:rFonts w:ascii="Calibri" w:eastAsia="Calibri" w:hAnsi="Calibri" w:cs="Times New Roman"/>
                <w:sz w:val="20"/>
                <w:szCs w:val="20"/>
              </w:rPr>
              <w:t>Low end (single, no children, sharer)</w:t>
            </w:r>
          </w:p>
        </w:tc>
        <w:tc>
          <w:tcPr>
            <w:tcW w:w="0" w:type="auto"/>
          </w:tcPr>
          <w:p w:rsidR="008B2FDF" w:rsidRPr="00EB680F" w:rsidRDefault="008B2FDF" w:rsidP="005D37BC">
            <w:pPr>
              <w:keepNext/>
              <w:keepLines/>
              <w:jc w:val="center"/>
              <w:rPr>
                <w:rFonts w:ascii="Calibri" w:eastAsia="Calibri" w:hAnsi="Calibri" w:cs="Times New Roman"/>
                <w:sz w:val="20"/>
                <w:szCs w:val="20"/>
              </w:rPr>
            </w:pPr>
            <w:r w:rsidRPr="00EB680F">
              <w:rPr>
                <w:rFonts w:ascii="Calibri" w:eastAsia="Calibri" w:hAnsi="Calibri" w:cs="Times New Roman"/>
                <w:sz w:val="20"/>
                <w:szCs w:val="20"/>
              </w:rPr>
              <w:t>$116.20</w:t>
            </w:r>
          </w:p>
        </w:tc>
        <w:tc>
          <w:tcPr>
            <w:tcW w:w="0" w:type="auto"/>
          </w:tcPr>
          <w:p w:rsidR="008B2FDF" w:rsidRPr="00EB680F" w:rsidRDefault="008B2FDF" w:rsidP="005D37BC">
            <w:pPr>
              <w:keepNext/>
              <w:keepLines/>
              <w:jc w:val="center"/>
              <w:rPr>
                <w:rFonts w:ascii="Calibri" w:eastAsia="Calibri" w:hAnsi="Calibri" w:cs="Times New Roman"/>
                <w:sz w:val="20"/>
                <w:szCs w:val="20"/>
              </w:rPr>
            </w:pPr>
            <w:r w:rsidRPr="00EB680F">
              <w:rPr>
                <w:rFonts w:ascii="Calibri" w:eastAsia="Calibri" w:hAnsi="Calibri" w:cs="Times New Roman"/>
                <w:sz w:val="20"/>
                <w:szCs w:val="20"/>
              </w:rPr>
              <w:t>$232.29</w:t>
            </w:r>
          </w:p>
        </w:tc>
        <w:tc>
          <w:tcPr>
            <w:tcW w:w="0" w:type="auto"/>
          </w:tcPr>
          <w:p w:rsidR="008B2FDF" w:rsidRPr="00EB680F" w:rsidRDefault="008B2FDF" w:rsidP="005D37BC">
            <w:pPr>
              <w:keepNext/>
              <w:keepLines/>
              <w:jc w:val="center"/>
              <w:rPr>
                <w:rFonts w:ascii="Calibri" w:eastAsia="Calibri" w:hAnsi="Calibri" w:cs="Times New Roman"/>
                <w:sz w:val="20"/>
                <w:szCs w:val="20"/>
              </w:rPr>
            </w:pPr>
            <w:r w:rsidRPr="00EB680F">
              <w:rPr>
                <w:rFonts w:ascii="Calibri" w:eastAsia="Calibri" w:hAnsi="Calibri" w:cs="Times New Roman"/>
                <w:sz w:val="20"/>
                <w:szCs w:val="20"/>
              </w:rPr>
              <w:t>$87.07</w:t>
            </w:r>
          </w:p>
        </w:tc>
      </w:tr>
      <w:tr w:rsidR="008B2FDF" w:rsidRPr="00EB680F" w:rsidTr="00052D04">
        <w:tc>
          <w:tcPr>
            <w:tcW w:w="0" w:type="auto"/>
          </w:tcPr>
          <w:p w:rsidR="008B2FDF" w:rsidRPr="00EB680F" w:rsidRDefault="008B2FDF" w:rsidP="008B2FDF">
            <w:pPr>
              <w:keepLines/>
              <w:rPr>
                <w:rFonts w:ascii="Calibri" w:eastAsia="Calibri" w:hAnsi="Calibri" w:cs="Times New Roman"/>
                <w:sz w:val="20"/>
                <w:szCs w:val="20"/>
              </w:rPr>
            </w:pPr>
            <w:r w:rsidRPr="00EB680F">
              <w:rPr>
                <w:rFonts w:ascii="Calibri" w:eastAsia="Calibri" w:hAnsi="Calibri" w:cs="Times New Roman"/>
                <w:sz w:val="20"/>
                <w:szCs w:val="20"/>
              </w:rPr>
              <w:t>High end (couple with 3 or more children)</w:t>
            </w:r>
          </w:p>
        </w:tc>
        <w:tc>
          <w:tcPr>
            <w:tcW w:w="0" w:type="auto"/>
          </w:tcPr>
          <w:p w:rsidR="008B2FDF" w:rsidRPr="00EB680F" w:rsidRDefault="008B2FDF" w:rsidP="005D37BC">
            <w:pPr>
              <w:keepLines/>
              <w:jc w:val="center"/>
              <w:rPr>
                <w:rFonts w:ascii="Calibri" w:eastAsia="Calibri" w:hAnsi="Calibri" w:cs="Times New Roman"/>
                <w:sz w:val="20"/>
                <w:szCs w:val="20"/>
              </w:rPr>
            </w:pPr>
            <w:r w:rsidRPr="00EB680F">
              <w:rPr>
                <w:rFonts w:ascii="Calibri" w:eastAsia="Calibri" w:hAnsi="Calibri" w:cs="Times New Roman"/>
                <w:sz w:val="20"/>
                <w:szCs w:val="20"/>
              </w:rPr>
              <w:t>$226.24</w:t>
            </w:r>
          </w:p>
        </w:tc>
        <w:tc>
          <w:tcPr>
            <w:tcW w:w="0" w:type="auto"/>
          </w:tcPr>
          <w:p w:rsidR="008B2FDF" w:rsidRPr="00EB680F" w:rsidRDefault="008B2FDF" w:rsidP="005D37BC">
            <w:pPr>
              <w:keepLines/>
              <w:jc w:val="center"/>
              <w:rPr>
                <w:rFonts w:ascii="Calibri" w:eastAsia="Calibri" w:hAnsi="Calibri" w:cs="Times New Roman"/>
                <w:sz w:val="20"/>
                <w:szCs w:val="20"/>
              </w:rPr>
            </w:pPr>
            <w:r w:rsidRPr="00EB680F">
              <w:rPr>
                <w:rFonts w:ascii="Calibri" w:eastAsia="Calibri" w:hAnsi="Calibri" w:cs="Times New Roman"/>
                <w:sz w:val="20"/>
                <w:szCs w:val="20"/>
              </w:rPr>
              <w:t>$457.15</w:t>
            </w:r>
          </w:p>
        </w:tc>
        <w:tc>
          <w:tcPr>
            <w:tcW w:w="0" w:type="auto"/>
          </w:tcPr>
          <w:p w:rsidR="008B2FDF" w:rsidRPr="00EB680F" w:rsidRDefault="008B2FDF" w:rsidP="005D37BC">
            <w:pPr>
              <w:keepLines/>
              <w:jc w:val="center"/>
              <w:rPr>
                <w:rFonts w:ascii="Calibri" w:eastAsia="Calibri" w:hAnsi="Calibri" w:cs="Times New Roman"/>
                <w:sz w:val="20"/>
                <w:szCs w:val="20"/>
              </w:rPr>
            </w:pPr>
            <w:r w:rsidRPr="00EB680F">
              <w:rPr>
                <w:rFonts w:ascii="Calibri" w:eastAsia="Calibri" w:hAnsi="Calibri" w:cs="Times New Roman"/>
                <w:sz w:val="20"/>
                <w:szCs w:val="20"/>
              </w:rPr>
              <w:t>$173.18</w:t>
            </w:r>
          </w:p>
        </w:tc>
      </w:tr>
    </w:tbl>
    <w:p w:rsidR="008B2FDF" w:rsidRPr="0074049C" w:rsidRDefault="008B2FDF" w:rsidP="008B2FDF">
      <w:pPr>
        <w:spacing w:after="0"/>
        <w:rPr>
          <w:rFonts w:ascii="Calibri" w:eastAsia="Calibri" w:hAnsi="Calibri" w:cs="Times New Roman"/>
          <w:sz w:val="18"/>
          <w:szCs w:val="18"/>
        </w:rPr>
      </w:pPr>
      <w:r w:rsidRPr="008B2FDF">
        <w:rPr>
          <w:rFonts w:ascii="Calibri" w:eastAsia="Calibri" w:hAnsi="Calibri" w:cs="Times New Roman"/>
        </w:rPr>
        <w:t xml:space="preserve"> </w:t>
      </w:r>
      <w:r w:rsidR="00295EDA" w:rsidRPr="0074049C">
        <w:rPr>
          <w:rFonts w:ascii="Calibri" w:eastAsia="Calibri" w:hAnsi="Calibri" w:cs="Times New Roman"/>
          <w:sz w:val="18"/>
          <w:szCs w:val="18"/>
        </w:rPr>
        <w:t xml:space="preserve">Department of Human Services, </w:t>
      </w:r>
      <w:hyperlink r:id="rId32" w:history="1">
        <w:r w:rsidR="00295EDA" w:rsidRPr="0074049C">
          <w:rPr>
            <w:rStyle w:val="Hyperlink"/>
            <w:rFonts w:ascii="Calibri" w:eastAsia="Calibri" w:hAnsi="Calibri" w:cs="Times New Roman"/>
            <w:sz w:val="18"/>
            <w:szCs w:val="18"/>
          </w:rPr>
          <w:t>https://www.humanservices.gov.au/customer/services/centrelink/rent-assistance</w:t>
        </w:r>
      </w:hyperlink>
      <w:r w:rsidR="00295EDA" w:rsidRPr="0074049C">
        <w:rPr>
          <w:rFonts w:ascii="Calibri" w:eastAsia="Calibri" w:hAnsi="Calibri" w:cs="Times New Roman"/>
          <w:sz w:val="18"/>
          <w:szCs w:val="18"/>
        </w:rPr>
        <w:t>, 20 March 2017</w:t>
      </w:r>
    </w:p>
    <w:p w:rsidR="003E1003" w:rsidRPr="00970EDA" w:rsidRDefault="00B9482C" w:rsidP="00211750">
      <w:pPr>
        <w:pStyle w:val="H3"/>
      </w:pPr>
      <w:bookmarkStart w:id="365" w:name="_Toc477178129"/>
      <w:bookmarkStart w:id="366" w:name="_Toc477248766"/>
      <w:bookmarkStart w:id="367" w:name="_Toc477252752"/>
      <w:bookmarkStart w:id="368" w:name="_Toc490218722"/>
      <w:r w:rsidRPr="00970EDA">
        <w:t>Key Findings</w:t>
      </w:r>
      <w:bookmarkEnd w:id="365"/>
      <w:bookmarkEnd w:id="366"/>
      <w:bookmarkEnd w:id="367"/>
      <w:bookmarkEnd w:id="368"/>
    </w:p>
    <w:p w:rsidR="0074049C" w:rsidRPr="00096B2B" w:rsidRDefault="0074049C" w:rsidP="0074049C">
      <w:pPr>
        <w:rPr>
          <w:b/>
        </w:rPr>
      </w:pPr>
      <w:r w:rsidRPr="00096B2B">
        <w:rPr>
          <w:b/>
        </w:rPr>
        <w:t xml:space="preserve">The implementation of </w:t>
      </w:r>
      <w:r>
        <w:rPr>
          <w:b/>
        </w:rPr>
        <w:t xml:space="preserve">PTM </w:t>
      </w:r>
      <w:r w:rsidRPr="00096B2B">
        <w:rPr>
          <w:b/>
        </w:rPr>
        <w:t xml:space="preserve">is critical. It cannot be considered secondary to addressing overcrowding with new </w:t>
      </w:r>
      <w:r>
        <w:rPr>
          <w:b/>
        </w:rPr>
        <w:t>houses</w:t>
      </w:r>
      <w:r w:rsidRPr="00096B2B">
        <w:rPr>
          <w:b/>
        </w:rPr>
        <w:t xml:space="preserve">. Without maintenance, new </w:t>
      </w:r>
      <w:r>
        <w:rPr>
          <w:b/>
        </w:rPr>
        <w:t>houses</w:t>
      </w:r>
      <w:r w:rsidRPr="00096B2B">
        <w:rPr>
          <w:b/>
        </w:rPr>
        <w:t xml:space="preserve"> will not last and overcrowding will not be reduced.</w:t>
      </w:r>
    </w:p>
    <w:p w:rsidR="0074049C" w:rsidRPr="00096B2B" w:rsidRDefault="0074049C" w:rsidP="0074049C">
      <w:pPr>
        <w:rPr>
          <w:b/>
        </w:rPr>
      </w:pPr>
      <w:r w:rsidRPr="00096B2B">
        <w:rPr>
          <w:b/>
        </w:rPr>
        <w:t>Property management needs to prioritise the monitoring and maintenance of the health functioning of homes. A cyclical maintenance program is essential to reducing costs and increasing the life of houses.</w:t>
      </w:r>
    </w:p>
    <w:p w:rsidR="0074049C" w:rsidRPr="00096B2B" w:rsidRDefault="0074049C" w:rsidP="0074049C">
      <w:pPr>
        <w:rPr>
          <w:b/>
        </w:rPr>
      </w:pPr>
      <w:r w:rsidRPr="00096B2B">
        <w:rPr>
          <w:b/>
        </w:rPr>
        <w:t xml:space="preserve">There has been substantial progress in tenancy management over the course of the Strategy. However, there remain a number of issues: </w:t>
      </w:r>
      <w:r>
        <w:rPr>
          <w:b/>
        </w:rPr>
        <w:t>t</w:t>
      </w:r>
      <w:r w:rsidRPr="00096B2B">
        <w:rPr>
          <w:b/>
        </w:rPr>
        <w:t>enants, especially head tenants, and landlords are not always able to enforce their rights, which leads to frustrations and poor housing management.</w:t>
      </w:r>
    </w:p>
    <w:p w:rsidR="0074049C" w:rsidRPr="00096B2B" w:rsidRDefault="0074049C" w:rsidP="0074049C">
      <w:pPr>
        <w:rPr>
          <w:b/>
        </w:rPr>
      </w:pPr>
      <w:r w:rsidRPr="00096B2B">
        <w:rPr>
          <w:b/>
        </w:rPr>
        <w:t xml:space="preserve">Under the Strategy rents have increased but there is still variability between </w:t>
      </w:r>
      <w:r w:rsidR="0004739C">
        <w:rPr>
          <w:b/>
        </w:rPr>
        <w:t>jurisdiction</w:t>
      </w:r>
      <w:r w:rsidRPr="00096B2B">
        <w:rPr>
          <w:b/>
        </w:rPr>
        <w:t>s. Best practice in rent setting and collection must be found and applied.</w:t>
      </w:r>
    </w:p>
    <w:p w:rsidR="0074049C" w:rsidRPr="00096B2B" w:rsidRDefault="0074049C" w:rsidP="0074049C">
      <w:pPr>
        <w:rPr>
          <w:rFonts w:ascii="Calibri" w:eastAsia="Calibri" w:hAnsi="Calibri" w:cs="Times New Roman"/>
          <w:b/>
        </w:rPr>
      </w:pPr>
      <w:r w:rsidRPr="00096B2B">
        <w:rPr>
          <w:rFonts w:ascii="Calibri" w:eastAsia="Calibri" w:hAnsi="Calibri" w:cs="Times New Roman"/>
          <w:b/>
        </w:rPr>
        <w:t xml:space="preserve">ICHOs that are well supported and resourced can form one part of a suite of delivery options for remote Indigenous housing, and more can be done to develop this sector. </w:t>
      </w:r>
    </w:p>
    <w:p w:rsidR="00BE7F5F" w:rsidRPr="00096B2B" w:rsidRDefault="0074049C" w:rsidP="0074049C">
      <w:pPr>
        <w:rPr>
          <w:rFonts w:ascii="Calibri" w:eastAsia="Calibri" w:hAnsi="Calibri" w:cs="Times New Roman"/>
          <w:b/>
        </w:rPr>
      </w:pPr>
      <w:r w:rsidRPr="00096B2B">
        <w:rPr>
          <w:rFonts w:ascii="Calibri" w:eastAsia="Calibri" w:hAnsi="Calibri" w:cs="Times New Roman"/>
          <w:b/>
        </w:rPr>
        <w:t>Transferring housing to ICHOs is not a solution to funding deficits. Care needs to be taken not to revert to large numbers of small, unsustainable ICHOs with inadequate funding to maintain houses</w:t>
      </w:r>
      <w:r w:rsidR="00BE7F5F" w:rsidRPr="00096B2B">
        <w:rPr>
          <w:rFonts w:ascii="Calibri" w:eastAsia="Calibri" w:hAnsi="Calibri" w:cs="Times New Roman"/>
          <w:b/>
        </w:rPr>
        <w:t>.</w:t>
      </w:r>
    </w:p>
    <w:bookmarkEnd w:id="341"/>
    <w:bookmarkEnd w:id="342"/>
    <w:bookmarkEnd w:id="343"/>
    <w:bookmarkEnd w:id="344"/>
    <w:p w:rsidR="008B2FDF" w:rsidRDefault="008B2FDF">
      <w:r>
        <w:br w:type="page"/>
      </w:r>
    </w:p>
    <w:p w:rsidR="00E60869" w:rsidRPr="00E60869" w:rsidRDefault="00E60869" w:rsidP="00211750">
      <w:pPr>
        <w:pStyle w:val="H2"/>
      </w:pPr>
      <w:bookmarkStart w:id="369" w:name="_Toc477178130"/>
      <w:bookmarkStart w:id="370" w:name="_Toc477248767"/>
      <w:bookmarkStart w:id="371" w:name="_Toc477252753"/>
      <w:bookmarkStart w:id="372" w:name="_Toc490218723"/>
      <w:bookmarkStart w:id="373" w:name="_Toc475553068"/>
      <w:bookmarkStart w:id="374" w:name="_Toc475991583"/>
      <w:bookmarkStart w:id="375" w:name="_Toc475991823"/>
      <w:bookmarkStart w:id="376" w:name="_Toc475996304"/>
      <w:bookmarkStart w:id="377" w:name="_Toc476645404"/>
      <w:bookmarkStart w:id="378" w:name="_Toc476644181"/>
      <w:bookmarkStart w:id="379" w:name="_Toc476650874"/>
      <w:bookmarkStart w:id="380" w:name="_Toc476658534"/>
      <w:bookmarkStart w:id="381" w:name="_Toc476659237"/>
      <w:bookmarkStart w:id="382" w:name="_Toc476661043"/>
      <w:bookmarkStart w:id="383" w:name="_Toc476663439"/>
      <w:bookmarkStart w:id="384" w:name="_Toc476669881"/>
      <w:bookmarkStart w:id="385" w:name="_Toc476665896"/>
      <w:bookmarkStart w:id="386" w:name="_Toc476671371"/>
      <w:bookmarkStart w:id="387" w:name="_Toc476676529"/>
      <w:bookmarkStart w:id="388" w:name="_Toc476677811"/>
      <w:bookmarkStart w:id="389" w:name="_Toc476678245"/>
      <w:r w:rsidRPr="00E60869">
        <w:lastRenderedPageBreak/>
        <w:t>Indigenous employment and business development outcomes</w:t>
      </w:r>
      <w:bookmarkEnd w:id="369"/>
      <w:bookmarkEnd w:id="370"/>
      <w:bookmarkEnd w:id="371"/>
      <w:bookmarkEnd w:id="372"/>
    </w:p>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rsidR="00E60869" w:rsidRPr="00E60869" w:rsidRDefault="0074049C" w:rsidP="00222C59">
      <w:r w:rsidRPr="00E60869">
        <w:t>The Strategy aimed to ‘</w:t>
      </w:r>
      <w:r w:rsidRPr="00E60869">
        <w:rPr>
          <w:i/>
        </w:rPr>
        <w:t>increase employment opportunities for local residents in remote Indigenous communities’</w:t>
      </w:r>
      <w:r w:rsidRPr="00E60869">
        <w:t>.</w:t>
      </w:r>
      <w:r w:rsidRPr="00E60869">
        <w:rPr>
          <w:b/>
        </w:rPr>
        <w:t xml:space="preserve"> </w:t>
      </w:r>
      <w:r w:rsidRPr="00E60869">
        <w:t>As a major infrastructure project, it held strong potential for generating local employment in remote communities, through initial construction, and ongoing maintenance and administration. During the consultation process, a community member recognised this potential</w:t>
      </w:r>
      <w:r w:rsidR="00E60869" w:rsidRPr="00E60869">
        <w:t>:</w:t>
      </w:r>
    </w:p>
    <w:p w:rsidR="00E60869" w:rsidRDefault="00E60869" w:rsidP="00E60869">
      <w:pPr>
        <w:spacing w:before="120" w:after="120"/>
        <w:ind w:left="340"/>
        <w:rPr>
          <w:rFonts w:ascii="Calibri" w:eastAsia="Calibri" w:hAnsi="Calibri" w:cs="Times New Roman"/>
        </w:rPr>
      </w:pPr>
      <w:r w:rsidRPr="00E60869">
        <w:rPr>
          <w:rFonts w:ascii="Calibri" w:eastAsia="Calibri" w:hAnsi="Calibri" w:cs="Times New Roman"/>
          <w:i/>
        </w:rPr>
        <w:t>‘Housing and employment are tremendous opportunities. There is a need for us to be strong. We can hire local people and can train them up. If we’re able to go steady then we can achieve things.’</w:t>
      </w:r>
      <w:r w:rsidRPr="00E60869">
        <w:rPr>
          <w:rFonts w:ascii="Calibri" w:eastAsia="Calibri" w:hAnsi="Calibri" w:cs="Times New Roman"/>
        </w:rPr>
        <w:t xml:space="preserve"> </w:t>
      </w:r>
      <w:r w:rsidRPr="00E60869">
        <w:rPr>
          <w:rFonts w:ascii="Calibri" w:eastAsia="Calibri" w:hAnsi="Calibri" w:cs="Times New Roman"/>
          <w:vertAlign w:val="superscript"/>
        </w:rPr>
        <w:footnoteReference w:id="38"/>
      </w:r>
    </w:p>
    <w:p w:rsidR="00E60869" w:rsidRPr="00E60869" w:rsidRDefault="0004739C" w:rsidP="00211750">
      <w:pPr>
        <w:pStyle w:val="H3"/>
      </w:pPr>
      <w:bookmarkStart w:id="390" w:name="_Toc477178131"/>
      <w:bookmarkStart w:id="391" w:name="_Toc477248768"/>
      <w:bookmarkStart w:id="392" w:name="_Toc477252754"/>
      <w:bookmarkStart w:id="393" w:name="_Toc490218724"/>
      <w:r>
        <w:t>Jurisdiction</w:t>
      </w:r>
      <w:r w:rsidR="00E60869" w:rsidRPr="00E60869">
        <w:t>s mostly reported they met employment targets</w:t>
      </w:r>
      <w:bookmarkEnd w:id="390"/>
      <w:bookmarkEnd w:id="391"/>
      <w:bookmarkEnd w:id="392"/>
      <w:bookmarkEnd w:id="393"/>
      <w:r w:rsidR="00E60869" w:rsidRPr="00E60869">
        <w:t xml:space="preserve"> </w:t>
      </w:r>
    </w:p>
    <w:p w:rsidR="0074049C" w:rsidRPr="00E60869" w:rsidRDefault="0074049C" w:rsidP="0074049C">
      <w:r w:rsidRPr="00E60869">
        <w:t xml:space="preserve">The </w:t>
      </w:r>
      <w:r>
        <w:t>Strategy</w:t>
      </w:r>
      <w:r w:rsidRPr="00E60869">
        <w:t xml:space="preserve"> contained targets for local Indigenous employment in capital works and PTM of </w:t>
      </w:r>
      <w:r>
        <w:t>20 per </w:t>
      </w:r>
      <w:r w:rsidRPr="00E60869">
        <w:t xml:space="preserve">cent in all </w:t>
      </w:r>
      <w:r w:rsidR="0004739C">
        <w:t>jurisdiction</w:t>
      </w:r>
      <w:r w:rsidRPr="00E60869">
        <w:t xml:space="preserve">s, and 40 per cent for repairs and maintenance in the Northern Territory. Achievement was reported annually but outcomes were not tied to funding until 2016. </w:t>
      </w:r>
    </w:p>
    <w:p w:rsidR="00E60869" w:rsidRPr="00E60869" w:rsidRDefault="0074049C" w:rsidP="0074049C">
      <w:r w:rsidRPr="00E60869">
        <w:t xml:space="preserve">The data at Figure 6.1 shows that </w:t>
      </w:r>
      <w:r w:rsidR="0004739C">
        <w:t>jurisdiction</w:t>
      </w:r>
      <w:r w:rsidRPr="00E60869">
        <w:t>s met their targets</w:t>
      </w:r>
      <w:r>
        <w:t>. H</w:t>
      </w:r>
      <w:r w:rsidRPr="00E60869">
        <w:t>owever</w:t>
      </w:r>
      <w:r>
        <w:t>,</w:t>
      </w:r>
      <w:r w:rsidRPr="00E60869">
        <w:t xml:space="preserve"> there is significant variability in the way employment data has been reported, which made it difficult for the Panel to make direct comparisons or adequately assess performance against the bench</w:t>
      </w:r>
      <w:r>
        <w:t>mark. For example, the Northern </w:t>
      </w:r>
      <w:r w:rsidRPr="00E60869">
        <w:t>Territory Government reported in full</w:t>
      </w:r>
      <w:r>
        <w:t>-</w:t>
      </w:r>
      <w:r w:rsidRPr="00E60869">
        <w:t xml:space="preserve">time equivalent </w:t>
      </w:r>
      <w:r>
        <w:t xml:space="preserve">(FTE) </w:t>
      </w:r>
      <w:r w:rsidRPr="00E60869">
        <w:t>positions, compared with the Queensland Government which reported in total hours worked</w:t>
      </w:r>
      <w:r>
        <w:t xml:space="preserve"> for capital works activities (with the exception of the 2014-15 figure, which was for capital works, repairs and maintenance)</w:t>
      </w:r>
      <w:r w:rsidR="00E60869" w:rsidRPr="00E60869">
        <w:t xml:space="preserve">. </w:t>
      </w:r>
    </w:p>
    <w:p w:rsidR="00E60869" w:rsidRPr="00E60869" w:rsidRDefault="00110C8D" w:rsidP="00F3240A">
      <w:pPr>
        <w:pStyle w:val="tbsfigs"/>
      </w:pPr>
      <w:r>
        <w:t>Table</w:t>
      </w:r>
      <w:r w:rsidR="00E60869" w:rsidRPr="00E60869">
        <w:t xml:space="preserve"> 6.1 – Indigenous employment rate</w:t>
      </w:r>
      <w:r w:rsidR="0074049C">
        <w:t xml:space="preserve"> %</w:t>
      </w:r>
      <w:r w:rsidR="00E60869" w:rsidRPr="00E60869">
        <w:t xml:space="preserve"> reported by </w:t>
      </w:r>
      <w:r w:rsidR="0004739C">
        <w:t>jurisdiction</w:t>
      </w:r>
      <w:r w:rsidR="00E60869" w:rsidRPr="00E60869">
        <w:t>, by year (both CW and PTM).</w:t>
      </w:r>
    </w:p>
    <w:tbl>
      <w:tblPr>
        <w:tblW w:w="5000" w:type="pct"/>
        <w:tblLook w:val="04A0" w:firstRow="1" w:lastRow="0" w:firstColumn="1" w:lastColumn="0" w:noHBand="0" w:noVBand="1"/>
        <w:tblCaption w:val="Table 6.1: Indigenous employment rates"/>
        <w:tblDescription w:val="Indigenous employment rate (%) by jurisdiction and year for capital works and property and tenancy management."/>
      </w:tblPr>
      <w:tblGrid>
        <w:gridCol w:w="1502"/>
        <w:gridCol w:w="1185"/>
        <w:gridCol w:w="1185"/>
        <w:gridCol w:w="1183"/>
        <w:gridCol w:w="1183"/>
        <w:gridCol w:w="1356"/>
        <w:gridCol w:w="1353"/>
      </w:tblGrid>
      <w:tr w:rsidR="00E60869" w:rsidRPr="00E60869" w:rsidTr="00EB680F">
        <w:trPr>
          <w:cantSplit/>
          <w:trHeight w:val="300"/>
        </w:trPr>
        <w:tc>
          <w:tcPr>
            <w:tcW w:w="839" w:type="pct"/>
            <w:tcBorders>
              <w:top w:val="single" w:sz="4" w:space="0" w:color="auto"/>
              <w:left w:val="single" w:sz="4" w:space="0" w:color="auto"/>
              <w:bottom w:val="single" w:sz="4" w:space="0" w:color="auto"/>
              <w:right w:val="single" w:sz="4" w:space="0" w:color="auto"/>
            </w:tcBorders>
            <w:shd w:val="clear" w:color="auto" w:fill="5CADFF" w:themeFill="text2" w:themeFillTint="66"/>
            <w:noWrap/>
            <w:vAlign w:val="center"/>
            <w:hideMark/>
          </w:tcPr>
          <w:p w:rsidR="00E60869" w:rsidRPr="0074049C" w:rsidRDefault="0004739C" w:rsidP="00E6350E">
            <w:pPr>
              <w:pStyle w:val="Heading6"/>
              <w:rPr>
                <w:sz w:val="20"/>
                <w:szCs w:val="20"/>
                <w:lang w:eastAsia="en-AU"/>
              </w:rPr>
            </w:pPr>
            <w:r>
              <w:rPr>
                <w:sz w:val="20"/>
                <w:szCs w:val="20"/>
                <w:lang w:eastAsia="en-AU"/>
              </w:rPr>
              <w:t>Jurisdiction</w:t>
            </w:r>
          </w:p>
        </w:tc>
        <w:tc>
          <w:tcPr>
            <w:tcW w:w="662" w:type="pct"/>
            <w:tcBorders>
              <w:top w:val="single" w:sz="4" w:space="0" w:color="auto"/>
              <w:left w:val="nil"/>
              <w:bottom w:val="single" w:sz="4" w:space="0" w:color="auto"/>
              <w:right w:val="single" w:sz="4" w:space="0" w:color="auto"/>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2009-10</w:t>
            </w:r>
            <w:r w:rsidRPr="0074049C">
              <w:rPr>
                <w:sz w:val="20"/>
                <w:szCs w:val="20"/>
                <w:lang w:eastAsia="en-AU"/>
              </w:rPr>
              <w:br/>
              <w:t>%</w:t>
            </w:r>
          </w:p>
        </w:tc>
        <w:tc>
          <w:tcPr>
            <w:tcW w:w="662" w:type="pct"/>
            <w:tcBorders>
              <w:top w:val="single" w:sz="4" w:space="0" w:color="auto"/>
              <w:left w:val="nil"/>
              <w:bottom w:val="single" w:sz="4" w:space="0" w:color="auto"/>
              <w:right w:val="single" w:sz="4" w:space="0" w:color="auto"/>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2010-11</w:t>
            </w:r>
            <w:r w:rsidRPr="0074049C">
              <w:rPr>
                <w:sz w:val="20"/>
                <w:szCs w:val="20"/>
                <w:lang w:eastAsia="en-AU"/>
              </w:rPr>
              <w:br/>
              <w:t>%</w:t>
            </w:r>
          </w:p>
        </w:tc>
        <w:tc>
          <w:tcPr>
            <w:tcW w:w="661" w:type="pct"/>
            <w:tcBorders>
              <w:top w:val="single" w:sz="4" w:space="0" w:color="auto"/>
              <w:left w:val="nil"/>
              <w:bottom w:val="single" w:sz="4" w:space="0" w:color="auto"/>
              <w:right w:val="single" w:sz="4" w:space="0" w:color="auto"/>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2011-12</w:t>
            </w:r>
            <w:r w:rsidRPr="0074049C">
              <w:rPr>
                <w:sz w:val="20"/>
                <w:szCs w:val="20"/>
                <w:lang w:eastAsia="en-AU"/>
              </w:rPr>
              <w:br/>
              <w:t>%</w:t>
            </w:r>
          </w:p>
        </w:tc>
        <w:tc>
          <w:tcPr>
            <w:tcW w:w="661" w:type="pct"/>
            <w:tcBorders>
              <w:top w:val="single" w:sz="4" w:space="0" w:color="auto"/>
              <w:left w:val="nil"/>
              <w:bottom w:val="single" w:sz="4" w:space="0" w:color="auto"/>
              <w:right w:val="single" w:sz="4" w:space="0" w:color="auto"/>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2012-13</w:t>
            </w:r>
            <w:r w:rsidRPr="0074049C">
              <w:rPr>
                <w:sz w:val="20"/>
                <w:szCs w:val="20"/>
                <w:lang w:eastAsia="en-AU"/>
              </w:rPr>
              <w:br/>
              <w:t>%</w:t>
            </w:r>
          </w:p>
        </w:tc>
        <w:tc>
          <w:tcPr>
            <w:tcW w:w="758" w:type="pct"/>
            <w:tcBorders>
              <w:top w:val="single" w:sz="4" w:space="0" w:color="auto"/>
              <w:left w:val="nil"/>
              <w:bottom w:val="single" w:sz="4" w:space="0" w:color="auto"/>
              <w:right w:val="nil"/>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2013-14</w:t>
            </w:r>
            <w:r w:rsidRPr="0074049C">
              <w:rPr>
                <w:sz w:val="20"/>
                <w:szCs w:val="20"/>
                <w:lang w:eastAsia="en-AU"/>
              </w:rPr>
              <w:br/>
              <w:t>%</w:t>
            </w:r>
          </w:p>
        </w:tc>
        <w:tc>
          <w:tcPr>
            <w:tcW w:w="756" w:type="pct"/>
            <w:tcBorders>
              <w:top w:val="single" w:sz="4" w:space="0" w:color="auto"/>
              <w:left w:val="single" w:sz="4" w:space="0" w:color="auto"/>
              <w:bottom w:val="single" w:sz="4" w:space="0" w:color="auto"/>
              <w:right w:val="single" w:sz="4" w:space="0" w:color="auto"/>
            </w:tcBorders>
            <w:shd w:val="clear" w:color="auto" w:fill="5CADFF" w:themeFill="text2" w:themeFillTint="66"/>
            <w:noWrap/>
            <w:vAlign w:val="center"/>
            <w:hideMark/>
          </w:tcPr>
          <w:p w:rsidR="00E60869" w:rsidRPr="0074049C" w:rsidRDefault="00E60869" w:rsidP="004F2F2F">
            <w:pPr>
              <w:pStyle w:val="Heading6"/>
              <w:jc w:val="center"/>
              <w:rPr>
                <w:sz w:val="20"/>
                <w:szCs w:val="20"/>
                <w:lang w:eastAsia="en-AU"/>
              </w:rPr>
            </w:pPr>
            <w:r w:rsidRPr="0074049C">
              <w:rPr>
                <w:sz w:val="20"/>
                <w:szCs w:val="20"/>
                <w:lang w:eastAsia="en-AU"/>
              </w:rPr>
              <w:t>2014-15</w:t>
            </w:r>
            <w:r w:rsidRPr="0074049C">
              <w:rPr>
                <w:sz w:val="20"/>
                <w:szCs w:val="20"/>
                <w:lang w:eastAsia="en-AU"/>
              </w:rPr>
              <w:br/>
              <w:t>%</w:t>
            </w:r>
          </w:p>
        </w:tc>
      </w:tr>
      <w:tr w:rsidR="0074049C" w:rsidRPr="00E60869" w:rsidTr="00EB680F">
        <w:trPr>
          <w:cantSplit/>
          <w:trHeight w:val="300"/>
        </w:trPr>
        <w:tc>
          <w:tcPr>
            <w:tcW w:w="839" w:type="pct"/>
            <w:tcBorders>
              <w:top w:val="single" w:sz="4" w:space="0" w:color="auto"/>
              <w:left w:val="single" w:sz="4" w:space="0" w:color="auto"/>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NSW</w:t>
            </w:r>
          </w:p>
        </w:tc>
        <w:tc>
          <w:tcPr>
            <w:tcW w:w="662" w:type="pct"/>
            <w:tcBorders>
              <w:top w:val="single" w:sz="4" w:space="0" w:color="auto"/>
              <w:left w:val="nil"/>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 xml:space="preserve">0 </w:t>
            </w:r>
          </w:p>
        </w:tc>
        <w:tc>
          <w:tcPr>
            <w:tcW w:w="662" w:type="pct"/>
            <w:tcBorders>
              <w:top w:val="single" w:sz="4" w:space="0" w:color="auto"/>
              <w:left w:val="nil"/>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26.0</w:t>
            </w:r>
          </w:p>
        </w:tc>
        <w:tc>
          <w:tcPr>
            <w:tcW w:w="661" w:type="pct"/>
            <w:tcBorders>
              <w:top w:val="single" w:sz="4" w:space="0" w:color="auto"/>
              <w:left w:val="nil"/>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31.0</w:t>
            </w:r>
          </w:p>
        </w:tc>
        <w:tc>
          <w:tcPr>
            <w:tcW w:w="661" w:type="pct"/>
            <w:tcBorders>
              <w:top w:val="single" w:sz="4" w:space="0" w:color="auto"/>
              <w:left w:val="nil"/>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26.0</w:t>
            </w:r>
          </w:p>
        </w:tc>
        <w:tc>
          <w:tcPr>
            <w:tcW w:w="758" w:type="pct"/>
            <w:tcBorders>
              <w:top w:val="single" w:sz="4" w:space="0" w:color="auto"/>
              <w:left w:val="nil"/>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18.8</w:t>
            </w:r>
          </w:p>
        </w:tc>
        <w:tc>
          <w:tcPr>
            <w:tcW w:w="756" w:type="pct"/>
            <w:tcBorders>
              <w:top w:val="single" w:sz="4" w:space="0" w:color="auto"/>
              <w:left w:val="single" w:sz="4" w:space="0" w:color="auto"/>
              <w:bottom w:val="single" w:sz="4" w:space="0" w:color="auto"/>
              <w:right w:val="single" w:sz="4" w:space="0" w:color="auto"/>
            </w:tcBorders>
            <w:noWrap/>
            <w:vAlign w:val="center"/>
            <w:hideMark/>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24.0</w:t>
            </w:r>
          </w:p>
        </w:tc>
      </w:tr>
      <w:tr w:rsidR="0074049C" w:rsidRPr="00E60869" w:rsidTr="00EB680F">
        <w:trPr>
          <w:cantSplit/>
          <w:trHeight w:val="300"/>
        </w:trPr>
        <w:tc>
          <w:tcPr>
            <w:tcW w:w="839"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Q</w:t>
            </w:r>
            <w:r>
              <w:rPr>
                <w:rFonts w:ascii="Calibri" w:eastAsia="Times New Roman" w:hAnsi="Calibri" w:cs="Calibri"/>
                <w:b/>
                <w:sz w:val="20"/>
                <w:szCs w:val="20"/>
                <w:lang w:eastAsia="en-AU"/>
              </w:rPr>
              <w:t>ld</w:t>
            </w:r>
          </w:p>
        </w:tc>
        <w:tc>
          <w:tcPr>
            <w:tcW w:w="662"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n/a*</w:t>
            </w:r>
            <w:r w:rsidRPr="00E60869">
              <w:rPr>
                <w:rFonts w:ascii="Calibri" w:eastAsia="Times New Roman" w:hAnsi="Calibri" w:cs="Calibri"/>
                <w:sz w:val="20"/>
                <w:szCs w:val="20"/>
                <w:lang w:eastAsia="en-AU"/>
              </w:rPr>
              <w:t> </w:t>
            </w:r>
          </w:p>
        </w:tc>
        <w:tc>
          <w:tcPr>
            <w:tcW w:w="662"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35.8</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60</w:t>
            </w:r>
            <w:r w:rsidRPr="00E60869">
              <w:rPr>
                <w:rFonts w:ascii="Calibri" w:eastAsia="Times New Roman" w:hAnsi="Calibri" w:cs="Calibri"/>
                <w:sz w:val="20"/>
                <w:szCs w:val="20"/>
                <w:lang w:eastAsia="en-AU"/>
              </w:rPr>
              <w:t>.0</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67.0</w:t>
            </w:r>
          </w:p>
        </w:tc>
        <w:tc>
          <w:tcPr>
            <w:tcW w:w="758"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84.0</w:t>
            </w:r>
          </w:p>
        </w:tc>
        <w:tc>
          <w:tcPr>
            <w:tcW w:w="756"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87.0</w:t>
            </w:r>
          </w:p>
        </w:tc>
      </w:tr>
      <w:tr w:rsidR="0074049C" w:rsidRPr="00E60869" w:rsidTr="00EB680F">
        <w:trPr>
          <w:cantSplit/>
          <w:trHeight w:val="300"/>
        </w:trPr>
        <w:tc>
          <w:tcPr>
            <w:tcW w:w="839"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WA</w:t>
            </w:r>
          </w:p>
        </w:tc>
        <w:tc>
          <w:tcPr>
            <w:tcW w:w="662"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22</w:t>
            </w:r>
          </w:p>
        </w:tc>
        <w:tc>
          <w:tcPr>
            <w:tcW w:w="662"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36.8</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34.4</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33.0</w:t>
            </w:r>
          </w:p>
        </w:tc>
        <w:tc>
          <w:tcPr>
            <w:tcW w:w="758"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33.0</w:t>
            </w:r>
          </w:p>
        </w:tc>
        <w:tc>
          <w:tcPr>
            <w:tcW w:w="756"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47.0</w:t>
            </w:r>
          </w:p>
        </w:tc>
      </w:tr>
      <w:tr w:rsidR="0074049C" w:rsidRPr="00E60869" w:rsidTr="00EB680F">
        <w:trPr>
          <w:cantSplit/>
          <w:trHeight w:val="300"/>
        </w:trPr>
        <w:tc>
          <w:tcPr>
            <w:tcW w:w="839"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SA</w:t>
            </w:r>
          </w:p>
        </w:tc>
        <w:tc>
          <w:tcPr>
            <w:tcW w:w="662"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20</w:t>
            </w:r>
          </w:p>
        </w:tc>
        <w:tc>
          <w:tcPr>
            <w:tcW w:w="662"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37.3</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36.0</w:t>
            </w:r>
          </w:p>
        </w:tc>
        <w:tc>
          <w:tcPr>
            <w:tcW w:w="661"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28.0</w:t>
            </w:r>
          </w:p>
        </w:tc>
        <w:tc>
          <w:tcPr>
            <w:tcW w:w="758" w:type="pct"/>
            <w:tcBorders>
              <w:top w:val="single" w:sz="4" w:space="0" w:color="auto"/>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25.7</w:t>
            </w:r>
          </w:p>
        </w:tc>
        <w:tc>
          <w:tcPr>
            <w:tcW w:w="756" w:type="pct"/>
            <w:tcBorders>
              <w:top w:val="single" w:sz="4" w:space="0" w:color="auto"/>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14.0</w:t>
            </w:r>
            <w:r>
              <w:rPr>
                <w:rFonts w:ascii="Calibri" w:eastAsia="Times New Roman" w:hAnsi="Calibri" w:cs="Calibri"/>
                <w:sz w:val="20"/>
                <w:szCs w:val="20"/>
                <w:lang w:eastAsia="en-AU"/>
              </w:rPr>
              <w:t>*</w:t>
            </w:r>
            <w:r w:rsidRPr="00E60869">
              <w:rPr>
                <w:rFonts w:ascii="Calibri" w:eastAsia="Times New Roman" w:hAnsi="Calibri" w:cs="Calibri"/>
                <w:sz w:val="20"/>
                <w:szCs w:val="20"/>
                <w:lang w:eastAsia="en-AU"/>
              </w:rPr>
              <w:t>*</w:t>
            </w:r>
          </w:p>
        </w:tc>
      </w:tr>
      <w:tr w:rsidR="0074049C" w:rsidRPr="00E60869" w:rsidTr="00EB680F">
        <w:trPr>
          <w:cantSplit/>
          <w:trHeight w:val="300"/>
        </w:trPr>
        <w:tc>
          <w:tcPr>
            <w:tcW w:w="839"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T</w:t>
            </w:r>
            <w:r>
              <w:rPr>
                <w:rFonts w:ascii="Calibri" w:eastAsia="Times New Roman" w:hAnsi="Calibri" w:cs="Calibri"/>
                <w:b/>
                <w:sz w:val="20"/>
                <w:szCs w:val="20"/>
                <w:lang w:eastAsia="en-AU"/>
              </w:rPr>
              <w:t>as</w:t>
            </w:r>
          </w:p>
        </w:tc>
        <w:tc>
          <w:tcPr>
            <w:tcW w:w="662"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22</w:t>
            </w:r>
          </w:p>
        </w:tc>
        <w:tc>
          <w:tcPr>
            <w:tcW w:w="662"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21.9</w:t>
            </w:r>
          </w:p>
        </w:tc>
        <w:tc>
          <w:tcPr>
            <w:tcW w:w="661"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n/a</w:t>
            </w:r>
          </w:p>
        </w:tc>
        <w:tc>
          <w:tcPr>
            <w:tcW w:w="661"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23.0</w:t>
            </w:r>
          </w:p>
        </w:tc>
        <w:tc>
          <w:tcPr>
            <w:tcW w:w="758"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n/a</w:t>
            </w:r>
          </w:p>
        </w:tc>
        <w:tc>
          <w:tcPr>
            <w:tcW w:w="756"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n/a</w:t>
            </w:r>
          </w:p>
        </w:tc>
      </w:tr>
      <w:tr w:rsidR="0074049C" w:rsidRPr="00E60869" w:rsidTr="00EB680F">
        <w:trPr>
          <w:cantSplit/>
          <w:trHeight w:val="300"/>
        </w:trPr>
        <w:tc>
          <w:tcPr>
            <w:tcW w:w="839"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rPr>
                <w:rFonts w:ascii="Calibri" w:eastAsia="Times New Roman" w:hAnsi="Calibri" w:cs="Calibri"/>
                <w:b/>
                <w:sz w:val="20"/>
                <w:szCs w:val="20"/>
                <w:lang w:eastAsia="en-AU"/>
              </w:rPr>
            </w:pPr>
            <w:r w:rsidRPr="00E60869">
              <w:rPr>
                <w:rFonts w:ascii="Calibri" w:eastAsia="Times New Roman" w:hAnsi="Calibri" w:cs="Calibri"/>
                <w:b/>
                <w:sz w:val="20"/>
                <w:szCs w:val="20"/>
                <w:lang w:eastAsia="en-AU"/>
              </w:rPr>
              <w:t>NT</w:t>
            </w:r>
          </w:p>
        </w:tc>
        <w:tc>
          <w:tcPr>
            <w:tcW w:w="662"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32</w:t>
            </w:r>
          </w:p>
        </w:tc>
        <w:tc>
          <w:tcPr>
            <w:tcW w:w="662"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34.0</w:t>
            </w:r>
          </w:p>
        </w:tc>
        <w:tc>
          <w:tcPr>
            <w:tcW w:w="661"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29.0</w:t>
            </w:r>
          </w:p>
        </w:tc>
        <w:tc>
          <w:tcPr>
            <w:tcW w:w="661"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28.0</w:t>
            </w:r>
          </w:p>
        </w:tc>
        <w:tc>
          <w:tcPr>
            <w:tcW w:w="758" w:type="pct"/>
            <w:tcBorders>
              <w:top w:val="nil"/>
              <w:left w:val="nil"/>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n/a</w:t>
            </w:r>
          </w:p>
        </w:tc>
        <w:tc>
          <w:tcPr>
            <w:tcW w:w="756" w:type="pct"/>
            <w:tcBorders>
              <w:top w:val="nil"/>
              <w:left w:val="single" w:sz="4" w:space="0" w:color="auto"/>
              <w:bottom w:val="single" w:sz="4" w:space="0" w:color="auto"/>
              <w:right w:val="single" w:sz="4" w:space="0" w:color="auto"/>
            </w:tcBorders>
            <w:noWrap/>
            <w:vAlign w:val="center"/>
          </w:tcPr>
          <w:p w:rsidR="0074049C" w:rsidRPr="00E60869" w:rsidRDefault="0074049C" w:rsidP="00E60869">
            <w:pPr>
              <w:keepNext/>
              <w:keepLines/>
              <w:widowControl w:val="0"/>
              <w:spacing w:after="0" w:line="240" w:lineRule="auto"/>
              <w:jc w:val="right"/>
              <w:rPr>
                <w:rFonts w:ascii="Calibri" w:eastAsia="Times New Roman" w:hAnsi="Calibri" w:cs="Calibri"/>
                <w:sz w:val="20"/>
                <w:szCs w:val="20"/>
                <w:lang w:eastAsia="en-AU"/>
              </w:rPr>
            </w:pPr>
            <w:r w:rsidRPr="00E60869">
              <w:rPr>
                <w:rFonts w:ascii="Calibri" w:eastAsia="Times New Roman" w:hAnsi="Calibri" w:cs="Calibri"/>
                <w:sz w:val="20"/>
                <w:szCs w:val="20"/>
                <w:lang w:eastAsia="en-AU"/>
              </w:rPr>
              <w:t>30.0</w:t>
            </w:r>
          </w:p>
        </w:tc>
      </w:tr>
    </w:tbl>
    <w:p w:rsidR="0074049C" w:rsidRDefault="0074049C" w:rsidP="0074049C">
      <w:pPr>
        <w:spacing w:after="0" w:line="240" w:lineRule="auto"/>
        <w:rPr>
          <w:rFonts w:ascii="Calibri" w:eastAsia="Calibri" w:hAnsi="Calibri" w:cs="Times New Roman"/>
          <w:sz w:val="18"/>
        </w:rPr>
      </w:pPr>
      <w:r w:rsidRPr="00E60869">
        <w:rPr>
          <w:rFonts w:ascii="Calibri" w:eastAsia="Calibri" w:hAnsi="Calibri" w:cs="Times New Roman"/>
          <w:sz w:val="18"/>
        </w:rPr>
        <w:t>*</w:t>
      </w:r>
      <w:r>
        <w:rPr>
          <w:rFonts w:ascii="Calibri" w:eastAsia="Calibri" w:hAnsi="Calibri" w:cs="Times New Roman"/>
          <w:sz w:val="18"/>
        </w:rPr>
        <w:t xml:space="preserve"> Queensland reports that no data was available for this period.</w:t>
      </w:r>
    </w:p>
    <w:p w:rsidR="0074049C" w:rsidRDefault="0074049C" w:rsidP="0074049C">
      <w:pPr>
        <w:spacing w:after="0" w:line="240" w:lineRule="auto"/>
        <w:rPr>
          <w:rFonts w:ascii="Calibri" w:eastAsia="Calibri" w:hAnsi="Calibri" w:cs="Times New Roman"/>
          <w:sz w:val="18"/>
        </w:rPr>
      </w:pPr>
      <w:r>
        <w:rPr>
          <w:rFonts w:ascii="Calibri" w:eastAsia="Calibri" w:hAnsi="Calibri" w:cs="Times New Roman"/>
          <w:sz w:val="18"/>
        </w:rPr>
        <w:t xml:space="preserve">** </w:t>
      </w:r>
      <w:r w:rsidRPr="00E60869">
        <w:rPr>
          <w:rFonts w:ascii="Calibri" w:eastAsia="Calibri" w:hAnsi="Calibri" w:cs="Times New Roman"/>
          <w:sz w:val="18"/>
        </w:rPr>
        <w:t>S</w:t>
      </w:r>
      <w:r>
        <w:rPr>
          <w:rFonts w:ascii="Calibri" w:eastAsia="Calibri" w:hAnsi="Calibri" w:cs="Times New Roman"/>
          <w:sz w:val="18"/>
        </w:rPr>
        <w:t xml:space="preserve">outh </w:t>
      </w:r>
      <w:r w:rsidRPr="00E60869">
        <w:rPr>
          <w:rFonts w:ascii="Calibri" w:eastAsia="Calibri" w:hAnsi="Calibri" w:cs="Times New Roman"/>
          <w:sz w:val="18"/>
        </w:rPr>
        <w:t>A</w:t>
      </w:r>
      <w:r>
        <w:rPr>
          <w:rFonts w:ascii="Calibri" w:eastAsia="Calibri" w:hAnsi="Calibri" w:cs="Times New Roman"/>
          <w:sz w:val="18"/>
        </w:rPr>
        <w:t>ustralia</w:t>
      </w:r>
      <w:r w:rsidRPr="00E60869">
        <w:rPr>
          <w:rFonts w:ascii="Calibri" w:eastAsia="Calibri" w:hAnsi="Calibri" w:cs="Times New Roman"/>
          <w:sz w:val="18"/>
        </w:rPr>
        <w:t xml:space="preserve"> reports not meeting its 2014-15 employment target due to high competition for local labour in that period.</w:t>
      </w:r>
    </w:p>
    <w:p w:rsidR="0074049C" w:rsidRPr="00E60869" w:rsidRDefault="0074049C" w:rsidP="0074049C">
      <w:pPr>
        <w:spacing w:after="0" w:line="240" w:lineRule="auto"/>
        <w:rPr>
          <w:rFonts w:ascii="Calibri" w:eastAsia="Calibri" w:hAnsi="Calibri" w:cs="Times New Roman"/>
          <w:sz w:val="18"/>
        </w:rPr>
      </w:pPr>
      <w:r w:rsidRPr="00E60869">
        <w:rPr>
          <w:rFonts w:ascii="Calibri" w:eastAsia="Calibri" w:hAnsi="Calibri" w:cs="Times New Roman"/>
          <w:sz w:val="18"/>
        </w:rPr>
        <w:t xml:space="preserve">Source: </w:t>
      </w:r>
      <w:r w:rsidR="0004739C">
        <w:rPr>
          <w:rFonts w:ascii="Calibri" w:eastAsia="Calibri" w:hAnsi="Calibri" w:cs="Times New Roman"/>
          <w:sz w:val="18"/>
        </w:rPr>
        <w:t>Jurisdiction</w:t>
      </w:r>
      <w:r w:rsidRPr="00E60869">
        <w:rPr>
          <w:rFonts w:ascii="Calibri" w:eastAsia="Calibri" w:hAnsi="Calibri" w:cs="Times New Roman"/>
          <w:sz w:val="18"/>
        </w:rPr>
        <w:t xml:space="preserve"> Annual Status Reports</w:t>
      </w:r>
    </w:p>
    <w:p w:rsidR="0074049C" w:rsidRPr="00E60869" w:rsidRDefault="0074049C" w:rsidP="0074049C">
      <w:r w:rsidRPr="00E60869">
        <w:lastRenderedPageBreak/>
        <w:t>In Queensland, officials reported the highest rate of Indigenous employment, showing a steady increase from 36 per cent in 201</w:t>
      </w:r>
      <w:r>
        <w:t>0-1</w:t>
      </w:r>
      <w:r w:rsidRPr="00E60869">
        <w:t>1 and reaching 87 per cent in 2014-15. In 2015-16, Aboriginal and Torres Strait Islander apprentices and trainees worked 101,040 overall core hours (across approximately 632 FTE</w:t>
      </w:r>
      <w:r>
        <w:t xml:space="preserve"> </w:t>
      </w:r>
      <w:r w:rsidRPr="00E60869">
        <w:t>positions), and 25,325 hours (across approximately 159 FTE positions), on social housing construction and other housing and infrastructure projects in remote and very remote Indigenous communities. The strong employment outcomes were largely supported by the Panel’s observations on consultation visits.</w:t>
      </w:r>
    </w:p>
    <w:p w:rsidR="0074049C" w:rsidRPr="00E60869" w:rsidRDefault="0074049C" w:rsidP="0074049C">
      <w:r w:rsidRPr="00E60869">
        <w:t>Western Australian officials reported an increase from 22 per cent in 2009</w:t>
      </w:r>
      <w:r w:rsidRPr="00E60869">
        <w:noBreakHyphen/>
        <w:t xml:space="preserve">10 to 47 per cent in 2014-15, although community members felt there were very few employment opportunities for them as a result of the program, particularly around PTM. </w:t>
      </w:r>
    </w:p>
    <w:p w:rsidR="00E60869" w:rsidRPr="00E60869" w:rsidRDefault="0074049C" w:rsidP="0074049C">
      <w:r w:rsidRPr="00E60869">
        <w:t>South Australia showed improvement, which was supported during consultations, except in 2014</w:t>
      </w:r>
      <w:r>
        <w:noBreakHyphen/>
      </w:r>
      <w:r w:rsidRPr="00E60869">
        <w:t xml:space="preserve">15 when it did not meet the employment target, as it experienced a lot of competition for local labour. In 2014-15 in </w:t>
      </w:r>
      <w:r>
        <w:t>South</w:t>
      </w:r>
      <w:r w:rsidRPr="00E60869">
        <w:t xml:space="preserve"> Australia, 10.5 of the 14.5 FTE</w:t>
      </w:r>
      <w:r>
        <w:t xml:space="preserve"> PTM</w:t>
      </w:r>
      <w:r w:rsidRPr="00E60869">
        <w:t xml:space="preserve"> positions in place across the three remote office locations, (servicing both mainstream and remote community housing) were filled by local Aboriginal staff</w:t>
      </w:r>
      <w:r w:rsidR="00E60869" w:rsidRPr="00E60869">
        <w:t xml:space="preserve">. </w:t>
      </w:r>
    </w:p>
    <w:p w:rsidR="00E60869" w:rsidRDefault="0074049C" w:rsidP="00222C59">
      <w:r w:rsidRPr="00E60869">
        <w:t>While the Northern Territory’s Indigenous employment rate has remained fairly steady, it has introduced an innovative program to support long-term employment and training through longer contracts and a larger service footprint. Over 2</w:t>
      </w:r>
      <w:r>
        <w:t>,</w:t>
      </w:r>
      <w:r w:rsidRPr="00E60869">
        <w:t>000 Aboriginal Territorians had been employed through the Strategy. From 1 July 2016 to 31 October 2016, the target of 30 per cent has been exceeded, with total Aboriginal FTE employment of 56 per cent: capital works – 54 per cent Aboriginal FTE; tenancy management – 67 per cent Aboriginal</w:t>
      </w:r>
      <w:r>
        <w:t xml:space="preserve"> FTE; and property management – 57 per </w:t>
      </w:r>
      <w:r w:rsidRPr="00E60869">
        <w:t>cent Aboriginal FTE</w:t>
      </w:r>
      <w:r w:rsidR="00E60869" w:rsidRPr="00E60869">
        <w:t>.</w:t>
      </w:r>
    </w:p>
    <w:p w:rsidR="00E60869" w:rsidRDefault="00E60869" w:rsidP="00211750">
      <w:pPr>
        <w:pStyle w:val="H3"/>
      </w:pPr>
      <w:bookmarkStart w:id="394" w:name="_Toc477178132"/>
      <w:bookmarkStart w:id="395" w:name="_Toc477248769"/>
      <w:bookmarkStart w:id="396" w:name="_Toc477252755"/>
      <w:bookmarkStart w:id="397" w:name="_Toc490218725"/>
      <w:r w:rsidRPr="00E60869">
        <w:t xml:space="preserve">The </w:t>
      </w:r>
      <w:r w:rsidR="00D4068D">
        <w:t>Panel</w:t>
      </w:r>
      <w:r w:rsidRPr="00E60869">
        <w:t xml:space="preserve"> found good practice examples but local people say they missed out on jobs</w:t>
      </w:r>
      <w:bookmarkEnd w:id="394"/>
      <w:bookmarkEnd w:id="395"/>
      <w:bookmarkEnd w:id="396"/>
      <w:bookmarkEnd w:id="397"/>
    </w:p>
    <w:p w:rsidR="00646D36" w:rsidRDefault="00646D36" w:rsidP="00646D36">
      <w:r w:rsidRPr="00E60869">
        <w:t>There are many success stories of sustained employment of residents from remote Indigenous communities. Case studies such as the T</w:t>
      </w:r>
      <w:r>
        <w:t>ravelling Wilburys, (see Box 6.2</w:t>
      </w:r>
      <w:r w:rsidRPr="00E60869">
        <w:t xml:space="preserve">) demonstrate the innovative and flexible ways that employment of the local workforce can be developed. </w:t>
      </w:r>
    </w:p>
    <w:tbl>
      <w:tblPr>
        <w:tblStyle w:val="TableGrid"/>
        <w:tblW w:w="0" w:type="auto"/>
        <w:tblLook w:val="04A0" w:firstRow="1" w:lastRow="0" w:firstColumn="1" w:lastColumn="0" w:noHBand="0" w:noVBand="1"/>
      </w:tblPr>
      <w:tblGrid>
        <w:gridCol w:w="8947"/>
      </w:tblGrid>
      <w:tr w:rsidR="00DD7426" w:rsidTr="00DD7426">
        <w:tc>
          <w:tcPr>
            <w:tcW w:w="9173" w:type="dxa"/>
          </w:tcPr>
          <w:p w:rsidR="00DD7426" w:rsidRPr="00222C59" w:rsidRDefault="00DD7426" w:rsidP="00DD7426">
            <w:pPr>
              <w:pBdr>
                <w:top w:val="single" w:sz="4" w:space="1" w:color="auto"/>
                <w:left w:val="single" w:sz="4" w:space="4" w:color="auto"/>
                <w:bottom w:val="single" w:sz="4" w:space="1" w:color="auto"/>
                <w:right w:val="single" w:sz="4" w:space="4" w:color="auto"/>
              </w:pBdr>
              <w:rPr>
                <w:b/>
              </w:rPr>
            </w:pPr>
            <w:r>
              <w:rPr>
                <w:b/>
              </w:rPr>
              <w:t>Box 6.2</w:t>
            </w:r>
            <w:r w:rsidRPr="00222C59">
              <w:rPr>
                <w:b/>
              </w:rPr>
              <w:t xml:space="preserve">: Innovative approaches grow employment opportunities in the </w:t>
            </w:r>
            <w:r>
              <w:rPr>
                <w:b/>
              </w:rPr>
              <w:t>Northern Territory</w:t>
            </w:r>
          </w:p>
          <w:p w:rsidR="00DD7426" w:rsidRDefault="00DD7426" w:rsidP="00DD7426">
            <w:pPr>
              <w:pBdr>
                <w:top w:val="single" w:sz="4" w:space="1" w:color="auto"/>
                <w:left w:val="single" w:sz="4" w:space="4" w:color="auto"/>
                <w:bottom w:val="single" w:sz="4" w:space="1" w:color="auto"/>
                <w:right w:val="single" w:sz="4" w:space="4" w:color="auto"/>
              </w:pBdr>
              <w:rPr>
                <w:b/>
              </w:rPr>
            </w:pPr>
          </w:p>
          <w:p w:rsidR="00DD7426" w:rsidRPr="00222C59" w:rsidRDefault="00DD7426" w:rsidP="00DD7426">
            <w:pPr>
              <w:pBdr>
                <w:top w:val="single" w:sz="4" w:space="1" w:color="auto"/>
                <w:left w:val="single" w:sz="4" w:space="4" w:color="auto"/>
                <w:bottom w:val="single" w:sz="4" w:space="1" w:color="auto"/>
                <w:right w:val="single" w:sz="4" w:space="4" w:color="auto"/>
              </w:pBdr>
              <w:rPr>
                <w:b/>
              </w:rPr>
            </w:pPr>
            <w:r w:rsidRPr="00222C59">
              <w:rPr>
                <w:b/>
              </w:rPr>
              <w:t>The Travelling Wilburys</w:t>
            </w:r>
          </w:p>
          <w:p w:rsidR="00DD7426" w:rsidRDefault="00DD7426" w:rsidP="00DD7426">
            <w:pPr>
              <w:pBdr>
                <w:top w:val="single" w:sz="4" w:space="1" w:color="auto"/>
                <w:left w:val="single" w:sz="4" w:space="4" w:color="auto"/>
                <w:bottom w:val="single" w:sz="4" w:space="1" w:color="auto"/>
                <w:right w:val="single" w:sz="4" w:space="4" w:color="auto"/>
              </w:pBdr>
            </w:pPr>
            <w:r w:rsidRPr="00E60869">
              <w:t xml:space="preserve">In the Northern Territory, the New Future Alliance engaged a group of Aboriginal employees known as the Travelling Wilburys who worked in housing projects across the Northern Territory. The employees were from a range of remote communities and progressively joined the program. Generally, employees joined the program when it was delivered in their community and following completion chose to continue their employment. The Travelling Wilburys had the opportunity to gain qualifications, and develop broad, in-depth skills and knowledge. Providing a </w:t>
            </w:r>
            <w:r w:rsidRPr="00E60869">
              <w:lastRenderedPageBreak/>
              <w:t xml:space="preserve">pathway to employment supported members of the group to adapt to managing family, community and cultural obligations with mainstream employment conditions. </w:t>
            </w:r>
          </w:p>
          <w:p w:rsidR="00DD7426" w:rsidRPr="00E60869" w:rsidRDefault="00DD7426" w:rsidP="00DD7426">
            <w:pPr>
              <w:pBdr>
                <w:top w:val="single" w:sz="4" w:space="1" w:color="auto"/>
                <w:left w:val="single" w:sz="4" w:space="4" w:color="auto"/>
                <w:bottom w:val="single" w:sz="4" w:space="1" w:color="auto"/>
                <w:right w:val="single" w:sz="4" w:space="4" w:color="auto"/>
              </w:pBdr>
            </w:pPr>
          </w:p>
          <w:p w:rsidR="00DD7426" w:rsidRPr="00222C59" w:rsidRDefault="00DD7426" w:rsidP="00DD7426">
            <w:pPr>
              <w:pBdr>
                <w:top w:val="single" w:sz="4" w:space="1" w:color="auto"/>
                <w:left w:val="single" w:sz="4" w:space="4" w:color="auto"/>
                <w:bottom w:val="single" w:sz="4" w:space="1" w:color="auto"/>
                <w:right w:val="single" w:sz="4" w:space="4" w:color="auto"/>
              </w:pBdr>
              <w:rPr>
                <w:b/>
              </w:rPr>
            </w:pPr>
            <w:r>
              <w:rPr>
                <w:b/>
              </w:rPr>
              <w:t>Galiwin’ku fast,</w:t>
            </w:r>
            <w:r w:rsidRPr="00222C59">
              <w:rPr>
                <w:b/>
              </w:rPr>
              <w:t xml:space="preserve"> slow build</w:t>
            </w:r>
          </w:p>
          <w:p w:rsidR="00DD7426" w:rsidRDefault="00DD7426" w:rsidP="00DD7426">
            <w:pPr>
              <w:pBdr>
                <w:top w:val="single" w:sz="4" w:space="1" w:color="auto"/>
                <w:left w:val="single" w:sz="4" w:space="4" w:color="auto"/>
                <w:bottom w:val="single" w:sz="4" w:space="1" w:color="auto"/>
                <w:right w:val="single" w:sz="4" w:space="4" w:color="auto"/>
              </w:pBdr>
            </w:pPr>
            <w:r w:rsidRPr="00E60869">
              <w:t>When two cyclones destroyed 80 homes in the Galiwin’ku</w:t>
            </w:r>
            <w:r w:rsidRPr="00E60869" w:rsidDel="004363BC">
              <w:t xml:space="preserve"> </w:t>
            </w:r>
            <w:r w:rsidRPr="00E60869">
              <w:t xml:space="preserve">community in February and March 2015, 600 people were left without safe homes. People were forced into temporary accommodation, and the community’s infrastructure was left devastated. The response, recovery and rebuild program was created to rebuild the community with a planned sequence of fast and slow-build constructions. </w:t>
            </w:r>
          </w:p>
          <w:p w:rsidR="00DD7426" w:rsidRPr="00E60869" w:rsidRDefault="00DD7426" w:rsidP="00DD7426">
            <w:pPr>
              <w:pBdr>
                <w:top w:val="single" w:sz="4" w:space="1" w:color="auto"/>
                <w:left w:val="single" w:sz="4" w:space="4" w:color="auto"/>
                <w:bottom w:val="single" w:sz="4" w:space="1" w:color="auto"/>
                <w:right w:val="single" w:sz="4" w:space="4" w:color="auto"/>
              </w:pBdr>
            </w:pPr>
          </w:p>
          <w:p w:rsidR="00DD7426" w:rsidRDefault="00DD7426" w:rsidP="00DD7426">
            <w:pPr>
              <w:pBdr>
                <w:top w:val="single" w:sz="4" w:space="1" w:color="auto"/>
                <w:left w:val="single" w:sz="4" w:space="4" w:color="auto"/>
                <w:bottom w:val="single" w:sz="4" w:space="1" w:color="auto"/>
                <w:right w:val="single" w:sz="4" w:space="4" w:color="auto"/>
              </w:pBdr>
            </w:pPr>
            <w:r w:rsidRPr="00E60869">
              <w:t>Fast builds allowed Galiwin’ku</w:t>
            </w:r>
            <w:r w:rsidRPr="00E60869" w:rsidDel="004363BC">
              <w:t xml:space="preserve"> </w:t>
            </w:r>
            <w:r w:rsidRPr="00E60869">
              <w:t xml:space="preserve">to meet extreme need </w:t>
            </w:r>
            <w:r>
              <w:t>–</w:t>
            </w:r>
            <w:r w:rsidRPr="00E60869">
              <w:t xml:space="preserve"> building</w:t>
            </w:r>
            <w:r>
              <w:t xml:space="preserve"> </w:t>
            </w:r>
            <w:r w:rsidRPr="00E60869">
              <w:t>houses quickly to populate many of the displaced and temporary accommodation for others. But the community also agreed to a series of slow builds to establish a longer term flow of construction to gain greater community benefit from local training and employment. This was a difficult decision as there were tensions b</w:t>
            </w:r>
            <w:r>
              <w:t>etween housing quickly and long-</w:t>
            </w:r>
            <w:r w:rsidRPr="00E60869">
              <w:t xml:space="preserve">term opportunities. This was a great example of what can be achieved to maximise local benefits from a housing program. It can only be done with strong community engagement and leadership. </w:t>
            </w:r>
          </w:p>
          <w:p w:rsidR="00DD7426" w:rsidRPr="00E60869" w:rsidRDefault="00DD7426" w:rsidP="00DD7426">
            <w:pPr>
              <w:pBdr>
                <w:top w:val="single" w:sz="4" w:space="1" w:color="auto"/>
                <w:left w:val="single" w:sz="4" w:space="4" w:color="auto"/>
                <w:bottom w:val="single" w:sz="4" w:space="1" w:color="auto"/>
                <w:right w:val="single" w:sz="4" w:space="4" w:color="auto"/>
              </w:pBdr>
            </w:pPr>
          </w:p>
          <w:p w:rsidR="00DD7426" w:rsidRPr="00222C59" w:rsidRDefault="00DD7426" w:rsidP="00DD7426">
            <w:pPr>
              <w:pBdr>
                <w:top w:val="single" w:sz="4" w:space="1" w:color="auto"/>
                <w:left w:val="single" w:sz="4" w:space="4" w:color="auto"/>
                <w:bottom w:val="single" w:sz="4" w:space="1" w:color="auto"/>
                <w:right w:val="single" w:sz="4" w:space="4" w:color="auto"/>
              </w:pBdr>
              <w:rPr>
                <w:b/>
              </w:rPr>
            </w:pPr>
            <w:r w:rsidRPr="00222C59">
              <w:rPr>
                <w:b/>
              </w:rPr>
              <w:t>Women’s Clean Teams</w:t>
            </w:r>
          </w:p>
          <w:p w:rsidR="00DD7426" w:rsidRDefault="00DD7426" w:rsidP="00DD7426">
            <w:pPr>
              <w:pBdr>
                <w:top w:val="single" w:sz="4" w:space="1" w:color="auto"/>
                <w:left w:val="single" w:sz="4" w:space="4" w:color="auto"/>
                <w:bottom w:val="single" w:sz="4" w:space="1" w:color="auto"/>
                <w:right w:val="single" w:sz="4" w:space="4" w:color="auto"/>
              </w:pBdr>
            </w:pPr>
            <w:r w:rsidRPr="00E60869">
              <w:t>Another example of employment opportunity created under the Strategy is the all</w:t>
            </w:r>
            <w:r w:rsidRPr="00E60869">
              <w:noBreakHyphen/>
              <w:t>women ‘Clean Teams’ in the Northern Territory. The teams were established to bring women into the program who would otherwise not have participated. The Clean Teams provided participants with the confidence to take on some of the upgrade work alongside the men.</w:t>
            </w:r>
          </w:p>
          <w:p w:rsidR="00DD7426" w:rsidRPr="00E60869" w:rsidRDefault="00DD7426" w:rsidP="00DD7426">
            <w:pPr>
              <w:pBdr>
                <w:top w:val="single" w:sz="4" w:space="1" w:color="auto"/>
                <w:left w:val="single" w:sz="4" w:space="4" w:color="auto"/>
                <w:bottom w:val="single" w:sz="4" w:space="1" w:color="auto"/>
                <w:right w:val="single" w:sz="4" w:space="4" w:color="auto"/>
              </w:pBdr>
            </w:pPr>
          </w:p>
          <w:p w:rsidR="00DD7426" w:rsidRDefault="00DD7426" w:rsidP="00DD7426">
            <w:pPr>
              <w:pBdr>
                <w:top w:val="single" w:sz="4" w:space="1" w:color="auto"/>
                <w:left w:val="single" w:sz="4" w:space="4" w:color="auto"/>
                <w:bottom w:val="single" w:sz="4" w:space="1" w:color="auto"/>
                <w:right w:val="single" w:sz="4" w:space="4" w:color="auto"/>
              </w:pBdr>
            </w:pPr>
            <w:r w:rsidRPr="00E60869">
              <w:t>Source: NT Government</w:t>
            </w:r>
          </w:p>
        </w:tc>
      </w:tr>
    </w:tbl>
    <w:p w:rsidR="00DD7426" w:rsidRPr="00E60869" w:rsidRDefault="00DD7426" w:rsidP="00646D36"/>
    <w:p w:rsidR="00646D36" w:rsidRPr="00E60869" w:rsidRDefault="00646D36" w:rsidP="00646D36">
      <w:r w:rsidRPr="00E60869">
        <w:t>There are also many examples outside of the Strategy</w:t>
      </w:r>
      <w:r>
        <w:t xml:space="preserve">. </w:t>
      </w:r>
      <w:r w:rsidRPr="00E60869">
        <w:t>For example in 1999</w:t>
      </w:r>
      <w:r>
        <w:t>,</w:t>
      </w:r>
      <w:r w:rsidRPr="00E60869">
        <w:t xml:space="preserve"> in response to a lack of local maintenance workers</w:t>
      </w:r>
      <w:r>
        <w:t>,</w:t>
      </w:r>
      <w:r w:rsidRPr="00E60869">
        <w:t xml:space="preserve"> the Healthy Housing Worker Progr</w:t>
      </w:r>
      <w:r>
        <w:t>am was developed to train Murdi </w:t>
      </w:r>
      <w:r w:rsidRPr="00E60869">
        <w:t xml:space="preserve">Paaki people in repairs and maintenance. The program was delivered in partnership with the </w:t>
      </w:r>
      <w:r>
        <w:t>New South Wales</w:t>
      </w:r>
      <w:r w:rsidRPr="00E60869">
        <w:t xml:space="preserve"> Government’s Housing for Health program, and the </w:t>
      </w:r>
      <w:r>
        <w:t>Batchelor</w:t>
      </w:r>
      <w:r w:rsidRPr="00E60869">
        <w:t xml:space="preserve"> Institute for Indigenous Tertiary Education in the Northern Territory. As a result, maintenance costs were reduced, with a cheaper pattern of cyclical maintenance. The approach also achieved an estimated 40-60 per cent decrease in complaints about maintenance issues from tenants in communities with resident Health Housing Workers. </w:t>
      </w:r>
    </w:p>
    <w:p w:rsidR="00EB680F" w:rsidRPr="00EB680F" w:rsidRDefault="00646D36" w:rsidP="00646D36">
      <w:pPr>
        <w:rPr>
          <w:rFonts w:ascii="Calibri" w:eastAsia="Times New Roman" w:hAnsi="Calibri" w:cs="Times New Roman"/>
        </w:rPr>
      </w:pPr>
      <w:r w:rsidRPr="00EB680F">
        <w:rPr>
          <w:rFonts w:ascii="Calibri" w:eastAsia="Times New Roman" w:hAnsi="Calibri" w:cs="Times New Roman"/>
        </w:rPr>
        <w:t>A Murdi Paaki employee said he observed a distinct advantage in employing local community members</w:t>
      </w:r>
      <w:r w:rsidR="00E60869" w:rsidRPr="00EB680F">
        <w:rPr>
          <w:rFonts w:ascii="Calibri" w:eastAsia="Times New Roman" w:hAnsi="Calibri" w:cs="Times New Roman"/>
        </w:rPr>
        <w:t xml:space="preserve">: </w:t>
      </w:r>
    </w:p>
    <w:p w:rsidR="00E60869" w:rsidRPr="00E60869" w:rsidRDefault="00E60869" w:rsidP="00E60869">
      <w:pPr>
        <w:ind w:left="340"/>
        <w:rPr>
          <w:rFonts w:ascii="Calibri" w:eastAsia="Times New Roman" w:hAnsi="Calibri" w:cs="Times New Roman"/>
          <w:i/>
        </w:rPr>
      </w:pPr>
      <w:r w:rsidRPr="00E60869">
        <w:rPr>
          <w:rFonts w:ascii="Calibri" w:eastAsia="Times New Roman" w:hAnsi="Calibri" w:cs="Times New Roman"/>
          <w:i/>
        </w:rPr>
        <w:lastRenderedPageBreak/>
        <w:t>‘one of the big advantages from our point of view and from the tenant's point of view is that there is an employee of Murdi Paaki housing in the township… The people of that community… are m</w:t>
      </w:r>
      <w:r w:rsidR="005F022B">
        <w:rPr>
          <w:rFonts w:ascii="Calibri" w:eastAsia="Times New Roman" w:hAnsi="Calibri" w:cs="Times New Roman"/>
          <w:i/>
        </w:rPr>
        <w:t>ore inclined to talk to them tha</w:t>
      </w:r>
      <w:r w:rsidRPr="00E60869">
        <w:rPr>
          <w:rFonts w:ascii="Calibri" w:eastAsia="Times New Roman" w:hAnsi="Calibri" w:cs="Times New Roman"/>
          <w:i/>
        </w:rPr>
        <w:t>n they would be to us.</w:t>
      </w:r>
      <w:r w:rsidR="003972AB">
        <w:rPr>
          <w:rFonts w:ascii="Calibri" w:eastAsia="Times New Roman" w:hAnsi="Calibri" w:cs="Times New Roman"/>
          <w:i/>
        </w:rPr>
        <w:t>’</w:t>
      </w:r>
      <w:r w:rsidRPr="00E60869">
        <w:rPr>
          <w:rFonts w:ascii="Calibri" w:eastAsia="Times New Roman" w:hAnsi="Calibri" w:cs="Times New Roman"/>
          <w:i/>
          <w:vertAlign w:val="superscript"/>
        </w:rPr>
        <w:footnoteReference w:id="39"/>
      </w:r>
    </w:p>
    <w:p w:rsidR="00E60869" w:rsidRPr="00E60869" w:rsidRDefault="00646D36" w:rsidP="00222C59">
      <w:r w:rsidRPr="00E60869">
        <w:t xml:space="preserve">Despite these positive examples the Panel heard that communities were disappointed there was not more local opportunity, despite employment targets being achieved. The agreement was for ‘local’ employment, but Commonwealth and </w:t>
      </w:r>
      <w:r w:rsidR="0004739C">
        <w:t>jurisdiction</w:t>
      </w:r>
      <w:r w:rsidRPr="00E60869">
        <w:t>s did not enforce this requirement. Service providers in Western Australia advised contractors were using urban-based workers to meet employment targets</w:t>
      </w:r>
      <w:r w:rsidR="00E60869" w:rsidRPr="00E60869">
        <w:t xml:space="preserve">. </w:t>
      </w:r>
    </w:p>
    <w:p w:rsidR="00E60869" w:rsidRDefault="003972AB" w:rsidP="00E60869">
      <w:pPr>
        <w:ind w:left="340"/>
        <w:rPr>
          <w:rFonts w:ascii="Calibri" w:eastAsia="Times New Roman" w:hAnsi="Calibri" w:cs="Times New Roman"/>
          <w:i/>
        </w:rPr>
      </w:pPr>
      <w:r>
        <w:rPr>
          <w:rFonts w:ascii="Calibri" w:eastAsia="Times New Roman" w:hAnsi="Calibri" w:cs="Times New Roman"/>
          <w:i/>
        </w:rPr>
        <w:t>‘</w:t>
      </w:r>
      <w:r w:rsidR="00E60869" w:rsidRPr="00E60869">
        <w:rPr>
          <w:rFonts w:ascii="Calibri" w:eastAsia="Times New Roman" w:hAnsi="Calibri" w:cs="Times New Roman"/>
          <w:i/>
        </w:rPr>
        <w:t>There are limited opportunities for local employment and capacity building of local and regional Aboriginal organisations and businesses.</w:t>
      </w:r>
      <w:r>
        <w:rPr>
          <w:rFonts w:ascii="Calibri" w:eastAsia="Times New Roman" w:hAnsi="Calibri" w:cs="Times New Roman"/>
          <w:i/>
        </w:rPr>
        <w:t>’</w:t>
      </w:r>
      <w:r>
        <w:rPr>
          <w:rStyle w:val="FootnoteReference"/>
          <w:rFonts w:ascii="Calibri" w:eastAsia="Times New Roman" w:hAnsi="Calibri"/>
          <w:i/>
        </w:rPr>
        <w:footnoteReference w:id="40"/>
      </w:r>
    </w:p>
    <w:p w:rsidR="00E60869" w:rsidRPr="00E60869" w:rsidRDefault="00E60869" w:rsidP="00211750">
      <w:pPr>
        <w:pStyle w:val="H3"/>
      </w:pPr>
      <w:bookmarkStart w:id="398" w:name="_Toc477178133"/>
      <w:bookmarkStart w:id="399" w:name="_Toc477248770"/>
      <w:bookmarkStart w:id="400" w:name="_Toc477252756"/>
      <w:bookmarkStart w:id="401" w:name="_Toc490218726"/>
      <w:bookmarkStart w:id="402" w:name="_Toc476645407"/>
      <w:bookmarkStart w:id="403" w:name="_Toc476644184"/>
      <w:bookmarkStart w:id="404" w:name="_Toc476650877"/>
      <w:bookmarkStart w:id="405" w:name="_Toc476658537"/>
      <w:bookmarkStart w:id="406" w:name="_Toc476659240"/>
      <w:bookmarkStart w:id="407" w:name="_Toc476661046"/>
      <w:bookmarkStart w:id="408" w:name="_Toc476663442"/>
      <w:bookmarkStart w:id="409" w:name="_Toc476669884"/>
      <w:bookmarkStart w:id="410" w:name="_Toc476665899"/>
      <w:bookmarkStart w:id="411" w:name="_Toc476671374"/>
      <w:bookmarkStart w:id="412" w:name="_Toc476676532"/>
      <w:bookmarkStart w:id="413" w:name="_Toc476677814"/>
      <w:bookmarkStart w:id="414" w:name="_Toc476678248"/>
      <w:r w:rsidRPr="00E60869">
        <w:t>Maintenance work is the significant opportunity for local jobs</w:t>
      </w:r>
      <w:bookmarkEnd w:id="398"/>
      <w:bookmarkEnd w:id="399"/>
      <w:bookmarkEnd w:id="400"/>
      <w:bookmarkEnd w:id="401"/>
      <w:r w:rsidRPr="00E60869">
        <w:t xml:space="preserve"> </w:t>
      </w:r>
    </w:p>
    <w:bookmarkEnd w:id="402"/>
    <w:bookmarkEnd w:id="403"/>
    <w:bookmarkEnd w:id="404"/>
    <w:bookmarkEnd w:id="405"/>
    <w:bookmarkEnd w:id="406"/>
    <w:bookmarkEnd w:id="407"/>
    <w:bookmarkEnd w:id="408"/>
    <w:bookmarkEnd w:id="409"/>
    <w:bookmarkEnd w:id="410"/>
    <w:bookmarkEnd w:id="411"/>
    <w:bookmarkEnd w:id="412"/>
    <w:bookmarkEnd w:id="413"/>
    <w:bookmarkEnd w:id="414"/>
    <w:p w:rsidR="00E60869" w:rsidRPr="00E60869" w:rsidRDefault="00E60869" w:rsidP="00222C59">
      <w:r w:rsidRPr="00E60869">
        <w:t xml:space="preserve">This has been known for some time, predating NPARIH and the Strategy. Similarly it has long been argued that stretched repairs and maintenance budgets will </w:t>
      </w:r>
      <w:r w:rsidR="00C23EB7">
        <w:t xml:space="preserve">be </w:t>
      </w:r>
      <w:r w:rsidRPr="00E60869">
        <w:t>more efficiently spent if loc</w:t>
      </w:r>
      <w:r w:rsidR="00EB680F">
        <w:t>al employment can be maximised.</w:t>
      </w:r>
      <w:r w:rsidRPr="00E60869">
        <w:rPr>
          <w:color w:val="404040" w:themeColor="text1" w:themeTint="BF"/>
          <w:sz w:val="20"/>
          <w:szCs w:val="20"/>
          <w:vertAlign w:val="superscript"/>
        </w:rPr>
        <w:footnoteReference w:id="41"/>
      </w:r>
      <w:r w:rsidRPr="00E60869">
        <w:t xml:space="preserve"> </w:t>
      </w:r>
    </w:p>
    <w:p w:rsidR="00E60869" w:rsidRPr="00E60869" w:rsidRDefault="0004739C" w:rsidP="00211750">
      <w:pPr>
        <w:pStyle w:val="H4"/>
      </w:pPr>
      <w:bookmarkStart w:id="415" w:name="_Toc477178134"/>
      <w:bookmarkStart w:id="416" w:name="_Toc477248771"/>
      <w:bookmarkStart w:id="417" w:name="_Toc477252757"/>
      <w:r>
        <w:t>Jurisdiction</w:t>
      </w:r>
      <w:r w:rsidR="00E60869" w:rsidRPr="00E60869">
        <w:t>s stressed their efforts to maximise local employment</w:t>
      </w:r>
      <w:bookmarkEnd w:id="415"/>
      <w:bookmarkEnd w:id="416"/>
      <w:bookmarkEnd w:id="417"/>
      <w:r w:rsidR="00E60869" w:rsidRPr="00E60869">
        <w:t xml:space="preserve"> </w:t>
      </w:r>
    </w:p>
    <w:p w:rsidR="00E60869" w:rsidRPr="00E60869" w:rsidRDefault="00646D36" w:rsidP="00222C59">
      <w:r>
        <w:t>In 2013-</w:t>
      </w:r>
      <w:r w:rsidRPr="00E60869">
        <w:t xml:space="preserve">14, the Northern Territory Government introduced a cluster model for the delivery of </w:t>
      </w:r>
      <w:r>
        <w:t>PTM</w:t>
      </w:r>
      <w:r w:rsidRPr="00E60869">
        <w:t xml:space="preserve"> services, with four and a half year contracts offered to successful tenderers. The longer contracts, combined with a larger service footprint for each of the clusters, have supported long‐term employment and training. Currently, an average of 100 Aboriginal employees</w:t>
      </w:r>
      <w:r>
        <w:t>,</w:t>
      </w:r>
      <w:r w:rsidRPr="00E60869">
        <w:t xml:space="preserve"> are engaged by </w:t>
      </w:r>
      <w:r>
        <w:t>PTM</w:t>
      </w:r>
      <w:r w:rsidRPr="00E60869">
        <w:t xml:space="preserve"> contractors across 72 remote communities</w:t>
      </w:r>
      <w:r w:rsidR="00382D5A">
        <w:t>.</w:t>
      </w:r>
    </w:p>
    <w:p w:rsidR="00E60869" w:rsidRPr="00E60869" w:rsidRDefault="00646D36" w:rsidP="00222C59">
      <w:r w:rsidRPr="00E60869">
        <w:t>The South Australian Government has created a separate contract delivering maintenance on the APY Lands (383 properties) and</w:t>
      </w:r>
      <w:r>
        <w:t>,</w:t>
      </w:r>
      <w:r w:rsidRPr="00E60869">
        <w:t xml:space="preserve"> from 2017, the contract will deliver maintenance to all government assets on the APY Lands, providing a volume and scale of work that will support greater local employment opportunities</w:t>
      </w:r>
      <w:r w:rsidR="00E60869" w:rsidRPr="00E60869">
        <w:t>.</w:t>
      </w:r>
    </w:p>
    <w:p w:rsidR="00E60869" w:rsidRPr="00E60869" w:rsidRDefault="00E60869" w:rsidP="00222C59">
      <w:r w:rsidRPr="00E60869">
        <w:t xml:space="preserve">There are also some examples of local jobs in tenancy management, although not all communities wanted to lead their tenancy management. There were concerns raised in consultations, </w:t>
      </w:r>
      <w:r w:rsidRPr="00E60869">
        <w:lastRenderedPageBreak/>
        <w:t xml:space="preserve">particularly in Western Australia, about the pressure put on local community members when making decisions around allocations and evictions of fellow community members. </w:t>
      </w:r>
    </w:p>
    <w:p w:rsidR="00E60869" w:rsidRPr="00E60869" w:rsidRDefault="00646D36" w:rsidP="00222C59">
      <w:r w:rsidRPr="00E60869">
        <w:t xml:space="preserve">In 2012, Queensland created local housing officer roles to support the standardisation of tenancy management in Strategy funded communities. The positions are recruited from the communities, with 11 currently filled. Unlike short-term construction jobs for capital works, which end once the houses are built, employment in </w:t>
      </w:r>
      <w:r>
        <w:t>PTM</w:t>
      </w:r>
      <w:r w:rsidRPr="00E60869">
        <w:t xml:space="preserve"> is ongoing. This represents the most stable and sustainable employment pathway for local people in remote Indigenous communities</w:t>
      </w:r>
      <w:r w:rsidR="00E60869" w:rsidRPr="00E60869">
        <w:t xml:space="preserve">. </w:t>
      </w:r>
    </w:p>
    <w:p w:rsidR="00E60869" w:rsidRPr="00E60869" w:rsidRDefault="00E60869" w:rsidP="00211750">
      <w:pPr>
        <w:pStyle w:val="H4"/>
      </w:pPr>
      <w:bookmarkStart w:id="418" w:name="_Toc477178135"/>
      <w:bookmarkStart w:id="419" w:name="_Toc477248772"/>
      <w:bookmarkStart w:id="420" w:name="_Toc477252758"/>
      <w:r w:rsidRPr="00E60869">
        <w:t xml:space="preserve">However, the </w:t>
      </w:r>
      <w:r w:rsidR="00D4068D">
        <w:t>Panel</w:t>
      </w:r>
      <w:r w:rsidRPr="00E60869">
        <w:t xml:space="preserve"> heard several accounts of frustrated possibilities</w:t>
      </w:r>
      <w:bookmarkEnd w:id="418"/>
      <w:bookmarkEnd w:id="419"/>
      <w:bookmarkEnd w:id="420"/>
      <w:r w:rsidRPr="00E60869">
        <w:t xml:space="preserve"> </w:t>
      </w:r>
    </w:p>
    <w:p w:rsidR="00E60869" w:rsidRPr="00E60869" w:rsidRDefault="00646D36" w:rsidP="00222C59">
      <w:r w:rsidRPr="00E60869">
        <w:t xml:space="preserve">Non-trade jobs, such as handyman works for simple repairs and maintenance, or administrative roles were being supported in the Murdi Paaki </w:t>
      </w:r>
      <w:r>
        <w:t xml:space="preserve">region in New South Wales </w:t>
      </w:r>
      <w:r w:rsidRPr="00E60869">
        <w:t>through education provided by the Batchelor Institute. However, the Panel heard that the program funding the repairs and maintenance work was defunded</w:t>
      </w:r>
      <w:r w:rsidR="00E60869" w:rsidRPr="00E60869">
        <w:t xml:space="preserve">. </w:t>
      </w:r>
    </w:p>
    <w:p w:rsidR="00E60869" w:rsidRPr="00E60869" w:rsidRDefault="00646D36" w:rsidP="00222C59">
      <w:r w:rsidRPr="00E60869">
        <w:t xml:space="preserve">The Panel heard from local business and council leaders around Ceduna in South Australia, about a big effort that they put in to training local people to play a role across construction and maintenance. Unfortunately for this effort, the </w:t>
      </w:r>
      <w:r>
        <w:t>South Australian</w:t>
      </w:r>
      <w:r w:rsidRPr="00E60869">
        <w:t xml:space="preserve"> Housing Authority decided there was not the scale in the Ceduna area to support a standalone business effort and the jobs have now gone to trades</w:t>
      </w:r>
      <w:r>
        <w:t>-</w:t>
      </w:r>
      <w:r w:rsidRPr="00E60869">
        <w:t>based businesses coming from Port Lincoln</w:t>
      </w:r>
      <w:r w:rsidR="00E60869" w:rsidRPr="00E60869">
        <w:t>.</w:t>
      </w:r>
    </w:p>
    <w:p w:rsidR="00E60869" w:rsidRPr="00E60869" w:rsidRDefault="00A03A1F" w:rsidP="00211750">
      <w:pPr>
        <w:pStyle w:val="H4"/>
      </w:pPr>
      <w:bookmarkStart w:id="421" w:name="_Toc477178136"/>
      <w:bookmarkStart w:id="422" w:name="_Toc477248773"/>
      <w:bookmarkStart w:id="423" w:name="_Toc477252759"/>
      <w:r>
        <w:t>There were c</w:t>
      </w:r>
      <w:r w:rsidR="00E60869" w:rsidRPr="00E60869">
        <w:t>omplaints that the two year planning and retendering cycles in the Strategy exacerbated these challenges</w:t>
      </w:r>
      <w:bookmarkEnd w:id="421"/>
      <w:bookmarkEnd w:id="422"/>
      <w:bookmarkEnd w:id="423"/>
      <w:r w:rsidR="00E60869" w:rsidRPr="00E60869">
        <w:t xml:space="preserve"> </w:t>
      </w:r>
    </w:p>
    <w:p w:rsidR="00E60869" w:rsidRPr="00E60869" w:rsidRDefault="0004739C" w:rsidP="00222C59">
      <w:r>
        <w:t>Jurisdiction</w:t>
      </w:r>
      <w:r w:rsidR="00E60869" w:rsidRPr="00E60869">
        <w:t xml:space="preserve"> officials stressed that the </w:t>
      </w:r>
      <w:r w:rsidR="000E799E">
        <w:t xml:space="preserve">requirement by the Commonwealth for </w:t>
      </w:r>
      <w:r w:rsidR="00E60869" w:rsidRPr="00E60869">
        <w:t xml:space="preserve">constant retendering made it very hard to establish the longer term plans needed to develop local employment structures. </w:t>
      </w:r>
    </w:p>
    <w:p w:rsidR="00E60869" w:rsidRPr="00E60869" w:rsidRDefault="00E60869" w:rsidP="00222C59">
      <w:r w:rsidRPr="00E60869">
        <w:t>While the Panel is critical of that practice and its impact on planning in general and of local employment in hous</w:t>
      </w:r>
      <w:r w:rsidR="001D2052">
        <w:t>ing</w:t>
      </w:r>
      <w:r w:rsidRPr="00E60869">
        <w:t xml:space="preserve"> construction teams, we were not inclined to accept this explanation for the failure more comprehensively to employ local workforce for PTM, especially repairs and maintenance. </w:t>
      </w:r>
      <w:r w:rsidR="00A03A1F">
        <w:t>We understood PTM was not in the retendering process.</w:t>
      </w:r>
    </w:p>
    <w:p w:rsidR="00E60869" w:rsidRDefault="008A4A9C" w:rsidP="00222C59">
      <w:r>
        <w:t xml:space="preserve">In addition, there is a challenge with long-term </w:t>
      </w:r>
      <w:r w:rsidR="0004739C">
        <w:t>jurisdiction</w:t>
      </w:r>
      <w:r>
        <w:t xml:space="preserve"> maintenance responsibility under this Commonwealth funded building program. </w:t>
      </w:r>
      <w:r w:rsidRPr="00E60869">
        <w:t xml:space="preserve">With such a big building program underway, social housing managers (overwhelmingly the </w:t>
      </w:r>
      <w:r w:rsidR="0004739C">
        <w:t>jurisdiction</w:t>
      </w:r>
      <w:r w:rsidRPr="00E60869">
        <w:t>s) could be in n</w:t>
      </w:r>
      <w:r>
        <w:t>o doubt about the need for long-</w:t>
      </w:r>
      <w:r w:rsidRPr="00E60869">
        <w:t xml:space="preserve">term and sustainable structures and workforce to maintain housing. This </w:t>
      </w:r>
      <w:r>
        <w:t>has to</w:t>
      </w:r>
      <w:r w:rsidRPr="00E60869">
        <w:t xml:space="preserve"> be a need regardless of planning rounds</w:t>
      </w:r>
      <w:r>
        <w:t xml:space="preserve"> with remaining Commonwealth construction funding</w:t>
      </w:r>
      <w:r w:rsidRPr="00E60869">
        <w:t>. The need for a different funding and governance model (not solely dependent on Commonwealth funding) is covered in subsequent chapters</w:t>
      </w:r>
      <w:r w:rsidR="00E60869" w:rsidRPr="00E60869">
        <w:t>.</w:t>
      </w:r>
    </w:p>
    <w:p w:rsidR="00E60869" w:rsidRPr="00E60869" w:rsidRDefault="00E60869" w:rsidP="00211750">
      <w:pPr>
        <w:pStyle w:val="H3"/>
      </w:pPr>
      <w:bookmarkStart w:id="424" w:name="_Toc477178137"/>
      <w:bookmarkStart w:id="425" w:name="_Toc477248774"/>
      <w:bookmarkStart w:id="426" w:name="_Toc477252760"/>
      <w:bookmarkStart w:id="427" w:name="_Toc490218727"/>
      <w:r w:rsidRPr="00E60869">
        <w:lastRenderedPageBreak/>
        <w:t>There have been mixed results in business development and procurement policy</w:t>
      </w:r>
      <w:bookmarkEnd w:id="424"/>
      <w:bookmarkEnd w:id="425"/>
      <w:bookmarkEnd w:id="426"/>
      <w:bookmarkEnd w:id="427"/>
      <w:r w:rsidRPr="00E60869">
        <w:t xml:space="preserve"> </w:t>
      </w:r>
    </w:p>
    <w:p w:rsidR="008A4A9C" w:rsidRPr="00E60869" w:rsidRDefault="008A4A9C" w:rsidP="008A4A9C">
      <w:r w:rsidRPr="00E60869">
        <w:t>In Western Australia, contracts are awarded to organisations that have a minimum of 20 per cent Indigenous employment within their workforce. The Western Australian Government has also provided support to small and medium sized Indigenous businesses, with more than 35 per cent of the works contracted to Aboriginal-owned or managed businesses. In the Northern Territory, currently 24 per cent of the construction contracts and 31 per cent of PTM contracts are held by Indigenous businesses</w:t>
      </w:r>
      <w:r>
        <w:t>.</w:t>
      </w:r>
    </w:p>
    <w:p w:rsidR="00E60869" w:rsidRPr="00E60869" w:rsidRDefault="008A4A9C" w:rsidP="008A4A9C">
      <w:r w:rsidRPr="00E60869">
        <w:t>While there have been some achievements in local Indigenous business engagement, both Northern Territory and Western Australian officials reported it has proven difficult to create a viable Indigenous suppliers market due to limited capacity in local suppliers, the rapid timeframes, large build expectations and short‐term nature of program delivery in remote communities</w:t>
      </w:r>
      <w:r w:rsidR="00E60869" w:rsidRPr="00E60869">
        <w:t xml:space="preserve">. </w:t>
      </w:r>
    </w:p>
    <w:p w:rsidR="00E60869" w:rsidRPr="00E60869" w:rsidRDefault="008A4A9C" w:rsidP="00222C59">
      <w:r w:rsidRPr="00E60869">
        <w:t xml:space="preserve">Although there were frustrations, Queensland reported that six Indigenous owned companies had been engaged from 2014-16 to undertake new construction, provide electrical and cabinet making services, and deliver maintenance and refurbishments. In South Australia, since 2012, an Indigenous business has received contracts for construction works in that </w:t>
      </w:r>
      <w:r w:rsidR="0004739C">
        <w:t>jurisdiction</w:t>
      </w:r>
      <w:r w:rsidRPr="00E60869">
        <w:t xml:space="preserve"> and has received support for workforce capacity building and achieved local employment rates of 49 per cent</w:t>
      </w:r>
      <w:r w:rsidR="00E60869" w:rsidRPr="00E60869">
        <w:t>.</w:t>
      </w:r>
    </w:p>
    <w:p w:rsidR="00E60869" w:rsidRPr="00E60869" w:rsidRDefault="008A4A9C" w:rsidP="00222C59">
      <w:r w:rsidRPr="00E60869">
        <w:t>In its submission</w:t>
      </w:r>
      <w:r>
        <w:t xml:space="preserve"> to the Review</w:t>
      </w:r>
      <w:r w:rsidRPr="00E60869">
        <w:t>, the Australian Local Government Association suggested that local service providers were not successful in being awarded contracts, while urban and regional contractors were. Short term funding cycles limited and interrupted use of local business. Queensland mayors expressed frustrations at the short term nature of contracts</w:t>
      </w:r>
      <w:r>
        <w:t>,</w:t>
      </w:r>
      <w:r w:rsidRPr="00E60869">
        <w:t xml:space="preserve"> limiting their ability to build capacity and develop local workers they could use to complete construction</w:t>
      </w:r>
      <w:r w:rsidR="00E60869" w:rsidRPr="00E60869">
        <w:t xml:space="preserve">. </w:t>
      </w:r>
    </w:p>
    <w:tbl>
      <w:tblPr>
        <w:tblStyle w:val="TableGrid11"/>
        <w:tblW w:w="0" w:type="auto"/>
        <w:tblLook w:val="04A0" w:firstRow="1" w:lastRow="0" w:firstColumn="1" w:lastColumn="0" w:noHBand="0" w:noVBand="1"/>
      </w:tblPr>
      <w:tblGrid>
        <w:gridCol w:w="8947"/>
      </w:tblGrid>
      <w:tr w:rsidR="00E60869" w:rsidRPr="00E60869" w:rsidTr="00222C59">
        <w:tc>
          <w:tcPr>
            <w:tcW w:w="9173" w:type="dxa"/>
          </w:tcPr>
          <w:p w:rsidR="00E60869" w:rsidRPr="00222C59" w:rsidRDefault="00110C8D" w:rsidP="00222C59">
            <w:pPr>
              <w:rPr>
                <w:b/>
              </w:rPr>
            </w:pPr>
            <w:r>
              <w:rPr>
                <w:b/>
              </w:rPr>
              <w:t>Box 6.3</w:t>
            </w:r>
            <w:r w:rsidR="00E60869" w:rsidRPr="00222C59">
              <w:rPr>
                <w:b/>
              </w:rPr>
              <w:t>: Gumatj Corporation develops successful businesses to take advantage of investment</w:t>
            </w:r>
          </w:p>
          <w:p w:rsidR="00E60869" w:rsidRPr="00E60869" w:rsidRDefault="00E60869" w:rsidP="00222C59"/>
          <w:p w:rsidR="008A4A9C" w:rsidRPr="00E60869" w:rsidRDefault="008A4A9C" w:rsidP="008A4A9C">
            <w:r w:rsidRPr="00E60869">
              <w:t>The Gumatj Corporation based in Gunyangara is an Indigenous owned business that generates employment opportunities and supports the education of the Yolngu people. It currently employ</w:t>
            </w:r>
            <w:r>
              <w:t>s</w:t>
            </w:r>
            <w:r w:rsidRPr="00E60869">
              <w:t xml:space="preserve"> 6</w:t>
            </w:r>
            <w:r>
              <w:t>7</w:t>
            </w:r>
            <w:r w:rsidRPr="00E60869">
              <w:t xml:space="preserve"> local people. Gumatj manufactures materials such as roof trusses, cement and bricks, and a range of quality furniture and hand crafted homeware. The employment success of Gumatj is a result of understanding the community and workplace practices, providing flexibility for working outside of standardised 9am-5pm hours, and offering incentives for working including accommodation.</w:t>
            </w:r>
          </w:p>
          <w:p w:rsidR="008A4A9C" w:rsidRPr="00E60869" w:rsidRDefault="008A4A9C" w:rsidP="008A4A9C"/>
          <w:p w:rsidR="00E60869" w:rsidRPr="00E60869" w:rsidRDefault="008A4A9C" w:rsidP="008A4A9C">
            <w:pPr>
              <w:rPr>
                <w:rFonts w:ascii="Calibri" w:eastAsia="Calibri" w:hAnsi="Calibri" w:cs="Times New Roman"/>
              </w:rPr>
            </w:pPr>
            <w:r w:rsidRPr="00E60869">
              <w:t xml:space="preserve">Strategy funding has enabled the Gumatj business to build </w:t>
            </w:r>
            <w:r>
              <w:t>its</w:t>
            </w:r>
            <w:r w:rsidRPr="00E60869">
              <w:t xml:space="preserve"> capacity, capitalise and set up a viable business that continues to win competitive tenders for a variety of projects. For example, Gumatj established a concrete block facility and a truss assembly facility in Nhulunbuy (both employing local Yolgnu in Nhulunbuy) to supply materials for the major construction happening in Galiwin’ku, with both fast and slow builds</w:t>
            </w:r>
            <w:r w:rsidR="00E60869" w:rsidRPr="00E60869">
              <w:t>.</w:t>
            </w:r>
          </w:p>
        </w:tc>
      </w:tr>
    </w:tbl>
    <w:p w:rsidR="00E60869" w:rsidRPr="00E60869" w:rsidRDefault="00E60869" w:rsidP="00211750">
      <w:pPr>
        <w:pStyle w:val="H3"/>
      </w:pPr>
      <w:bookmarkStart w:id="428" w:name="_Toc477178138"/>
      <w:bookmarkStart w:id="429" w:name="_Toc477248775"/>
      <w:bookmarkStart w:id="430" w:name="_Toc477252761"/>
      <w:bookmarkStart w:id="431" w:name="_Toc490218728"/>
      <w:r w:rsidRPr="00E60869">
        <w:lastRenderedPageBreak/>
        <w:t>Procurement policies need to be of a high standard</w:t>
      </w:r>
      <w:bookmarkEnd w:id="428"/>
      <w:bookmarkEnd w:id="429"/>
      <w:bookmarkEnd w:id="430"/>
      <w:bookmarkEnd w:id="431"/>
      <w:r w:rsidRPr="00E60869">
        <w:t xml:space="preserve"> </w:t>
      </w:r>
    </w:p>
    <w:p w:rsidR="008A4A9C" w:rsidRPr="00E60869" w:rsidRDefault="008A4A9C" w:rsidP="008A4A9C">
      <w:r w:rsidRPr="00E60869">
        <w:t xml:space="preserve">To achieve higher levels of Indigenous business outcomes, more sophisticated planning cycles </w:t>
      </w:r>
      <w:r>
        <w:t>and procurement practices c</w:t>
      </w:r>
      <w:r w:rsidRPr="00E60869">
        <w:t>ould encourage the development of small emerging businesses and investment in the training of local workforces.</w:t>
      </w:r>
    </w:p>
    <w:p w:rsidR="00E60869" w:rsidRPr="00E60869" w:rsidRDefault="008A4A9C" w:rsidP="008A4A9C">
      <w:r w:rsidRPr="00E60869">
        <w:t>Governments have been reluctant to set affirmative procurement policies for a long time, however, the Commonwealth and Northern Territory currently set high standards by implementing Indigenous procurement policies. Procurement policies should allow for smaller parcels of work to be more frequently awarded to support the development and building of capacity of small, emerging businesses</w:t>
      </w:r>
      <w:r w:rsidR="00E60869" w:rsidRPr="00E60869">
        <w:t xml:space="preserve">. </w:t>
      </w:r>
    </w:p>
    <w:tbl>
      <w:tblPr>
        <w:tblStyle w:val="TableGrid11"/>
        <w:tblW w:w="0" w:type="auto"/>
        <w:tblLook w:val="04A0" w:firstRow="1" w:lastRow="0" w:firstColumn="1" w:lastColumn="0" w:noHBand="0" w:noVBand="1"/>
      </w:tblPr>
      <w:tblGrid>
        <w:gridCol w:w="8947"/>
      </w:tblGrid>
      <w:tr w:rsidR="00E60869" w:rsidRPr="00E60869" w:rsidTr="0002200E">
        <w:trPr>
          <w:cantSplit/>
        </w:trPr>
        <w:tc>
          <w:tcPr>
            <w:tcW w:w="9242" w:type="dxa"/>
          </w:tcPr>
          <w:p w:rsidR="00E60869" w:rsidRPr="00222C59" w:rsidRDefault="00110C8D" w:rsidP="00222C59">
            <w:pPr>
              <w:spacing w:after="200"/>
              <w:rPr>
                <w:b/>
              </w:rPr>
            </w:pPr>
            <w:r>
              <w:rPr>
                <w:b/>
              </w:rPr>
              <w:t>Box 6.4</w:t>
            </w:r>
            <w:r w:rsidR="00E60869" w:rsidRPr="00222C59">
              <w:rPr>
                <w:b/>
              </w:rPr>
              <w:t>: Examples of Procurement Policies</w:t>
            </w:r>
          </w:p>
          <w:p w:rsidR="00E60869" w:rsidRPr="00E60869" w:rsidRDefault="00E60869" w:rsidP="00222C59">
            <w:pPr>
              <w:spacing w:after="200"/>
            </w:pPr>
            <w:r w:rsidRPr="00222C59">
              <w:rPr>
                <w:b/>
              </w:rPr>
              <w:t>Commonwealth Indigenous Procurement Policy</w:t>
            </w:r>
            <w:r w:rsidRPr="00E60869">
              <w:t xml:space="preserve"> has three main parts:</w:t>
            </w:r>
          </w:p>
          <w:p w:rsidR="00E60869" w:rsidRPr="00E60869" w:rsidRDefault="00EB680F" w:rsidP="00627AAC">
            <w:pPr>
              <w:pStyle w:val="ListParagraph"/>
              <w:numPr>
                <w:ilvl w:val="0"/>
                <w:numId w:val="25"/>
              </w:numPr>
            </w:pPr>
            <w:r>
              <w:t>a</w:t>
            </w:r>
            <w:r w:rsidR="00E60869" w:rsidRPr="00E60869">
              <w:t xml:space="preserve"> target number of contracts that need to be awarded t</w:t>
            </w:r>
            <w:r w:rsidR="003972AB">
              <w:t>o Indigenous businesses by 2020</w:t>
            </w:r>
          </w:p>
          <w:p w:rsidR="00E60869" w:rsidRPr="00E60869" w:rsidRDefault="00EB680F" w:rsidP="00627AAC">
            <w:pPr>
              <w:pStyle w:val="ListParagraph"/>
              <w:numPr>
                <w:ilvl w:val="0"/>
                <w:numId w:val="25"/>
              </w:numPr>
            </w:pPr>
            <w:r>
              <w:t>a</w:t>
            </w:r>
            <w:r w:rsidR="00E60869" w:rsidRPr="00E60869">
              <w:t xml:space="preserve"> mandatory set-aside for remote contracts and contracts va</w:t>
            </w:r>
            <w:r w:rsidR="003972AB">
              <w:t>lued between $80,000</w:t>
            </w:r>
            <w:r>
              <w:noBreakHyphen/>
            </w:r>
            <w:r w:rsidR="003972AB">
              <w:t>$200,000</w:t>
            </w:r>
            <w:r>
              <w:t>,</w:t>
            </w:r>
            <w:r w:rsidR="003972AB">
              <w:t xml:space="preserve"> and</w:t>
            </w:r>
          </w:p>
          <w:p w:rsidR="00E60869" w:rsidRDefault="00EB680F" w:rsidP="00627AAC">
            <w:pPr>
              <w:pStyle w:val="ListParagraph"/>
              <w:numPr>
                <w:ilvl w:val="0"/>
                <w:numId w:val="25"/>
              </w:numPr>
            </w:pPr>
            <w:r>
              <w:t>m</w:t>
            </w:r>
            <w:r w:rsidR="00E60869" w:rsidRPr="00E60869">
              <w:t>inimum Indigenous participation requirements in contracts valued at or above $7.5 million in certain industries.</w:t>
            </w:r>
          </w:p>
          <w:p w:rsidR="00C23EB7" w:rsidRPr="00E60869" w:rsidRDefault="00C23EB7" w:rsidP="00C23EB7">
            <w:pPr>
              <w:pStyle w:val="ListParagraph"/>
            </w:pPr>
          </w:p>
          <w:p w:rsidR="008A4A9C" w:rsidRPr="00E60869" w:rsidRDefault="008A4A9C" w:rsidP="008A4A9C">
            <w:pPr>
              <w:spacing w:after="200"/>
            </w:pPr>
            <w:r w:rsidRPr="00E60869">
              <w:t xml:space="preserve">In the 2015-16 financial year, targets were exceeded awarding 1,509 contracts, valued in total at $284.2 million to 493 Indigenous businesses. This compares to Commonwealth contracts valued </w:t>
            </w:r>
            <w:r>
              <w:t xml:space="preserve">at </w:t>
            </w:r>
            <w:r w:rsidRPr="00E60869">
              <w:t>around $6.2 million awarded to Indigenous businesses in 2012-13. This is almost 46 times the value of Commonwealth procurements with Indigenous businesses in previous years.</w:t>
            </w:r>
          </w:p>
          <w:p w:rsidR="008A4A9C" w:rsidRPr="00E60869" w:rsidRDefault="008A4A9C" w:rsidP="008A4A9C">
            <w:pPr>
              <w:spacing w:after="200"/>
            </w:pPr>
            <w:r w:rsidRPr="00E60869">
              <w:t xml:space="preserve">Source: </w:t>
            </w:r>
            <w:hyperlink r:id="rId33" w:history="1">
              <w:r w:rsidRPr="00E60869">
                <w:rPr>
                  <w:color w:val="0000FF"/>
                  <w:u w:val="single"/>
                </w:rPr>
                <w:t>https://www.dpmc.gov.au/indigenous-affairs/economic-development/indigenous-procurement-policy-ipp</w:t>
              </w:r>
            </w:hyperlink>
            <w:r w:rsidRPr="00E60869">
              <w:t xml:space="preserve"> accessed 3 March 2017</w:t>
            </w:r>
          </w:p>
          <w:p w:rsidR="008A4A9C" w:rsidRPr="00E60869" w:rsidRDefault="008A4A9C" w:rsidP="008A4A9C">
            <w:pPr>
              <w:spacing w:after="200"/>
            </w:pPr>
            <w:r w:rsidRPr="00222C59">
              <w:rPr>
                <w:b/>
              </w:rPr>
              <w:t>Northern Territory Remote Contracting Policy</w:t>
            </w:r>
            <w:r w:rsidRPr="00E60869">
              <w:t xml:space="preserve"> has three main parts:</w:t>
            </w:r>
          </w:p>
          <w:p w:rsidR="008A4A9C" w:rsidRPr="00E60869" w:rsidRDefault="008A4A9C" w:rsidP="008A4A9C">
            <w:pPr>
              <w:pStyle w:val="ListParagraph"/>
              <w:numPr>
                <w:ilvl w:val="0"/>
                <w:numId w:val="26"/>
              </w:numPr>
            </w:pPr>
            <w:r>
              <w:t>s</w:t>
            </w:r>
            <w:r w:rsidRPr="00E60869">
              <w:t>etting employment and business targets</w:t>
            </w:r>
          </w:p>
          <w:p w:rsidR="008A4A9C" w:rsidRPr="00E60869" w:rsidRDefault="008A4A9C" w:rsidP="008A4A9C">
            <w:pPr>
              <w:pStyle w:val="ListParagraph"/>
              <w:numPr>
                <w:ilvl w:val="0"/>
                <w:numId w:val="26"/>
              </w:numPr>
            </w:pPr>
            <w:r>
              <w:t>n</w:t>
            </w:r>
            <w:r w:rsidRPr="00E60869">
              <w:t>ew contract planning requirements</w:t>
            </w:r>
            <w:r>
              <w:t>, and</w:t>
            </w:r>
          </w:p>
          <w:p w:rsidR="008A4A9C" w:rsidRDefault="008A4A9C" w:rsidP="008A4A9C">
            <w:pPr>
              <w:pStyle w:val="ListParagraph"/>
              <w:numPr>
                <w:ilvl w:val="0"/>
                <w:numId w:val="26"/>
              </w:numPr>
            </w:pPr>
            <w:r>
              <w:t>p</w:t>
            </w:r>
            <w:r w:rsidRPr="00E60869">
              <w:t>roviding profession services support to local Aboriginal businesses</w:t>
            </w:r>
            <w:r>
              <w:t>.</w:t>
            </w:r>
          </w:p>
          <w:p w:rsidR="008A4A9C" w:rsidRPr="00E60869" w:rsidRDefault="008A4A9C" w:rsidP="008A4A9C">
            <w:pPr>
              <w:pStyle w:val="ListParagraph"/>
            </w:pPr>
          </w:p>
          <w:p w:rsidR="00E60869" w:rsidRPr="00E60869" w:rsidRDefault="00E60869" w:rsidP="00222C59">
            <w:pPr>
              <w:spacing w:after="200"/>
            </w:pPr>
            <w:r w:rsidRPr="00E60869">
              <w:t>If successful, this year the Northern Territory will award 70 per cent of remote contracts to loc</w:t>
            </w:r>
            <w:r w:rsidR="00EB680F">
              <w:t>al tenders; it will also award five</w:t>
            </w:r>
            <w:r w:rsidRPr="00E60869">
              <w:t xml:space="preserve"> contracts to contract</w:t>
            </w:r>
            <w:r w:rsidR="00EB680F">
              <w:t>or</w:t>
            </w:r>
            <w:r w:rsidRPr="00E60869">
              <w:t>s which demonstrate a joint venture with local Aboriginal business for contracts over $5 million.</w:t>
            </w:r>
          </w:p>
          <w:p w:rsidR="00E60869" w:rsidRPr="00E60869" w:rsidRDefault="00E60869" w:rsidP="00222C59">
            <w:pPr>
              <w:spacing w:after="200"/>
            </w:pPr>
            <w:r w:rsidRPr="00E60869">
              <w:t xml:space="preserve">Source: </w:t>
            </w:r>
            <w:hyperlink r:id="rId34" w:history="1">
              <w:r w:rsidRPr="00E60869">
                <w:rPr>
                  <w:color w:val="0000FF"/>
                  <w:u w:val="single"/>
                </w:rPr>
                <w:t>https://dcm.nt.gov.au/supporting-government/office-of-aboriginal-affairs/remote-contracting-policy</w:t>
              </w:r>
            </w:hyperlink>
            <w:r w:rsidRPr="00E60869">
              <w:t xml:space="preserve"> accessed 3 March 2017</w:t>
            </w:r>
          </w:p>
        </w:tc>
      </w:tr>
    </w:tbl>
    <w:p w:rsidR="00222C59" w:rsidRPr="00222C59" w:rsidRDefault="00222C59" w:rsidP="00222C59">
      <w:pPr>
        <w:rPr>
          <w:sz w:val="2"/>
          <w:szCs w:val="2"/>
        </w:rPr>
      </w:pPr>
    </w:p>
    <w:p w:rsidR="008A4A9C" w:rsidRPr="00E60869" w:rsidRDefault="008A4A9C" w:rsidP="008A4A9C">
      <w:pPr>
        <w:rPr>
          <w:b/>
        </w:rPr>
      </w:pPr>
      <w:r w:rsidRPr="00E60869">
        <w:lastRenderedPageBreak/>
        <w:t>In addition, supply side interventions will be required if these policies are to be successful.</w:t>
      </w:r>
      <w:r w:rsidRPr="00E60869">
        <w:rPr>
          <w:b/>
        </w:rPr>
        <w:t xml:space="preserve"> </w:t>
      </w:r>
      <w:r w:rsidRPr="00E60869">
        <w:t>With better planning and a greater focus on regional planning across sectors</w:t>
      </w:r>
      <w:r>
        <w:t>,</w:t>
      </w:r>
      <w:r w:rsidRPr="00E60869">
        <w:t xml:space="preserve"> governments could also support capability and governance training to lift capacity of local Indigenous suppliers.</w:t>
      </w:r>
      <w:r w:rsidRPr="00E60869">
        <w:rPr>
          <w:b/>
        </w:rPr>
        <w:t xml:space="preserve"> </w:t>
      </w:r>
    </w:p>
    <w:p w:rsidR="00E60869" w:rsidRPr="00E60869" w:rsidRDefault="008A4A9C" w:rsidP="008A4A9C">
      <w:r w:rsidRPr="00E60869">
        <w:t xml:space="preserve">An important component to the Northern Territory procurement policy is the focus on business support. This provides a further opportunity </w:t>
      </w:r>
      <w:r>
        <w:t>for</w:t>
      </w:r>
      <w:r w:rsidRPr="00E60869">
        <w:t xml:space="preserve"> TAFEs and</w:t>
      </w:r>
      <w:r>
        <w:t xml:space="preserve"> Community Development Programme (CDP)</w:t>
      </w:r>
      <w:r w:rsidRPr="00E60869">
        <w:t xml:space="preserve"> providers to develop programs to best support emerging businesses. For remote housing, the best opportunities for business are the ongoing works like repairs and maintenance</w:t>
      </w:r>
      <w:r w:rsidR="00E60869" w:rsidRPr="00E60869">
        <w:t xml:space="preserve">. </w:t>
      </w:r>
    </w:p>
    <w:p w:rsidR="00E60869" w:rsidRPr="00E60869" w:rsidRDefault="00E60869" w:rsidP="00211750">
      <w:pPr>
        <w:pStyle w:val="H3"/>
      </w:pPr>
      <w:bookmarkStart w:id="432" w:name="_Toc477178139"/>
      <w:bookmarkStart w:id="433" w:name="_Toc477248776"/>
      <w:bookmarkStart w:id="434" w:name="_Toc477252762"/>
      <w:bookmarkStart w:id="435" w:name="_Toc490218729"/>
      <w:r w:rsidRPr="00E60869">
        <w:t>Key Findings</w:t>
      </w:r>
      <w:bookmarkEnd w:id="432"/>
      <w:bookmarkEnd w:id="433"/>
      <w:bookmarkEnd w:id="434"/>
      <w:bookmarkEnd w:id="435"/>
    </w:p>
    <w:p w:rsidR="008A4A9C" w:rsidRPr="00096B2B" w:rsidRDefault="008A4A9C" w:rsidP="008A4A9C">
      <w:pPr>
        <w:rPr>
          <w:b/>
        </w:rPr>
      </w:pPr>
      <w:r w:rsidRPr="00096B2B">
        <w:rPr>
          <w:b/>
        </w:rPr>
        <w:t>The Strategy has provided Indigenous employment opportunities but more can be done to engage and train, especially local workforces.</w:t>
      </w:r>
    </w:p>
    <w:p w:rsidR="008A4A9C" w:rsidRPr="00096B2B" w:rsidRDefault="008A4A9C" w:rsidP="008A4A9C">
      <w:pPr>
        <w:rPr>
          <w:b/>
        </w:rPr>
      </w:pPr>
      <w:r w:rsidRPr="00096B2B">
        <w:rPr>
          <w:b/>
        </w:rPr>
        <w:t>The most significant opportunity for ongoing local employment is repairs and maintenance. Local employment in repairs and maintenance can help reduce the cost of delivering housing.</w:t>
      </w:r>
    </w:p>
    <w:p w:rsidR="008A4A9C" w:rsidRPr="00096B2B" w:rsidRDefault="008A4A9C" w:rsidP="008A4A9C">
      <w:pPr>
        <w:rPr>
          <w:b/>
        </w:rPr>
      </w:pPr>
      <w:r w:rsidRPr="00096B2B">
        <w:rPr>
          <w:b/>
        </w:rPr>
        <w:t xml:space="preserve">There have been some good examples of Indigenous business engagement under the Strategy. </w:t>
      </w:r>
    </w:p>
    <w:p w:rsidR="008A4A9C" w:rsidRPr="00096B2B" w:rsidRDefault="008A4A9C" w:rsidP="008A4A9C">
      <w:pPr>
        <w:rPr>
          <w:b/>
        </w:rPr>
      </w:pPr>
      <w:r w:rsidRPr="00096B2B">
        <w:rPr>
          <w:b/>
        </w:rPr>
        <w:t xml:space="preserve">Indigenous </w:t>
      </w:r>
      <w:r>
        <w:rPr>
          <w:b/>
        </w:rPr>
        <w:t>p</w:t>
      </w:r>
      <w:r w:rsidRPr="00096B2B">
        <w:rPr>
          <w:b/>
        </w:rPr>
        <w:t xml:space="preserve">rocurement </w:t>
      </w:r>
      <w:r>
        <w:rPr>
          <w:b/>
        </w:rPr>
        <w:t>p</w:t>
      </w:r>
      <w:r w:rsidRPr="00096B2B">
        <w:rPr>
          <w:b/>
        </w:rPr>
        <w:t>olicies and capability building will assist to increase business engagement.</w:t>
      </w:r>
    </w:p>
    <w:p w:rsidR="00E60869" w:rsidRPr="00096B2B" w:rsidRDefault="008A4A9C" w:rsidP="008A4A9C">
      <w:pPr>
        <w:rPr>
          <w:b/>
        </w:rPr>
      </w:pPr>
      <w:r w:rsidRPr="00096B2B">
        <w:rPr>
          <w:b/>
        </w:rPr>
        <w:t>Longer term funding cycles, not as dependent on Commonwealth funding, can assist local businesses in their own development and offer long-term training and employment opportunities</w:t>
      </w:r>
      <w:r w:rsidR="00E60869" w:rsidRPr="00096B2B">
        <w:rPr>
          <w:b/>
        </w:rPr>
        <w:t xml:space="preserve">. </w:t>
      </w:r>
    </w:p>
    <w:p w:rsidR="0061255B" w:rsidRDefault="0061255B">
      <w:pPr>
        <w:rPr>
          <w:rFonts w:eastAsia="Times New Roman" w:cs="Times New Roman"/>
          <w:sz w:val="21"/>
          <w:szCs w:val="19"/>
          <w:lang w:eastAsia="en-AU"/>
        </w:rPr>
      </w:pPr>
      <w:r>
        <w:rPr>
          <w:rFonts w:eastAsia="Times New Roman" w:cs="Times New Roman"/>
          <w:sz w:val="21"/>
          <w:szCs w:val="19"/>
          <w:lang w:eastAsia="en-AU"/>
        </w:rPr>
        <w:br w:type="page"/>
      </w:r>
    </w:p>
    <w:p w:rsidR="0061255B" w:rsidRPr="0061255B" w:rsidRDefault="0061255B" w:rsidP="00211750">
      <w:pPr>
        <w:pStyle w:val="H2"/>
      </w:pPr>
      <w:bookmarkStart w:id="436" w:name="_Toc476644191"/>
      <w:bookmarkStart w:id="437" w:name="_Toc476650884"/>
      <w:bookmarkStart w:id="438" w:name="_Toc476658544"/>
      <w:bookmarkStart w:id="439" w:name="_Toc476659247"/>
      <w:bookmarkStart w:id="440" w:name="_Toc476661053"/>
      <w:bookmarkStart w:id="441" w:name="_Toc476663449"/>
      <w:bookmarkStart w:id="442" w:name="_Toc476669891"/>
      <w:bookmarkStart w:id="443" w:name="_Toc476665906"/>
      <w:bookmarkStart w:id="444" w:name="_Toc476671381"/>
      <w:bookmarkStart w:id="445" w:name="_Toc476676539"/>
      <w:bookmarkStart w:id="446" w:name="_Toc476677821"/>
      <w:bookmarkStart w:id="447" w:name="_Toc476678255"/>
      <w:bookmarkStart w:id="448" w:name="_Toc477178140"/>
      <w:bookmarkStart w:id="449" w:name="_Toc477248777"/>
      <w:bookmarkStart w:id="450" w:name="_Toc477252763"/>
      <w:bookmarkStart w:id="451" w:name="_Toc490218730"/>
      <w:bookmarkStart w:id="452" w:name="_Toc476645414"/>
      <w:r w:rsidRPr="0061255B">
        <w:lastRenderedPageBreak/>
        <w:t>Governance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61255B" w:rsidRPr="0061255B" w:rsidRDefault="0061255B" w:rsidP="00211750">
      <w:pPr>
        <w:pStyle w:val="H3"/>
      </w:pPr>
      <w:bookmarkStart w:id="453" w:name="_Toc477178141"/>
      <w:bookmarkStart w:id="454" w:name="_Toc477248778"/>
      <w:bookmarkStart w:id="455" w:name="_Toc477252764"/>
      <w:bookmarkStart w:id="456" w:name="_Toc490218731"/>
      <w:r w:rsidRPr="0061255B">
        <w:t xml:space="preserve">The framework governing </w:t>
      </w:r>
      <w:r w:rsidR="005D7085">
        <w:t>the Strategy</w:t>
      </w:r>
      <w:r w:rsidRPr="0061255B">
        <w:t xml:space="preserve"> set up tension about transparency and accountability</w:t>
      </w:r>
      <w:bookmarkEnd w:id="453"/>
      <w:bookmarkEnd w:id="454"/>
      <w:bookmarkEnd w:id="455"/>
      <w:bookmarkEnd w:id="456"/>
    </w:p>
    <w:bookmarkEnd w:id="452"/>
    <w:p w:rsidR="00061187" w:rsidRPr="0061255B" w:rsidRDefault="00061187" w:rsidP="00061187">
      <w:r w:rsidRPr="0061255B">
        <w:t>The Strategy was negotiated following the agreement by COAG</w:t>
      </w:r>
      <w:r>
        <w:t xml:space="preserve"> </w:t>
      </w:r>
      <w:r w:rsidRPr="0061255B">
        <w:t xml:space="preserve">in 2008 to introduce the Intergovernmental Agreement on Federal Financial Relations (IGA FFR). The new framework guided the negotiation of the </w:t>
      </w:r>
      <w:r>
        <w:t>Strategy</w:t>
      </w:r>
      <w:r w:rsidRPr="0061255B">
        <w:t xml:space="preserve"> as well as other relevant agreements. </w:t>
      </w:r>
    </w:p>
    <w:p w:rsidR="00061187" w:rsidRPr="0061255B" w:rsidRDefault="00061187" w:rsidP="00061187">
      <w:r w:rsidRPr="0061255B">
        <w:t xml:space="preserve">The IGA FFR framework </w:t>
      </w:r>
      <w:r>
        <w:t xml:space="preserve">is </w:t>
      </w:r>
      <w:r w:rsidRPr="0061255B">
        <w:t>the single most significant change in federal fi</w:t>
      </w:r>
      <w:r>
        <w:t xml:space="preserve">nancial relations for decades. </w:t>
      </w:r>
      <w:r w:rsidRPr="0061255B">
        <w:t xml:space="preserve">The overarching driver for applying the new IGA FFR was to improve government services delivered by the </w:t>
      </w:r>
      <w:r w:rsidR="0004739C">
        <w:t>jurisdiction</w:t>
      </w:r>
      <w:r w:rsidRPr="0061255B">
        <w:t xml:space="preserve">s using Commonwealth funding, by increasing the focus on the desired outcomes, decreasing Commonwealth prescription of the delivery approach taken by the </w:t>
      </w:r>
      <w:r w:rsidR="0004739C">
        <w:t>jurisdiction</w:t>
      </w:r>
      <w:r w:rsidRPr="0061255B">
        <w:t xml:space="preserve">s, and more clearly specifying respective roles and responsibilities.  </w:t>
      </w:r>
    </w:p>
    <w:p w:rsidR="0061255B" w:rsidRPr="0061255B" w:rsidRDefault="00061187" w:rsidP="00061187">
      <w:r w:rsidRPr="0061255B">
        <w:t>But the negotiation of new agreements under the IGA FFR required all governments to understand the implications of the framework and to adjust to a new operating environment</w:t>
      </w:r>
      <w:r w:rsidR="0061255B" w:rsidRPr="0061255B">
        <w:t xml:space="preserve">. </w:t>
      </w:r>
    </w:p>
    <w:p w:rsidR="0061255B" w:rsidRPr="0061255B" w:rsidRDefault="0061255B" w:rsidP="0061255B">
      <w:pPr>
        <w:keepLines/>
        <w:ind w:left="720"/>
        <w:rPr>
          <w:i/>
        </w:rPr>
      </w:pPr>
      <w:r w:rsidRPr="0061255B">
        <w:rPr>
          <w:i/>
        </w:rPr>
        <w:t>‘While ultimately many of the ideas and intent behind the IGA FFR were on the right track—to create a national framework for the way governments work together, how funding is transferred, and high levels of transparency and accountability for how all governments perform against that framework—…the theory did not translate into practice.’</w:t>
      </w:r>
      <w:r w:rsidRPr="0061255B">
        <w:rPr>
          <w:rFonts w:cs="Times New Roman"/>
          <w:i/>
          <w:color w:val="404040" w:themeColor="text1" w:themeTint="BF"/>
          <w:sz w:val="20"/>
          <w:szCs w:val="20"/>
          <w:vertAlign w:val="superscript"/>
        </w:rPr>
        <w:t xml:space="preserve"> </w:t>
      </w:r>
      <w:r w:rsidRPr="0061255B">
        <w:rPr>
          <w:rFonts w:cs="Times New Roman"/>
          <w:i/>
          <w:color w:val="404040" w:themeColor="text1" w:themeTint="BF"/>
          <w:sz w:val="20"/>
          <w:szCs w:val="20"/>
          <w:vertAlign w:val="superscript"/>
        </w:rPr>
        <w:footnoteReference w:id="42"/>
      </w:r>
    </w:p>
    <w:p w:rsidR="00061187" w:rsidRPr="0061255B" w:rsidRDefault="00061187" w:rsidP="00061187">
      <w:r w:rsidRPr="0061255B">
        <w:t>The development of the Strategy is illustrative of these issues. The expectation the Commonwealth would be more ‘hands-off’ did not gel well with a program</w:t>
      </w:r>
      <w:r>
        <w:t>,</w:t>
      </w:r>
      <w:r w:rsidRPr="0061255B">
        <w:t xml:space="preserve"> which is by nature complex and detailed, managing large scale capital works. These tensions escalated with intense scrutiny of the performance of governments in addressing the housing problems in remote communities. </w:t>
      </w:r>
    </w:p>
    <w:p w:rsidR="00061187" w:rsidRPr="0061255B" w:rsidRDefault="00061187" w:rsidP="00061187">
      <w:r w:rsidRPr="0061255B">
        <w:t xml:space="preserve">The need to renegotiate the Strategy at numerous points in many respects reflected </w:t>
      </w:r>
      <w:r>
        <w:t xml:space="preserve">that the nature of </w:t>
      </w:r>
      <w:r w:rsidRPr="0061255B">
        <w:t>the original agreement</w:t>
      </w:r>
      <w:r>
        <w:t xml:space="preserve"> did</w:t>
      </w:r>
      <w:r w:rsidRPr="0061255B">
        <w:t xml:space="preserve"> not establish clear oversight and shared goals under the program</w:t>
      </w:r>
      <w:r>
        <w:t>, nor the Commonwealth’s desire for greater visibility and control over outcomes</w:t>
      </w:r>
      <w:r w:rsidRPr="0061255B">
        <w:t>.</w:t>
      </w:r>
    </w:p>
    <w:p w:rsidR="0061255B" w:rsidRPr="0061255B" w:rsidRDefault="00061187" w:rsidP="00061187">
      <w:r w:rsidRPr="0061255B">
        <w:t xml:space="preserve">It also created an opportunity for successive </w:t>
      </w:r>
      <w:r>
        <w:t>governments</w:t>
      </w:r>
      <w:r w:rsidRPr="0061255B">
        <w:t xml:space="preserve"> to use this to redefi</w:t>
      </w:r>
      <w:r>
        <w:t>ne the problem and objectives. While</w:t>
      </w:r>
      <w:r w:rsidRPr="0061255B">
        <w:t xml:space="preserve"> the agreement improved through these renegotiations, the fundamental weaknesses in the governance and operating arrangements between governments resulted in a number of issues</w:t>
      </w:r>
      <w:r w:rsidR="0061255B" w:rsidRPr="0061255B">
        <w:t xml:space="preserve">. </w:t>
      </w:r>
    </w:p>
    <w:p w:rsidR="0061255B" w:rsidRPr="0061255B" w:rsidRDefault="00061187" w:rsidP="00211750">
      <w:pPr>
        <w:pStyle w:val="H4"/>
        <w:rPr>
          <w:sz w:val="26"/>
          <w:szCs w:val="26"/>
        </w:rPr>
      </w:pPr>
      <w:bookmarkStart w:id="457" w:name="_Toc477178142"/>
      <w:bookmarkStart w:id="458" w:name="_Toc477248779"/>
      <w:bookmarkStart w:id="459" w:name="_Toc477252765"/>
      <w:r>
        <w:lastRenderedPageBreak/>
        <w:t>High level</w:t>
      </w:r>
      <w:r w:rsidR="0061255B" w:rsidRPr="0061255B">
        <w:t xml:space="preserve"> controls for the Commonwealth and immense public scrutiny led to political intervention</w:t>
      </w:r>
      <w:r w:rsidR="001C2627">
        <w:t>,</w:t>
      </w:r>
      <w:r w:rsidR="0061255B" w:rsidRPr="0061255B">
        <w:t xml:space="preserve"> administrative ‘work-arounds’ and perverse outcomes</w:t>
      </w:r>
      <w:bookmarkEnd w:id="457"/>
      <w:bookmarkEnd w:id="458"/>
      <w:bookmarkEnd w:id="459"/>
    </w:p>
    <w:p w:rsidR="0061255B" w:rsidRPr="0061255B" w:rsidRDefault="00061187" w:rsidP="00222C59">
      <w:r w:rsidRPr="0061255B">
        <w:t>The Commonwealth</w:t>
      </w:r>
      <w:r>
        <w:t>’s</w:t>
      </w:r>
      <w:r w:rsidRPr="0061255B">
        <w:t xml:space="preserve"> introduction of the Competitive Bids Process in 2009 as des</w:t>
      </w:r>
      <w:r>
        <w:t xml:space="preserve">cribed earlier (see chapter 4) </w:t>
      </w:r>
      <w:r w:rsidRPr="0061255B">
        <w:t xml:space="preserve">gave the Commonwealth greater transparency over value for money for the delivery of capital works but distorted </w:t>
      </w:r>
      <w:r w:rsidR="0004739C">
        <w:t>jurisdiction</w:t>
      </w:r>
      <w:r w:rsidRPr="0061255B">
        <w:t xml:space="preserve"> decision making, </w:t>
      </w:r>
      <w:r>
        <w:t xml:space="preserve">particularly at the </w:t>
      </w:r>
      <w:r w:rsidRPr="0061255B">
        <w:t xml:space="preserve">local </w:t>
      </w:r>
      <w:r>
        <w:t xml:space="preserve">level, </w:t>
      </w:r>
      <w:r w:rsidRPr="0061255B">
        <w:t xml:space="preserve">and </w:t>
      </w:r>
      <w:r>
        <w:t>undermining</w:t>
      </w:r>
      <w:r w:rsidRPr="0061255B">
        <w:t xml:space="preserve"> long</w:t>
      </w:r>
      <w:r>
        <w:t>-</w:t>
      </w:r>
      <w:r w:rsidRPr="0061255B">
        <w:t>term planning and capability building</w:t>
      </w:r>
      <w:r w:rsidR="0061255B" w:rsidRPr="0061255B">
        <w:t xml:space="preserve">. </w:t>
      </w:r>
    </w:p>
    <w:p w:rsidR="0061255B" w:rsidRPr="0061255B" w:rsidRDefault="0061255B" w:rsidP="00211750">
      <w:pPr>
        <w:pStyle w:val="H4"/>
      </w:pPr>
      <w:bookmarkStart w:id="460" w:name="_Toc477178143"/>
      <w:bookmarkStart w:id="461" w:name="_Toc477248780"/>
      <w:bookmarkStart w:id="462" w:name="_Toc477252766"/>
      <w:r w:rsidRPr="0061255B">
        <w:t>Financial risks were not share</w:t>
      </w:r>
      <w:r w:rsidR="00FF370F">
        <w:t>d</w:t>
      </w:r>
      <w:bookmarkEnd w:id="460"/>
      <w:bookmarkEnd w:id="461"/>
      <w:bookmarkEnd w:id="462"/>
    </w:p>
    <w:p w:rsidR="0061255B" w:rsidRPr="0061255B" w:rsidRDefault="000A01F3" w:rsidP="00222C59">
      <w:r w:rsidRPr="0061255B">
        <w:t xml:space="preserve">No funding commitments were required of the </w:t>
      </w:r>
      <w:r w:rsidR="0004739C">
        <w:t>jurisdiction</w:t>
      </w:r>
      <w:r w:rsidRPr="0061255B">
        <w:t xml:space="preserve">s under the Strategy. While </w:t>
      </w:r>
      <w:r w:rsidR="0004739C">
        <w:t>jurisdiction</w:t>
      </w:r>
      <w:r w:rsidRPr="0061255B">
        <w:t xml:space="preserve">s report that funding was provided for housing infrastructure and services, it was not through the structure of a joint program. A genuine financial partnership between the Commonwealth and </w:t>
      </w:r>
      <w:r w:rsidR="0004739C">
        <w:t>jurisdiction</w:t>
      </w:r>
      <w:r w:rsidRPr="0061255B">
        <w:t xml:space="preserve">s would have sharpened </w:t>
      </w:r>
      <w:r w:rsidR="0004739C">
        <w:t>jurisdiction</w:t>
      </w:r>
      <w:r w:rsidRPr="0061255B">
        <w:t xml:space="preserve">s’ attention on delivering outcomes, provided incentives to put in place quality </w:t>
      </w:r>
      <w:r>
        <w:t>PTM</w:t>
      </w:r>
      <w:r w:rsidRPr="0061255B">
        <w:t xml:space="preserve"> systems, encouraged efficiency of administration and reinforced shared policy responsibilities</w:t>
      </w:r>
      <w:r w:rsidR="0061255B" w:rsidRPr="0061255B">
        <w:t xml:space="preserve">. </w:t>
      </w:r>
    </w:p>
    <w:p w:rsidR="0061255B" w:rsidRPr="0061255B" w:rsidRDefault="0061255B" w:rsidP="00211750">
      <w:pPr>
        <w:pStyle w:val="H4"/>
      </w:pPr>
      <w:bookmarkStart w:id="463" w:name="_Toc477178144"/>
      <w:bookmarkStart w:id="464" w:name="_Toc477248781"/>
      <w:bookmarkStart w:id="465" w:name="_Toc477252767"/>
      <w:r w:rsidRPr="0061255B">
        <w:t>Fundamentally, the reporting framework did not provide the transparency necessary to monitor a housing program</w:t>
      </w:r>
      <w:bookmarkEnd w:id="463"/>
      <w:bookmarkEnd w:id="464"/>
      <w:bookmarkEnd w:id="465"/>
    </w:p>
    <w:p w:rsidR="0061255B" w:rsidRDefault="000A01F3" w:rsidP="00042574">
      <w:r w:rsidRPr="0061255B">
        <w:t xml:space="preserve">Transparency </w:t>
      </w:r>
      <w:r>
        <w:t xml:space="preserve">between the Commonwealth and </w:t>
      </w:r>
      <w:r w:rsidR="0004739C">
        <w:t>jurisdiction</w:t>
      </w:r>
      <w:r>
        <w:t xml:space="preserve">s </w:t>
      </w:r>
      <w:r w:rsidRPr="0061255B">
        <w:t>was not as good as it should have been</w:t>
      </w:r>
      <w:r>
        <w:t xml:space="preserve">. While there was detailed reporting on milestones set for the program, </w:t>
      </w:r>
      <w:r w:rsidRPr="0061255B">
        <w:t xml:space="preserve">there were no overarching performance measurement tools to ensure the right information was collected to </w:t>
      </w:r>
      <w:r>
        <w:t>scrutinise broader</w:t>
      </w:r>
      <w:r w:rsidRPr="0061255B">
        <w:t xml:space="preserve"> program performance. </w:t>
      </w:r>
      <w:r>
        <w:t>T</w:t>
      </w:r>
      <w:r w:rsidRPr="0061255B">
        <w:t>his reflects the limited reporting requirements in the Strategy, consistent with the broader goals of the IGA FFR reforms to reduce reporting burden and red-tape. Reporting</w:t>
      </w:r>
      <w:r>
        <w:t xml:space="preserve"> from </w:t>
      </w:r>
      <w:r w:rsidR="0004739C">
        <w:t>jurisdiction</w:t>
      </w:r>
      <w:r>
        <w:t xml:space="preserve">s supported milestone payments and informed outcomes, consistent with the IAG FFR, however, the definitions that underpinned reporting differed across jurisdictions. Further, the Agreement did not require independent acquittal of all funding provided from the Commonwealth to the </w:t>
      </w:r>
      <w:r w:rsidR="0004739C">
        <w:t>jurisdiction</w:t>
      </w:r>
      <w:r>
        <w:t>s</w:t>
      </w:r>
      <w:r w:rsidR="0061255B" w:rsidRPr="0061255B">
        <w:t xml:space="preserve">. </w:t>
      </w:r>
    </w:p>
    <w:p w:rsidR="000A01F3" w:rsidRDefault="000A01F3" w:rsidP="000A01F3">
      <w:r>
        <w:t xml:space="preserve">The Panel asked the Department of the Prime Minister and Cabinet to provide its analysis of how the funding provided to </w:t>
      </w:r>
      <w:r w:rsidR="0004739C">
        <w:t>jurisdiction</w:t>
      </w:r>
      <w:r>
        <w:t xml:space="preserve">s had been spent. The Department was able to provide aggregate information on expenditure, milestones and outcomes, but did not have the necessary information from </w:t>
      </w:r>
      <w:r w:rsidR="0004739C">
        <w:t>jurisdiction</w:t>
      </w:r>
      <w:r>
        <w:t>s to acquit detailed expenses</w:t>
      </w:r>
      <w:r w:rsidR="00A03A1F">
        <w:t xml:space="preserve">. </w:t>
      </w:r>
    </w:p>
    <w:p w:rsidR="000A01F3" w:rsidRDefault="000A01F3" w:rsidP="000A01F3">
      <w:r>
        <w:t xml:space="preserve">Under the IGA FFR framework and the Strategy agreement, </w:t>
      </w:r>
      <w:r w:rsidR="0004739C">
        <w:t>jurisdiction</w:t>
      </w:r>
      <w:r>
        <w:t xml:space="preserve">s are not required to report this level of detail. Indeed, when the Panel asked the </w:t>
      </w:r>
      <w:r w:rsidR="0004739C">
        <w:t>jurisdiction</w:t>
      </w:r>
      <w:r>
        <w:t xml:space="preserve">s about the expenditure of the identified funds, officials were happy to provide detailed acquittal of all funds to the Panel. </w:t>
      </w:r>
    </w:p>
    <w:p w:rsidR="000A01F3" w:rsidRDefault="000A01F3" w:rsidP="000A01F3">
      <w:r>
        <w:t xml:space="preserve">Information received from the </w:t>
      </w:r>
      <w:r w:rsidR="0004739C">
        <w:t>jurisdiction</w:t>
      </w:r>
      <w:r>
        <w:t>s by the Panel suggests all funding was spent on housing activities</w:t>
      </w:r>
      <w:r w:rsidR="00C82F51">
        <w:t>;</w:t>
      </w:r>
      <w:r>
        <w:t xml:space="preserve"> however, these activities were broader than the unit price reporting conducted by the Department of the Prime Minister and Cabinet and included essential activities such as on site </w:t>
      </w:r>
      <w:r>
        <w:lastRenderedPageBreak/>
        <w:t>preparation, workers camps, head works, other infrastructure and a small amount on project management.</w:t>
      </w:r>
    </w:p>
    <w:p w:rsidR="000A01F3" w:rsidRDefault="000A01F3" w:rsidP="000A01F3">
      <w:r>
        <w:t xml:space="preserve">The Panel was concerned the differences between the Commonwealth and </w:t>
      </w:r>
      <w:r w:rsidR="0004739C">
        <w:t>jurisdiction</w:t>
      </w:r>
      <w:r>
        <w:t>s in approaches to understanding reporting and expenditure frustrated, rather than enabled, the kind of attention to practical issues that should have been the core of such a complicated and ambitious building program. Commonwealth-</w:t>
      </w:r>
      <w:r w:rsidR="0004739C">
        <w:t>jurisdiction</w:t>
      </w:r>
      <w:r>
        <w:t xml:space="preserve"> arrangements need to be fashioned for future remote Indigenous housing (and other analogous) programs that facilitate collaboration, shared planning and problem solving.</w:t>
      </w:r>
    </w:p>
    <w:p w:rsidR="0061255B" w:rsidRPr="0061255B" w:rsidRDefault="0061255B" w:rsidP="00211750">
      <w:pPr>
        <w:pStyle w:val="H4"/>
      </w:pPr>
      <w:bookmarkStart w:id="466" w:name="_Toc477178145"/>
      <w:bookmarkStart w:id="467" w:name="_Toc477248782"/>
      <w:bookmarkStart w:id="468" w:name="_Toc477252768"/>
      <w:r w:rsidRPr="0061255B">
        <w:t>here was little incentive for collaboration across governments</w:t>
      </w:r>
      <w:bookmarkEnd w:id="466"/>
      <w:bookmarkEnd w:id="467"/>
      <w:bookmarkEnd w:id="468"/>
    </w:p>
    <w:p w:rsidR="00A03A1F" w:rsidRDefault="00A03A1F" w:rsidP="00042574">
      <w:r>
        <w:t xml:space="preserve">The Panel was </w:t>
      </w:r>
      <w:r w:rsidR="003249D8">
        <w:t>surprised</w:t>
      </w:r>
      <w:r>
        <w:t xml:space="preserve"> to see so little evidence of fora where officials, professionals and local leaders worked together, to share best practice.</w:t>
      </w:r>
    </w:p>
    <w:p w:rsidR="0061255B" w:rsidRPr="0061255B" w:rsidRDefault="000A01F3" w:rsidP="00042574">
      <w:r w:rsidRPr="0061255B">
        <w:t xml:space="preserve">While agreements under the IGA FFR are intended to be multilateral, the Strategy was in effect a series of bilateral relationships. Multilateral </w:t>
      </w:r>
      <w:r>
        <w:t>fora</w:t>
      </w:r>
      <w:r w:rsidRPr="0061255B">
        <w:t xml:space="preserve"> on PTM, ERA, home ownership and employment existed early in the program. These gave </w:t>
      </w:r>
      <w:r w:rsidR="0004739C">
        <w:t>jurisdiction</w:t>
      </w:r>
      <w:r w:rsidRPr="0061255B">
        <w:t xml:space="preserve">s an opportunity to discuss experiences and better practices, and the Commonwealth to provide leadership and policy direction. But these </w:t>
      </w:r>
      <w:r>
        <w:t>fora</w:t>
      </w:r>
      <w:r w:rsidRPr="0061255B">
        <w:t xml:space="preserve"> did not last. The bilateral focus has meant there has been little structured collaboration on best practice, technical innovation, and program administration in the last few years</w:t>
      </w:r>
      <w:r w:rsidR="0061255B" w:rsidRPr="0061255B">
        <w:t xml:space="preserve">. </w:t>
      </w:r>
    </w:p>
    <w:p w:rsidR="0061255B" w:rsidRPr="0061255B" w:rsidRDefault="00B33B3F" w:rsidP="00211750">
      <w:pPr>
        <w:pStyle w:val="H4"/>
      </w:pPr>
      <w:bookmarkStart w:id="469" w:name="_Toc477178146"/>
      <w:bookmarkStart w:id="470" w:name="_Toc477248783"/>
      <w:bookmarkStart w:id="471" w:name="_Toc477252769"/>
      <w:r w:rsidRPr="005A149D">
        <w:t>The focus of Commonwealth-</w:t>
      </w:r>
      <w:r w:rsidR="0004739C">
        <w:t>jurisdiction</w:t>
      </w:r>
      <w:r w:rsidR="0061255B" w:rsidRPr="005A149D">
        <w:t xml:space="preserve"> engagement</w:t>
      </w:r>
      <w:r w:rsidR="0061255B" w:rsidRPr="0061255B">
        <w:t xml:space="preserve"> was not at local or regional level but between capital cities</w:t>
      </w:r>
      <w:bookmarkEnd w:id="469"/>
      <w:bookmarkEnd w:id="470"/>
      <w:bookmarkEnd w:id="471"/>
      <w:r w:rsidR="0061255B" w:rsidRPr="0061255B">
        <w:t xml:space="preserve"> </w:t>
      </w:r>
    </w:p>
    <w:p w:rsidR="0061255B" w:rsidRPr="0061255B" w:rsidRDefault="0061255B" w:rsidP="00042574">
      <w:r w:rsidRPr="0061255B">
        <w:t xml:space="preserve">Community consultations highlighted frustrations when local people were engaged late in the process and were often the last to know about capital works. Community engagement can enhance the quality of infrastructure and housing plans, help prioritise specific housing needs, address issues earlier, and support local employment and business outcomes. </w:t>
      </w:r>
    </w:p>
    <w:p w:rsidR="0061255B" w:rsidRPr="0061255B" w:rsidRDefault="0061255B" w:rsidP="00042574">
      <w:r w:rsidRPr="0061255B">
        <w:t>T</w:t>
      </w:r>
      <w:r w:rsidR="003972AB">
        <w:t>he nature of the Commonwealth-</w:t>
      </w:r>
      <w:r w:rsidR="0004739C">
        <w:t>jurisdiction</w:t>
      </w:r>
      <w:r w:rsidRPr="0061255B">
        <w:t xml:space="preserve"> agreement governing the Strategy focussed the relationship at the wrong level, haggling between capital cities, not jointly fixing plans and </w:t>
      </w:r>
      <w:r w:rsidR="00824ED7">
        <w:t xml:space="preserve">not </w:t>
      </w:r>
      <w:r w:rsidRPr="0061255B">
        <w:t>addressing problems in the regions and communities. This was diametrically at odds with the crucial engagement needed with local government, community organisations, regional authorities and businesses.</w:t>
      </w:r>
    </w:p>
    <w:p w:rsidR="0061255B" w:rsidRPr="0061255B" w:rsidRDefault="0061255B" w:rsidP="00211750">
      <w:pPr>
        <w:pStyle w:val="H3"/>
      </w:pPr>
      <w:bookmarkStart w:id="472" w:name="_Toc477178147"/>
      <w:bookmarkStart w:id="473" w:name="_Toc477248784"/>
      <w:bookmarkStart w:id="474" w:name="_Toc477252770"/>
      <w:bookmarkStart w:id="475" w:name="_Toc490218732"/>
      <w:r w:rsidRPr="0061255B">
        <w:t>A focus on shared responsibility can strengthen governance</w:t>
      </w:r>
      <w:bookmarkEnd w:id="472"/>
      <w:bookmarkEnd w:id="473"/>
      <w:bookmarkEnd w:id="474"/>
      <w:bookmarkEnd w:id="475"/>
      <w:r w:rsidRPr="0061255B">
        <w:t xml:space="preserve"> </w:t>
      </w:r>
    </w:p>
    <w:p w:rsidR="0061255B" w:rsidRPr="0061255B" w:rsidRDefault="0061255B" w:rsidP="00042574">
      <w:r w:rsidRPr="0061255B">
        <w:t>The most effective governance will be arrangements where there are strong partnerships, with common goals, shared planning and responsiveness to the local context. The risk of a one-size-fits all approach would be minimised. A long-term, coordinated effort between governments to ensure plans are aligned would avoid duplication in effort and wasted investment.</w:t>
      </w:r>
    </w:p>
    <w:p w:rsidR="0061255B" w:rsidRPr="0061255B" w:rsidRDefault="0061255B" w:rsidP="00211750">
      <w:pPr>
        <w:pStyle w:val="H4"/>
      </w:pPr>
      <w:bookmarkStart w:id="476" w:name="_Toc477178148"/>
      <w:bookmarkStart w:id="477" w:name="_Toc477248785"/>
      <w:bookmarkStart w:id="478" w:name="_Toc477252771"/>
      <w:r w:rsidRPr="0061255B">
        <w:lastRenderedPageBreak/>
        <w:t>Regional governance structures would facilitate collaboration between governments and the local community</w:t>
      </w:r>
      <w:bookmarkEnd w:id="476"/>
      <w:bookmarkEnd w:id="477"/>
      <w:bookmarkEnd w:id="478"/>
    </w:p>
    <w:p w:rsidR="0061255B" w:rsidRPr="0061255B" w:rsidRDefault="005A149D" w:rsidP="00042574">
      <w:r w:rsidRPr="0061255B">
        <w:t xml:space="preserve">The </w:t>
      </w:r>
      <w:r>
        <w:t>Panel</w:t>
      </w:r>
      <w:r w:rsidRPr="0061255B">
        <w:t xml:space="preserve"> has considered the best model to govern the delivery of social housing in remote Indigenous communities. What is needed is a shift from capital city based haggling over data sets and finances to regionally and locally based fora where officials from the national Indigenous administration and </w:t>
      </w:r>
      <w:r w:rsidR="0004739C">
        <w:t>jurisdiction</w:t>
      </w:r>
      <w:r w:rsidRPr="0061255B">
        <w:t xml:space="preserve"> housing administrators jointly engage in much more granular and focussed discussions. Far from being limited to outcomes</w:t>
      </w:r>
      <w:r>
        <w:t>’</w:t>
      </w:r>
      <w:r w:rsidRPr="0061255B">
        <w:t xml:space="preserve"> data, Commonwealth Indigenous Affairs officials need to see and understand how the program is rolling out on the ground</w:t>
      </w:r>
      <w:r w:rsidR="0061255B" w:rsidRPr="0061255B">
        <w:t xml:space="preserve">. </w:t>
      </w:r>
    </w:p>
    <w:p w:rsidR="0061255B" w:rsidRPr="0061255B" w:rsidRDefault="005A149D" w:rsidP="00042574">
      <w:r w:rsidRPr="0061255B">
        <w:t>Development of community level plans would encourage the process of setting out of clearly defined roles and responsibilities for decision-making and delivery at a local level, as well as formal mechanisms for consultation with communities. The Strategy would have worked better if communities had visibility over how the program was being managed and were able t</w:t>
      </w:r>
      <w:r>
        <w:t xml:space="preserve">o hold governments to account. </w:t>
      </w:r>
      <w:r w:rsidRPr="0061255B">
        <w:t>The involvement of local government is also essential as they are well placed to provide local insight and represent community views</w:t>
      </w:r>
      <w:r w:rsidR="0061255B" w:rsidRPr="0061255B">
        <w:t xml:space="preserve">. </w:t>
      </w:r>
    </w:p>
    <w:p w:rsidR="005A149D" w:rsidRPr="0061255B" w:rsidRDefault="005A149D" w:rsidP="005A149D">
      <w:r w:rsidRPr="0061255B">
        <w:t xml:space="preserve">The </w:t>
      </w:r>
      <w:r>
        <w:t>Panel</w:t>
      </w:r>
      <w:r w:rsidRPr="0061255B">
        <w:t xml:space="preserve">’s view is that regional governance structures would be the most effective – would have been for the Strategy and will be for the next program, going forward. Regional governance fora should include regional management from both levels of government, local government and community leadership from each region, and training authorities for that region. </w:t>
      </w:r>
      <w:r>
        <w:t xml:space="preserve">Regional governance could draw on existing local structures instead of establishing additional new bodies, where it makes sense to do so.  </w:t>
      </w:r>
    </w:p>
    <w:p w:rsidR="0061255B" w:rsidRPr="0061255B" w:rsidRDefault="005A149D" w:rsidP="005A149D">
      <w:r w:rsidRPr="0061255B">
        <w:t xml:space="preserve">The principle is that regional fora </w:t>
      </w:r>
      <w:r>
        <w:t xml:space="preserve">should </w:t>
      </w:r>
      <w:r w:rsidRPr="0061255B">
        <w:t xml:space="preserve">be transparent with no incentive to withhold relevant program information. Data could be collected and aggregated to provide a more accurate picture of performance at a regional, </w:t>
      </w:r>
      <w:r w:rsidR="0004739C">
        <w:t>jurisdiction</w:t>
      </w:r>
      <w:r w:rsidRPr="0061255B">
        <w:t xml:space="preserve"> and national level. Transparency for all levels of government and the community is important for program delivery. </w:t>
      </w:r>
      <w:r w:rsidRPr="0039151A">
        <w:t>Good administrative design would have the performance information necessary to acquit obligations between levels of government and be the by-product of the information needed to run the program effectively in each region</w:t>
      </w:r>
      <w:r w:rsidR="0061255B" w:rsidRPr="0039151A">
        <w:t>.</w:t>
      </w:r>
    </w:p>
    <w:p w:rsidR="0061255B" w:rsidRPr="0061255B" w:rsidRDefault="005A149D" w:rsidP="00042574">
      <w:r w:rsidRPr="0061255B">
        <w:t xml:space="preserve">The establishment of Australian Primary Health Networks </w:t>
      </w:r>
      <w:r>
        <w:t xml:space="preserve">(PHN) </w:t>
      </w:r>
      <w:r w:rsidRPr="0061255B">
        <w:t xml:space="preserve">and the Local Health Networks </w:t>
      </w:r>
      <w:r>
        <w:t xml:space="preserve">(LHN) </w:t>
      </w:r>
      <w:r w:rsidRPr="0061255B">
        <w:t xml:space="preserve">(regional structures with consistent boundaries in </w:t>
      </w:r>
      <w:r w:rsidR="0004739C">
        <w:t>jurisdiction</w:t>
      </w:r>
      <w:r w:rsidRPr="0061255B">
        <w:t xml:space="preserve"> health system administration) demonstrate how arrangements can be put in place to align goals </w:t>
      </w:r>
      <w:r>
        <w:t xml:space="preserve">and </w:t>
      </w:r>
      <w:r w:rsidRPr="0061255B">
        <w:t xml:space="preserve">planning and delivery effectively across Commonwealth and </w:t>
      </w:r>
      <w:r w:rsidR="0004739C">
        <w:t>jurisdiction</w:t>
      </w:r>
      <w:r w:rsidRPr="0061255B">
        <w:t xml:space="preserve"> agencies</w:t>
      </w:r>
      <w:r w:rsidR="0061255B" w:rsidRPr="0061255B">
        <w:t xml:space="preserve">. </w:t>
      </w:r>
    </w:p>
    <w:p w:rsidR="0061255B" w:rsidRDefault="0061255B" w:rsidP="00042574">
      <w:r w:rsidRPr="0061255B">
        <w:t xml:space="preserve">The health analogue also demonstrates that administration can be set up by leaders in Commonwealth and </w:t>
      </w:r>
      <w:r w:rsidR="0004739C">
        <w:t>jurisdiction</w:t>
      </w:r>
      <w:r w:rsidRPr="0061255B">
        <w:t xml:space="preserve"> governments aside from (and more important than) the more sterile, </w:t>
      </w:r>
      <w:r w:rsidR="003972AB">
        <w:t>traditional Commonwealth-</w:t>
      </w:r>
      <w:r w:rsidR="0004739C">
        <w:t>jurisdiction</w:t>
      </w:r>
      <w:r w:rsidRPr="0061255B">
        <w:t xml:space="preserve"> structures and instruments. PHNs and LHNs will collaborate and change health delivery in the field. Regional Indigenous housing governance could do the same.</w:t>
      </w:r>
    </w:p>
    <w:p w:rsidR="00AE0E99" w:rsidRPr="0061255B" w:rsidRDefault="00AE0E99" w:rsidP="00211750">
      <w:pPr>
        <w:pStyle w:val="H4"/>
      </w:pPr>
      <w:bookmarkStart w:id="479" w:name="_Toc477178149"/>
      <w:bookmarkStart w:id="480" w:name="_Toc477248786"/>
      <w:bookmarkStart w:id="481" w:name="_Toc477252772"/>
      <w:r>
        <w:lastRenderedPageBreak/>
        <w:t xml:space="preserve">A specific case: </w:t>
      </w:r>
      <w:r w:rsidR="007313CB">
        <w:t>New South Wales</w:t>
      </w:r>
      <w:r>
        <w:t xml:space="preserve"> has left the Strategy but residual concerns from regional </w:t>
      </w:r>
      <w:r w:rsidR="007313CB">
        <w:t>New South Wales</w:t>
      </w:r>
      <w:r>
        <w:t xml:space="preserve"> remain and were presented to the Panel</w:t>
      </w:r>
      <w:bookmarkEnd w:id="479"/>
      <w:bookmarkEnd w:id="480"/>
      <w:bookmarkEnd w:id="481"/>
    </w:p>
    <w:p w:rsidR="00AE0E99" w:rsidRPr="00AE0E99" w:rsidRDefault="00AE0E99" w:rsidP="00042574">
      <w:r w:rsidRPr="00AE0E99">
        <w:t xml:space="preserve">Under the </w:t>
      </w:r>
      <w:r w:rsidR="005D7085">
        <w:t>Strategy</w:t>
      </w:r>
      <w:r w:rsidR="00624028">
        <w:t>,</w:t>
      </w:r>
      <w:r w:rsidRPr="00AE0E99">
        <w:t xml:space="preserve"> </w:t>
      </w:r>
      <w:r w:rsidR="007313CB">
        <w:t>New South Wales</w:t>
      </w:r>
      <w:r w:rsidRPr="00AE0E99">
        <w:t xml:space="preserve"> delivered a total of 263 new houses and 1</w:t>
      </w:r>
      <w:r w:rsidR="00624028">
        <w:t>,</w:t>
      </w:r>
      <w:r w:rsidRPr="00AE0E99">
        <w:t xml:space="preserve">009 refurbishments. </w:t>
      </w:r>
      <w:r w:rsidR="007313CB">
        <w:t>New South Wales</w:t>
      </w:r>
      <w:r w:rsidRPr="00AE0E99">
        <w:t xml:space="preserve"> </w:t>
      </w:r>
      <w:r w:rsidR="00624028">
        <w:t>was</w:t>
      </w:r>
      <w:r w:rsidRPr="00AE0E99">
        <w:t xml:space="preserve"> able to ‘fix and make safe’ more than 95 per cent of its remote housing, but this work did not include major upgrades or significant improvement to amenity. As a consequence, there has been a lot of public criticism about the quality of works carried out in </w:t>
      </w:r>
      <w:r w:rsidR="007313CB">
        <w:t>New South Wales</w:t>
      </w:r>
      <w:r w:rsidRPr="00AE0E99">
        <w:t xml:space="preserve">. Representatives of the Murdi Paaki Regional Assembly met with the Panel and raised serious concerns </w:t>
      </w:r>
      <w:r w:rsidR="00624028">
        <w:t>about</w:t>
      </w:r>
      <w:r w:rsidRPr="00AE0E99">
        <w:t xml:space="preserve"> the administration of </w:t>
      </w:r>
      <w:r w:rsidR="005D7085">
        <w:t xml:space="preserve">the Strategy </w:t>
      </w:r>
      <w:r w:rsidRPr="00AE0E99">
        <w:t xml:space="preserve">and of social housing in </w:t>
      </w:r>
      <w:r w:rsidR="008D1086">
        <w:t>its</w:t>
      </w:r>
      <w:r w:rsidRPr="00AE0E99">
        <w:t xml:space="preserve"> region over a long period of time. Complaints included that:</w:t>
      </w:r>
    </w:p>
    <w:p w:rsidR="00AE0E99" w:rsidRPr="00AE0E99" w:rsidRDefault="00EB680F" w:rsidP="00627AAC">
      <w:pPr>
        <w:pStyle w:val="ListParagraph"/>
        <w:numPr>
          <w:ilvl w:val="0"/>
          <w:numId w:val="27"/>
        </w:numPr>
      </w:pPr>
      <w:r>
        <w:t>t</w:t>
      </w:r>
      <w:r w:rsidR="00AE0E99" w:rsidRPr="00AE0E99">
        <w:t>here are an inefficient number of tenancy managers in Murdi Paaki, with several operating in most of the towns</w:t>
      </w:r>
    </w:p>
    <w:p w:rsidR="00AE0E99" w:rsidRPr="00AE0E99" w:rsidRDefault="00EB680F" w:rsidP="00627AAC">
      <w:pPr>
        <w:pStyle w:val="ListParagraph"/>
        <w:numPr>
          <w:ilvl w:val="0"/>
          <w:numId w:val="27"/>
        </w:numPr>
      </w:pPr>
      <w:r>
        <w:t>t</w:t>
      </w:r>
      <w:r w:rsidR="00AE0E99" w:rsidRPr="00AE0E99">
        <w:t xml:space="preserve">he program is run out of Sydney, with no local presence of the </w:t>
      </w:r>
      <w:r w:rsidR="007313CB">
        <w:t>New South Wales</w:t>
      </w:r>
      <w:r w:rsidR="00AE0E99" w:rsidRPr="00AE0E99">
        <w:t xml:space="preserve"> Government Aboriginal Housing Office (AHO)</w:t>
      </w:r>
      <w:r w:rsidR="003972AB">
        <w:t>, and</w:t>
      </w:r>
    </w:p>
    <w:p w:rsidR="009C4134" w:rsidRDefault="00EB680F" w:rsidP="00627AAC">
      <w:pPr>
        <w:pStyle w:val="ListParagraph"/>
        <w:numPr>
          <w:ilvl w:val="0"/>
          <w:numId w:val="27"/>
        </w:numPr>
      </w:pPr>
      <w:r>
        <w:t>a</w:t>
      </w:r>
      <w:r w:rsidR="00AE0E99" w:rsidRPr="00AE0E99">
        <w:t xml:space="preserve"> local handyman course run by Batchelor used to support the Murdi Paaki Housing Company to employ local people to do maintenance work, with a grant from the Commonwealth. That grant stopped long ago</w:t>
      </w:r>
      <w:r w:rsidR="009C4134">
        <w:t xml:space="preserve"> </w:t>
      </w:r>
      <w:r>
        <w:t>–</w:t>
      </w:r>
      <w:r w:rsidR="009C4134">
        <w:t xml:space="preserve"> </w:t>
      </w:r>
      <w:r w:rsidR="00AE0E99" w:rsidRPr="00AE0E99">
        <w:t>those</w:t>
      </w:r>
      <w:r>
        <w:t xml:space="preserve"> </w:t>
      </w:r>
      <w:r w:rsidR="00AE0E99" w:rsidRPr="00AE0E99">
        <w:t xml:space="preserve">local people are </w:t>
      </w:r>
      <w:r w:rsidR="009C4134">
        <w:t xml:space="preserve">now </w:t>
      </w:r>
      <w:r w:rsidR="00AE0E99" w:rsidRPr="00AE0E99">
        <w:t xml:space="preserve">unemployed and the AHO uses a preferred provider from Dubbo. </w:t>
      </w:r>
    </w:p>
    <w:p w:rsidR="00AE0E99" w:rsidRPr="00AE0E99" w:rsidRDefault="00AE0E99" w:rsidP="009C4134">
      <w:r w:rsidRPr="00AE0E99">
        <w:t xml:space="preserve">In 2016, </w:t>
      </w:r>
      <w:r w:rsidR="007313CB">
        <w:t>New South Wales</w:t>
      </w:r>
      <w:r w:rsidRPr="00AE0E99">
        <w:t xml:space="preserve"> negotiated to exit the </w:t>
      </w:r>
      <w:r w:rsidR="005D7085">
        <w:t>Strategy</w:t>
      </w:r>
      <w:r w:rsidRPr="00AE0E99">
        <w:t xml:space="preserve"> to enable a more flexible allocation of funds according to need. The Commonwealth made </w:t>
      </w:r>
      <w:r w:rsidR="00EB680F">
        <w:t xml:space="preserve">the </w:t>
      </w:r>
      <w:r w:rsidRPr="00AE0E99">
        <w:t xml:space="preserve">exit conditional on </w:t>
      </w:r>
      <w:r w:rsidR="007313CB">
        <w:t>New South Wales</w:t>
      </w:r>
      <w:r w:rsidRPr="00AE0E99">
        <w:t xml:space="preserve"> accepting ongoing responsibility for remote Indigenous housing, and delivering $15 million to the Murdi Paaki region over three years.</w:t>
      </w:r>
    </w:p>
    <w:p w:rsidR="00AE0E99" w:rsidRPr="00AE0E99" w:rsidRDefault="00AE0E99" w:rsidP="00042574">
      <w:r w:rsidRPr="00AE0E99">
        <w:t xml:space="preserve">It is important </w:t>
      </w:r>
      <w:r w:rsidR="007313CB">
        <w:t>New South Wales</w:t>
      </w:r>
      <w:r w:rsidRPr="00AE0E99">
        <w:t xml:space="preserve"> honour</w:t>
      </w:r>
      <w:r w:rsidR="009C4134">
        <w:t>s</w:t>
      </w:r>
      <w:r w:rsidRPr="00AE0E99">
        <w:t xml:space="preserve"> the agreement with the Commonwealth</w:t>
      </w:r>
      <w:r w:rsidR="00EB680F">
        <w:t xml:space="preserve"> and</w:t>
      </w:r>
      <w:r w:rsidRPr="00AE0E99">
        <w:t xml:space="preserve"> that the</w:t>
      </w:r>
      <w:r w:rsidR="0039151A">
        <w:t xml:space="preserve"> $15 </w:t>
      </w:r>
      <w:r w:rsidRPr="00AE0E99">
        <w:t>million be delivered in the Murdi Paaki</w:t>
      </w:r>
      <w:r w:rsidR="009C4134">
        <w:t xml:space="preserve"> region</w:t>
      </w:r>
      <w:r w:rsidRPr="00AE0E99">
        <w:t xml:space="preserve">. The Panel would also urge the </w:t>
      </w:r>
      <w:r w:rsidR="007313CB">
        <w:t>New South Wales</w:t>
      </w:r>
      <w:r w:rsidRPr="00AE0E99">
        <w:t xml:space="preserve"> Government to engage with the Murdi Paaki Regional Assembly and establish a regional forum to govern the program in the far west of the </w:t>
      </w:r>
      <w:r w:rsidR="0004739C">
        <w:t>jurisdiction</w:t>
      </w:r>
      <w:r w:rsidRPr="00AE0E99">
        <w:t xml:space="preserve">, as we are recommending for other </w:t>
      </w:r>
      <w:r w:rsidR="0004739C">
        <w:t>jurisdiction</w:t>
      </w:r>
      <w:r w:rsidR="00E97360">
        <w:t>s</w:t>
      </w:r>
      <w:r w:rsidRPr="00AE0E99">
        <w:t xml:space="preserve">. </w:t>
      </w:r>
    </w:p>
    <w:p w:rsidR="0061255B" w:rsidRPr="0061255B" w:rsidRDefault="0061255B" w:rsidP="00211750">
      <w:pPr>
        <w:pStyle w:val="H3"/>
      </w:pPr>
      <w:bookmarkStart w:id="482" w:name="_Toc477178150"/>
      <w:bookmarkStart w:id="483" w:name="_Toc477248787"/>
      <w:bookmarkStart w:id="484" w:name="_Toc477252773"/>
      <w:bookmarkStart w:id="485" w:name="_Toc490218733"/>
      <w:r w:rsidRPr="0061255B">
        <w:t>Key Findings</w:t>
      </w:r>
      <w:bookmarkEnd w:id="482"/>
      <w:bookmarkEnd w:id="483"/>
      <w:bookmarkEnd w:id="484"/>
      <w:bookmarkEnd w:id="485"/>
      <w:r w:rsidRPr="0061255B">
        <w:t xml:space="preserve"> </w:t>
      </w:r>
    </w:p>
    <w:p w:rsidR="0061255B" w:rsidRPr="0061255B" w:rsidRDefault="0061255B" w:rsidP="0061255B">
      <w:pPr>
        <w:rPr>
          <w:b/>
        </w:rPr>
      </w:pPr>
      <w:r w:rsidRPr="0061255B">
        <w:rPr>
          <w:b/>
        </w:rPr>
        <w:t xml:space="preserve">The establishment of an outcomes-based framework for remote Indigenous housing under delivered. </w:t>
      </w:r>
    </w:p>
    <w:p w:rsidR="0061255B" w:rsidRPr="0061255B" w:rsidRDefault="0061255B" w:rsidP="0061255B">
      <w:pPr>
        <w:rPr>
          <w:b/>
        </w:rPr>
      </w:pPr>
      <w:r w:rsidRPr="0061255B">
        <w:rPr>
          <w:b/>
        </w:rPr>
        <w:t>There were challenges with the governance of the Strategy, including poor transparency, a poor distribution of risk betw</w:t>
      </w:r>
      <w:r w:rsidR="00F5020F">
        <w:rPr>
          <w:b/>
        </w:rPr>
        <w:t xml:space="preserve">een the Commonwealth and </w:t>
      </w:r>
      <w:r w:rsidR="0004739C">
        <w:rPr>
          <w:b/>
        </w:rPr>
        <w:t>jurisdiction</w:t>
      </w:r>
      <w:r w:rsidR="00F5020F">
        <w:rPr>
          <w:b/>
        </w:rPr>
        <w:t xml:space="preserve"> </w:t>
      </w:r>
      <w:r w:rsidRPr="0061255B">
        <w:rPr>
          <w:b/>
        </w:rPr>
        <w:t>and limited sharing of better practice.</w:t>
      </w:r>
    </w:p>
    <w:p w:rsidR="0061255B" w:rsidRPr="0061255B" w:rsidRDefault="0061255B" w:rsidP="0061255B">
      <w:pPr>
        <w:rPr>
          <w:b/>
        </w:rPr>
      </w:pPr>
      <w:r w:rsidRPr="0061255B">
        <w:rPr>
          <w:b/>
        </w:rPr>
        <w:t>Strategies that officials and ministers developed to work around the limits of the framework imposed by 2008 federal financial relations reforms have had a number of perverse effects that have exacerbated implementation problems.</w:t>
      </w:r>
    </w:p>
    <w:p w:rsidR="0061255B" w:rsidRDefault="0061255B" w:rsidP="0061255B">
      <w:pPr>
        <w:rPr>
          <w:b/>
        </w:rPr>
      </w:pPr>
      <w:r w:rsidRPr="0061255B">
        <w:rPr>
          <w:b/>
        </w:rPr>
        <w:lastRenderedPageBreak/>
        <w:t xml:space="preserve">A regional governance structure where the Commonwealth and </w:t>
      </w:r>
      <w:r w:rsidR="0004739C">
        <w:rPr>
          <w:b/>
        </w:rPr>
        <w:t>jurisdiction</w:t>
      </w:r>
      <w:r w:rsidRPr="0061255B">
        <w:rPr>
          <w:b/>
        </w:rPr>
        <w:t xml:space="preserve">s share risk and responsibility, with local government and community organisations involved, would improve program performance. A partnership approach where all parties are sharing information can improve outcomes at a regional level and improve oversight over the program at a national level. </w:t>
      </w:r>
    </w:p>
    <w:p w:rsidR="00AE0E99" w:rsidRPr="0061255B" w:rsidRDefault="00AE0E99" w:rsidP="0061255B">
      <w:pPr>
        <w:rPr>
          <w:b/>
        </w:rPr>
      </w:pPr>
      <w:r>
        <w:rPr>
          <w:b/>
        </w:rPr>
        <w:t xml:space="preserve">The Commonwealth should hold </w:t>
      </w:r>
      <w:r w:rsidR="007313CB">
        <w:rPr>
          <w:b/>
        </w:rPr>
        <w:t>New South Wales</w:t>
      </w:r>
      <w:r>
        <w:rPr>
          <w:b/>
        </w:rPr>
        <w:t xml:space="preserve"> accountable to honour the agreement to deliver $15 million of works into the Murdi Paaki </w:t>
      </w:r>
      <w:r w:rsidR="001152C6">
        <w:rPr>
          <w:b/>
        </w:rPr>
        <w:t xml:space="preserve">region </w:t>
      </w:r>
      <w:r>
        <w:rPr>
          <w:b/>
        </w:rPr>
        <w:t>over three years</w:t>
      </w:r>
      <w:r w:rsidR="00884653">
        <w:rPr>
          <w:b/>
        </w:rPr>
        <w:t xml:space="preserve">. </w:t>
      </w:r>
    </w:p>
    <w:p w:rsidR="001E0159" w:rsidRDefault="001E0159">
      <w:pPr>
        <w:rPr>
          <w:color w:val="003468" w:themeColor="text2"/>
          <w:sz w:val="44"/>
        </w:rPr>
      </w:pPr>
      <w:bookmarkStart w:id="486" w:name="_Toc477178151"/>
      <w:bookmarkStart w:id="487" w:name="_Toc477248788"/>
      <w:bookmarkStart w:id="488" w:name="_Toc476645413"/>
      <w:bookmarkStart w:id="489" w:name="_Toc476644190"/>
      <w:bookmarkStart w:id="490" w:name="_Toc476650883"/>
      <w:bookmarkStart w:id="491" w:name="_Toc476658543"/>
      <w:bookmarkStart w:id="492" w:name="_Toc476659246"/>
      <w:bookmarkStart w:id="493" w:name="_Toc476661052"/>
      <w:bookmarkStart w:id="494" w:name="_Toc476663448"/>
      <w:bookmarkStart w:id="495" w:name="_Toc476669890"/>
      <w:bookmarkStart w:id="496" w:name="_Toc476665905"/>
      <w:bookmarkStart w:id="497" w:name="_Toc476671380"/>
      <w:bookmarkStart w:id="498" w:name="_Toc476676538"/>
      <w:bookmarkStart w:id="499" w:name="_Toc476677820"/>
      <w:bookmarkStart w:id="500" w:name="_Toc476678254"/>
      <w:r>
        <w:br w:type="page"/>
      </w:r>
    </w:p>
    <w:p w:rsidR="00345827" w:rsidRPr="00345827" w:rsidRDefault="00345827" w:rsidP="00211750">
      <w:pPr>
        <w:pStyle w:val="H2"/>
      </w:pPr>
      <w:bookmarkStart w:id="501" w:name="_Toc477252774"/>
      <w:bookmarkStart w:id="502" w:name="_Toc490218734"/>
      <w:r w:rsidRPr="00345827">
        <w:lastRenderedPageBreak/>
        <w:t>Financing</w:t>
      </w:r>
      <w:bookmarkEnd w:id="486"/>
      <w:bookmarkEnd w:id="487"/>
      <w:bookmarkEnd w:id="501"/>
      <w:bookmarkEnd w:id="502"/>
      <w:r w:rsidRPr="00345827">
        <w:t xml:space="preserve"> </w:t>
      </w:r>
    </w:p>
    <w:p w:rsidR="00345827" w:rsidRPr="00345827" w:rsidRDefault="00345827" w:rsidP="00211750">
      <w:pPr>
        <w:pStyle w:val="H3"/>
        <w:rPr>
          <w:rFonts w:eastAsia="Times New Roman" w:cs="Times New Roman"/>
          <w:szCs w:val="19"/>
        </w:rPr>
      </w:pPr>
      <w:bookmarkStart w:id="503" w:name="_Toc477178152"/>
      <w:bookmarkStart w:id="504" w:name="_Toc477248789"/>
      <w:bookmarkStart w:id="505" w:name="_Toc477252775"/>
      <w:bookmarkStart w:id="506" w:name="_Toc490218735"/>
      <w:bookmarkEnd w:id="488"/>
      <w:bookmarkEnd w:id="489"/>
      <w:bookmarkEnd w:id="490"/>
      <w:bookmarkEnd w:id="491"/>
      <w:bookmarkEnd w:id="492"/>
      <w:bookmarkEnd w:id="493"/>
      <w:bookmarkEnd w:id="494"/>
      <w:bookmarkEnd w:id="495"/>
      <w:bookmarkEnd w:id="496"/>
      <w:bookmarkEnd w:id="497"/>
      <w:bookmarkEnd w:id="498"/>
      <w:bookmarkEnd w:id="499"/>
      <w:bookmarkEnd w:id="500"/>
      <w:r w:rsidRPr="00345827">
        <w:t>Maintenance costs for remote housing cannot be recovered through rental income alone</w:t>
      </w:r>
      <w:bookmarkEnd w:id="503"/>
      <w:bookmarkEnd w:id="504"/>
      <w:bookmarkEnd w:id="505"/>
      <w:bookmarkEnd w:id="506"/>
      <w:r w:rsidRPr="00345827">
        <w:rPr>
          <w:rFonts w:eastAsia="Times New Roman" w:cs="Times New Roman"/>
          <w:szCs w:val="19"/>
        </w:rPr>
        <w:t xml:space="preserve"> </w:t>
      </w:r>
    </w:p>
    <w:p w:rsidR="00345827" w:rsidRPr="00345827" w:rsidRDefault="00345827" w:rsidP="00042574">
      <w:r w:rsidRPr="00345827">
        <w:t>Governments have been the primary source of funding for housing in remote Indigenous communities. Remote housing has substantial ongoing resource needs and there are limited opportunities to recover costs through rent or other charges. While there may be potential for public-priva</w:t>
      </w:r>
      <w:r w:rsidR="00370896">
        <w:t>te finance models in the long-</w:t>
      </w:r>
      <w:r w:rsidRPr="00345827">
        <w:t xml:space="preserve">term, there are structural barriers that currently prevent these models. </w:t>
      </w:r>
    </w:p>
    <w:p w:rsidR="00345827" w:rsidRPr="00345827" w:rsidRDefault="00345827" w:rsidP="00211750">
      <w:pPr>
        <w:pStyle w:val="H4"/>
        <w:rPr>
          <w:rFonts w:eastAsia="Times New Roman" w:cs="Times New Roman"/>
        </w:rPr>
      </w:pPr>
      <w:bookmarkStart w:id="507" w:name="_Toc477178153"/>
      <w:bookmarkStart w:id="508" w:name="_Toc477248790"/>
      <w:bookmarkStart w:id="509" w:name="_Toc477252776"/>
      <w:r w:rsidRPr="0070040F">
        <w:rPr>
          <w:rStyle w:val="H4Char"/>
        </w:rPr>
        <w:t>Remote</w:t>
      </w:r>
      <w:r w:rsidRPr="00345827">
        <w:t xml:space="preserve"> housing costs are significantly higher tha</w:t>
      </w:r>
      <w:r w:rsidR="001C2627">
        <w:t>n</w:t>
      </w:r>
      <w:r w:rsidRPr="00345827">
        <w:t xml:space="preserve"> other social housing</w:t>
      </w:r>
      <w:bookmarkEnd w:id="507"/>
      <w:bookmarkEnd w:id="508"/>
      <w:bookmarkEnd w:id="509"/>
      <w:r w:rsidRPr="00345827">
        <w:rPr>
          <w:rFonts w:eastAsia="Times New Roman" w:cs="Times New Roman"/>
        </w:rPr>
        <w:t xml:space="preserve"> </w:t>
      </w:r>
    </w:p>
    <w:p w:rsidR="00345827" w:rsidRPr="00345827" w:rsidRDefault="00345827" w:rsidP="00042574">
      <w:r w:rsidRPr="00345827">
        <w:t>High structural costs have been a long-term feature of remote housing</w:t>
      </w:r>
      <w:r w:rsidR="008F2454">
        <w:t>.</w:t>
      </w:r>
      <w:r w:rsidRPr="00345827">
        <w:rPr>
          <w:rFonts w:cs="Times New Roman"/>
          <w:color w:val="404040" w:themeColor="text1" w:themeTint="BF"/>
          <w:sz w:val="20"/>
          <w:szCs w:val="20"/>
          <w:vertAlign w:val="superscript"/>
        </w:rPr>
        <w:footnoteReference w:id="43"/>
      </w:r>
      <w:r w:rsidRPr="00345827">
        <w:t xml:space="preserve"> Recent analysis of </w:t>
      </w:r>
      <w:r w:rsidR="0004739C">
        <w:t>jurisdiction</w:t>
      </w:r>
      <w:r w:rsidRPr="00345827">
        <w:t xml:space="preserve"> budget projections by Nous Group show that in urban social housing expenditure on ongoing management of properties can be largely offset by rental revenues. In contrast, on average only 16 per cent of the recurrent costs of maintaining remote housing stock are covered by rental income</w:t>
      </w:r>
      <w:r w:rsidR="008F2454">
        <w:t>.</w:t>
      </w:r>
      <w:r w:rsidRPr="00345827">
        <w:rPr>
          <w:rFonts w:cs="Times New Roman"/>
          <w:color w:val="404040" w:themeColor="text1" w:themeTint="BF"/>
          <w:sz w:val="20"/>
          <w:szCs w:val="20"/>
          <w:vertAlign w:val="superscript"/>
        </w:rPr>
        <w:footnoteReference w:id="44"/>
      </w:r>
      <w:r w:rsidRPr="00345827">
        <w:t xml:space="preserve"> </w:t>
      </w:r>
    </w:p>
    <w:p w:rsidR="00345827" w:rsidRPr="00345827" w:rsidRDefault="005A149D" w:rsidP="00042574">
      <w:r w:rsidRPr="00345827">
        <w:t xml:space="preserve">This is an estimate based upon data provided by the Queensland, Western Australia, South Australia </w:t>
      </w:r>
      <w:r>
        <w:t xml:space="preserve">and </w:t>
      </w:r>
      <w:r w:rsidRPr="00345827">
        <w:t xml:space="preserve">Northern Territory </w:t>
      </w:r>
      <w:r>
        <w:t xml:space="preserve">Governments </w:t>
      </w:r>
      <w:r w:rsidRPr="00345827">
        <w:t xml:space="preserve">for projected 2017-18 budgets (one </w:t>
      </w:r>
      <w:r w:rsidR="0004739C">
        <w:t>jurisdiction</w:t>
      </w:r>
      <w:r w:rsidRPr="00345827">
        <w:t xml:space="preserve"> provided 2015</w:t>
      </w:r>
      <w:r>
        <w:noBreakHyphen/>
      </w:r>
      <w:r w:rsidRPr="00345827">
        <w:t>16 costs). It includes recurrent maintenance, capital upgrades, and other expenses such as council rates, motor vehicles, travel costs and administrations costs. It does not include depreciation, and does not include tenancy management costs such as tenant support or rent collection. It does not factor in the initial capital costs of building houses. While this data has limitations as it is based upon projections, it gives a good indication of the quantum of the government subsidy required for ongoing remote Indigenous housing management. This is a substantial revenue-cost shortfall</w:t>
      </w:r>
      <w:r w:rsidR="00345827" w:rsidRPr="00345827">
        <w:t xml:space="preserve">. </w:t>
      </w:r>
    </w:p>
    <w:p w:rsidR="00345827" w:rsidRPr="0085540B" w:rsidRDefault="00345827" w:rsidP="00F3240A">
      <w:pPr>
        <w:keepNext/>
        <w:spacing w:before="240"/>
        <w:rPr>
          <w:sz w:val="18"/>
        </w:rPr>
      </w:pPr>
      <w:bookmarkStart w:id="510" w:name="figure81"/>
      <w:bookmarkEnd w:id="510"/>
      <w:r w:rsidRPr="00F3240A">
        <w:rPr>
          <w:rStyle w:val="tbsfigsChar"/>
        </w:rPr>
        <w:lastRenderedPageBreak/>
        <w:t xml:space="preserve">Figure 8.1: Rental income as a proportion of annual ongoing cost, by </w:t>
      </w:r>
      <w:r w:rsidR="00954BA7" w:rsidRPr="00F3240A">
        <w:rPr>
          <w:rStyle w:val="tbsfigsChar"/>
        </w:rPr>
        <w:t>per cent</w:t>
      </w:r>
      <w:r w:rsidR="00EB680F" w:rsidRPr="00F3240A">
        <w:rPr>
          <w:rStyle w:val="tbsfigsChar"/>
        </w:rPr>
        <w:t xml:space="preserve"> (2017-</w:t>
      </w:r>
      <w:r w:rsidRPr="00F3240A">
        <w:rPr>
          <w:rStyle w:val="tbsfigsChar"/>
        </w:rPr>
        <w:t xml:space="preserve">18 </w:t>
      </w:r>
      <w:r w:rsidR="003D2AA1">
        <w:rPr>
          <w:rStyle w:val="tbsfigsChar"/>
        </w:rPr>
        <w:t>B</w:t>
      </w:r>
      <w:r w:rsidRPr="00F3240A">
        <w:rPr>
          <w:rStyle w:val="tbsfigsChar"/>
        </w:rPr>
        <w:t>udget</w:t>
      </w:r>
      <w:r w:rsidRPr="003D2AA1">
        <w:rPr>
          <w:rStyle w:val="tbsfigsChar"/>
          <w:vertAlign w:val="superscript"/>
        </w:rPr>
        <w:footnoteReference w:id="45"/>
      </w:r>
      <w:r w:rsidRPr="00F3240A">
        <w:rPr>
          <w:rStyle w:val="tbsfigsChar"/>
        </w:rPr>
        <w:t>)</w:t>
      </w:r>
      <w:r w:rsidRPr="00345827">
        <w:rPr>
          <w:bCs/>
          <w:noProof/>
          <w:lang w:eastAsia="en-AU"/>
        </w:rPr>
        <w:drawing>
          <wp:inline distT="0" distB="0" distL="0" distR="0" wp14:anchorId="7A1AE0DC" wp14:editId="7A1AE0DD">
            <wp:extent cx="5735117" cy="2430345"/>
            <wp:effectExtent l="0" t="0" r="0" b="0"/>
            <wp:docPr id="12" name="Picture 12" descr="Link to extended text description is below" title="Link to extended text description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674" cy="2434818"/>
                    </a:xfrm>
                    <a:prstGeom prst="rect">
                      <a:avLst/>
                    </a:prstGeom>
                    <a:noFill/>
                  </pic:spPr>
                </pic:pic>
              </a:graphicData>
            </a:graphic>
          </wp:inline>
        </w:drawing>
      </w:r>
    </w:p>
    <w:p w:rsidR="0085540B" w:rsidRDefault="0085540B" w:rsidP="00042574">
      <w:pPr>
        <w:rPr>
          <w:sz w:val="18"/>
        </w:rPr>
      </w:pPr>
      <w:r>
        <w:rPr>
          <w:sz w:val="18"/>
        </w:rPr>
        <w:t>Source: Nous Group</w:t>
      </w:r>
    </w:p>
    <w:p w:rsidR="006E4857" w:rsidRPr="0085540B" w:rsidRDefault="00DB288F" w:rsidP="00042574">
      <w:pPr>
        <w:rPr>
          <w:sz w:val="18"/>
        </w:rPr>
      </w:pPr>
      <w:r>
        <w:t xml:space="preserve">View the </w:t>
      </w:r>
      <w:hyperlink w:anchor="fig81" w:history="1">
        <w:r w:rsidRPr="00667862">
          <w:rPr>
            <w:rStyle w:val="Hyperlink"/>
            <w:color w:val="0B84FF" w:themeColor="text2" w:themeTint="99"/>
          </w:rPr>
          <w:t>text alternative for Figure 8.1</w:t>
        </w:r>
      </w:hyperlink>
    </w:p>
    <w:p w:rsidR="00345827" w:rsidRPr="00345827" w:rsidRDefault="00345827" w:rsidP="00042574">
      <w:r w:rsidRPr="00345827">
        <w:t>The difference in shortfall between public housing and remote Indigenous housing is explained mostly by a much higher cost of housing provision in remote Indigenous communities.</w:t>
      </w:r>
      <w:r w:rsidRPr="00345827">
        <w:rPr>
          <w:rFonts w:cs="Times New Roman"/>
          <w:color w:val="404040" w:themeColor="text1" w:themeTint="BF"/>
          <w:sz w:val="20"/>
          <w:szCs w:val="20"/>
          <w:vertAlign w:val="superscript"/>
        </w:rPr>
        <w:footnoteReference w:id="46"/>
      </w:r>
      <w:r w:rsidRPr="00345827">
        <w:t xml:space="preserve"> Higher costs account for 80 per cent of the difference in shortfall between public housing and remote Indigenous housing, with lower rental collections accounting for 20 per cent of the difference. </w:t>
      </w:r>
    </w:p>
    <w:p w:rsidR="00345827" w:rsidRPr="00345827" w:rsidRDefault="00345827" w:rsidP="00211750">
      <w:pPr>
        <w:pStyle w:val="H4"/>
        <w:rPr>
          <w:rFonts w:eastAsia="Times New Roman" w:cs="Times New Roman"/>
        </w:rPr>
      </w:pPr>
      <w:bookmarkStart w:id="511" w:name="_Toc477178154"/>
      <w:bookmarkStart w:id="512" w:name="_Toc477248791"/>
      <w:bookmarkStart w:id="513" w:name="_Toc477252777"/>
      <w:r w:rsidRPr="00345827">
        <w:t>Even best efforts to reduce costs will not be sufficient to address the shortfall</w:t>
      </w:r>
      <w:bookmarkEnd w:id="511"/>
      <w:bookmarkEnd w:id="512"/>
      <w:bookmarkEnd w:id="513"/>
      <w:r w:rsidRPr="00345827">
        <w:rPr>
          <w:rFonts w:eastAsia="Times New Roman" w:cs="Times New Roman"/>
        </w:rPr>
        <w:t xml:space="preserve"> </w:t>
      </w:r>
    </w:p>
    <w:p w:rsidR="00345827" w:rsidRPr="00345827" w:rsidRDefault="00000C1C" w:rsidP="00042574">
      <w:r w:rsidRPr="00345827">
        <w:t>While there are improvements that can be made to remote housing delivery that will achieve cost savings, these will not be sufficient to overcome the substantial shortfall. The Nous Group, in its report for the Review, tested scenarios based on reduced costs and increased revenue (from rental collections) and found no prospect of eliminating the financing shortfall in operational expenditure for providing social housing in remote Indigenous communities</w:t>
      </w:r>
      <w:r w:rsidR="00345827" w:rsidRPr="00345827">
        <w:t>.</w:t>
      </w:r>
    </w:p>
    <w:p w:rsidR="00345827" w:rsidRPr="00345827" w:rsidRDefault="00000C1C" w:rsidP="00042574">
      <w:r w:rsidRPr="00345827">
        <w:t xml:space="preserve">Nonetheless, Nous Group’s testing of sensitivities does show that material savings are possible, especially from reduced costs in </w:t>
      </w:r>
      <w:r>
        <w:t>PTM, provided</w:t>
      </w:r>
      <w:r w:rsidRPr="00345827">
        <w:t xml:space="preserve"> those are not achiev</w:t>
      </w:r>
      <w:r w:rsidRPr="00B00C39">
        <w:t>ed by reducing cyclic preventive maintenance (which would result in accelerated asset deterioration and increased depreciation costs). Th</w:t>
      </w:r>
      <w:r w:rsidRPr="00345827">
        <w:t xml:space="preserve">e </w:t>
      </w:r>
      <w:r>
        <w:t>Panel</w:t>
      </w:r>
      <w:r w:rsidRPr="00345827">
        <w:t xml:space="preserve"> supports governments working together to set </w:t>
      </w:r>
      <w:r w:rsidRPr="003972AB">
        <w:t>targets for joint work to minimise the financing shortfall for operational expenditure and committing funding to reduce the shortfall into the future</w:t>
      </w:r>
      <w:r w:rsidR="00345827" w:rsidRPr="003972AB">
        <w:t>.</w:t>
      </w:r>
      <w:r w:rsidR="00345827" w:rsidRPr="00345827">
        <w:t xml:space="preserve"> </w:t>
      </w:r>
    </w:p>
    <w:p w:rsidR="00345827" w:rsidRPr="00345827" w:rsidRDefault="00345827" w:rsidP="00211750">
      <w:pPr>
        <w:pStyle w:val="H3"/>
        <w:rPr>
          <w:rFonts w:eastAsia="Times New Roman" w:cs="Times New Roman"/>
          <w:szCs w:val="19"/>
        </w:rPr>
      </w:pPr>
      <w:bookmarkStart w:id="514" w:name="_Toc477178155"/>
      <w:bookmarkStart w:id="515" w:name="_Toc477248792"/>
      <w:bookmarkStart w:id="516" w:name="_Toc477252778"/>
      <w:bookmarkStart w:id="517" w:name="_Toc490218736"/>
      <w:r w:rsidRPr="00345827">
        <w:lastRenderedPageBreak/>
        <w:t xml:space="preserve">The </w:t>
      </w:r>
      <w:r w:rsidR="003D27B1">
        <w:t>R</w:t>
      </w:r>
      <w:r w:rsidRPr="00345827">
        <w:t>eview explored the viability of social impact investment</w:t>
      </w:r>
      <w:bookmarkEnd w:id="514"/>
      <w:bookmarkEnd w:id="515"/>
      <w:bookmarkEnd w:id="516"/>
      <w:bookmarkEnd w:id="517"/>
      <w:r w:rsidRPr="00345827">
        <w:rPr>
          <w:rFonts w:eastAsia="Times New Roman" w:cs="Times New Roman"/>
          <w:szCs w:val="19"/>
        </w:rPr>
        <w:t xml:space="preserve"> </w:t>
      </w:r>
    </w:p>
    <w:p w:rsidR="00000C1C" w:rsidRPr="00345827" w:rsidRDefault="00000C1C" w:rsidP="00000C1C">
      <w:r w:rsidRPr="00345827">
        <w:t>The high costs of constructing houses in remote areas are not reflected in asset values. There is a shortage of potential buyers prepared</w:t>
      </w:r>
      <w:r>
        <w:t>,</w:t>
      </w:r>
      <w:r w:rsidRPr="00345827">
        <w:t xml:space="preserve"> or able to</w:t>
      </w:r>
      <w:r>
        <w:t>,</w:t>
      </w:r>
      <w:r w:rsidRPr="00345827">
        <w:t xml:space="preserve"> pay a market value for houses that even comes close to the cost of constructing and maintaining the hous</w:t>
      </w:r>
      <w:r w:rsidRPr="00B00C39">
        <w:t xml:space="preserve">es. The depreciation of these housing assets over time </w:t>
      </w:r>
      <w:r w:rsidRPr="00B00C39">
        <w:rPr>
          <w:rFonts w:eastAsia="Times New Roman"/>
        </w:rPr>
        <w:t xml:space="preserve">due to the absence of a housing market and declining asset conditions </w:t>
      </w:r>
      <w:r w:rsidRPr="00B00C39">
        <w:t>also prevent a viable rate of return.</w:t>
      </w:r>
    </w:p>
    <w:p w:rsidR="00345827" w:rsidRPr="00345827" w:rsidRDefault="00000C1C" w:rsidP="00000C1C">
      <w:pPr>
        <w:rPr>
          <w:color w:val="003468" w:themeColor="text2"/>
          <w:sz w:val="34"/>
          <w:szCs w:val="34"/>
        </w:rPr>
      </w:pPr>
      <w:r w:rsidRPr="00345827">
        <w:t>This lack of financial return has been a barrier to any private sector financing to date. The Review also commissioned Nous Group to investigate the opportunity to attract private investment through social impact investment approaches</w:t>
      </w:r>
      <w:r w:rsidR="00345827" w:rsidRPr="00345827">
        <w:t>.</w:t>
      </w:r>
      <w:r w:rsidR="00345827" w:rsidRPr="00345827">
        <w:rPr>
          <w:rFonts w:cs="Times New Roman"/>
          <w:color w:val="404040" w:themeColor="text1" w:themeTint="BF"/>
          <w:sz w:val="20"/>
          <w:szCs w:val="20"/>
          <w:vertAlign w:val="superscript"/>
        </w:rPr>
        <w:footnoteReference w:id="47"/>
      </w:r>
      <w:r w:rsidR="00345827" w:rsidRPr="00345827">
        <w:t xml:space="preserve"> </w:t>
      </w:r>
    </w:p>
    <w:p w:rsidR="00345827" w:rsidRPr="00345827" w:rsidRDefault="00000C1C" w:rsidP="00042574">
      <w:r w:rsidRPr="00345827">
        <w:t>Social impact investments are investments made with the intention of generating measurable social and/or environmental outcomes in addition to a financial return.</w:t>
      </w:r>
      <w:r w:rsidRPr="00345827">
        <w:rPr>
          <w:rFonts w:cs="Times New Roman"/>
          <w:color w:val="404040" w:themeColor="text1" w:themeTint="BF"/>
          <w:sz w:val="20"/>
          <w:szCs w:val="20"/>
          <w:vertAlign w:val="superscript"/>
        </w:rPr>
        <w:footnoteReference w:id="48"/>
      </w:r>
      <w:r w:rsidRPr="00345827">
        <w:t xml:space="preserve"> Recent major government reviews recommended governments investigate moving towards a social impact investment model for funding some social services</w:t>
      </w:r>
      <w:r w:rsidR="00EB2B43">
        <w:t>.</w:t>
      </w:r>
      <w:r w:rsidR="00345827" w:rsidRPr="00345827">
        <w:rPr>
          <w:rFonts w:cs="Times New Roman"/>
          <w:color w:val="404040" w:themeColor="text1" w:themeTint="BF"/>
          <w:sz w:val="20"/>
          <w:szCs w:val="20"/>
          <w:vertAlign w:val="superscript"/>
        </w:rPr>
        <w:footnoteReference w:id="49"/>
      </w:r>
    </w:p>
    <w:p w:rsidR="00345827" w:rsidRPr="00345827" w:rsidRDefault="00031E10" w:rsidP="00042574">
      <w:r w:rsidRPr="00345827">
        <w:t>When successful, social impact investments can both source capital external to governments to support the particular program and enhance effectiveness and efficiency through a focus on outcomes and private sector governance disciplines</w:t>
      </w:r>
      <w:r w:rsidR="00345827" w:rsidRPr="00345827">
        <w:t xml:space="preserve">. </w:t>
      </w:r>
    </w:p>
    <w:p w:rsidR="00345827" w:rsidRPr="00345827" w:rsidRDefault="00345827" w:rsidP="00211750">
      <w:pPr>
        <w:pStyle w:val="H4"/>
      </w:pPr>
      <w:bookmarkStart w:id="518" w:name="_Toc477178156"/>
      <w:bookmarkStart w:id="519" w:name="_Toc477248793"/>
      <w:bookmarkStart w:id="520" w:name="_Toc477252779"/>
      <w:r w:rsidRPr="00345827">
        <w:t>There are two main classes of social impact investment mechanisms to be explored</w:t>
      </w:r>
      <w:bookmarkEnd w:id="518"/>
      <w:bookmarkEnd w:id="519"/>
      <w:bookmarkEnd w:id="520"/>
      <w:r w:rsidRPr="00345827">
        <w:t xml:space="preserve"> </w:t>
      </w:r>
    </w:p>
    <w:p w:rsidR="00345827" w:rsidRDefault="00345827" w:rsidP="00627AAC">
      <w:pPr>
        <w:pStyle w:val="ListParagraph"/>
        <w:numPr>
          <w:ilvl w:val="0"/>
          <w:numId w:val="28"/>
        </w:numPr>
      </w:pPr>
      <w:r w:rsidRPr="00042574">
        <w:rPr>
          <w:b/>
        </w:rPr>
        <w:t>Social impact bonds</w:t>
      </w:r>
      <w:r w:rsidRPr="00345827">
        <w:t xml:space="preserve"> are a compelling instrument to attract upfront investment and target the achievement of specified social outcomes. Typically, a social impact bond is structured as a partnership between government, investors and service providers. For example, investors provide the upfront payment for a provider to deliver a remote repairs and maintenance service, receiving a repayment of the investment plus returns from government, based upon the achievement of an agreed social outcome such as improved health conditions and reduced health costs of the population serviced. </w:t>
      </w:r>
    </w:p>
    <w:p w:rsidR="00DA2692" w:rsidRPr="00345827" w:rsidRDefault="00DA2692" w:rsidP="00DA2692">
      <w:pPr>
        <w:pStyle w:val="ListParagraph"/>
      </w:pPr>
    </w:p>
    <w:p w:rsidR="00345827" w:rsidRPr="00345827" w:rsidRDefault="00345827" w:rsidP="00627AAC">
      <w:pPr>
        <w:pStyle w:val="ListParagraph"/>
        <w:numPr>
          <w:ilvl w:val="0"/>
          <w:numId w:val="28"/>
        </w:numPr>
      </w:pPr>
      <w:r w:rsidRPr="00345827">
        <w:t xml:space="preserve">The government could stimulate </w:t>
      </w:r>
      <w:r w:rsidRPr="00042574">
        <w:rPr>
          <w:b/>
        </w:rPr>
        <w:t>direct investment</w:t>
      </w:r>
      <w:r w:rsidRPr="00345827">
        <w:t xml:space="preserve"> in a social enterprise for tenancy management or maintenance, increasing the pool of available finance for remote Indigenous housing delivery. The role of government is to establish the appropriate market </w:t>
      </w:r>
      <w:r w:rsidRPr="00345827">
        <w:lastRenderedPageBreak/>
        <w:t>mechanisms, incentives and regulations to enable this investment. Part of this role could include the government acting as the first loss investor in a tiered debt structure to provide external investors with the required risk-return ratio to meet their requirements for investment.</w:t>
      </w:r>
    </w:p>
    <w:p w:rsidR="00345827" w:rsidRPr="00345827" w:rsidRDefault="00345827" w:rsidP="00211750">
      <w:pPr>
        <w:pStyle w:val="H4"/>
        <w:rPr>
          <w:rFonts w:eastAsia="Times New Roman" w:cs="Times New Roman"/>
        </w:rPr>
      </w:pPr>
      <w:bookmarkStart w:id="521" w:name="_Toc477178157"/>
      <w:bookmarkStart w:id="522" w:name="_Toc477248794"/>
      <w:bookmarkStart w:id="523" w:name="_Toc477252780"/>
      <w:r w:rsidRPr="0070040F">
        <w:t>Social</w:t>
      </w:r>
      <w:r w:rsidRPr="00345827">
        <w:t xml:space="preserve"> impact investments will be more successfully trialled in less challenging social housing contexts</w:t>
      </w:r>
      <w:bookmarkEnd w:id="521"/>
      <w:bookmarkEnd w:id="522"/>
      <w:bookmarkEnd w:id="523"/>
      <w:r w:rsidRPr="00345827">
        <w:rPr>
          <w:rFonts w:eastAsia="Times New Roman" w:cs="Times New Roman"/>
        </w:rPr>
        <w:t xml:space="preserve"> </w:t>
      </w:r>
    </w:p>
    <w:p w:rsidR="00345827" w:rsidRPr="00345827" w:rsidRDefault="00345827" w:rsidP="00042574">
      <w:r w:rsidRPr="00345827">
        <w:t xml:space="preserve">Nous Group’s report for the Review concluded these mechanisms would not be a significant contribution to financing in the particular physical, social and economic environment confronting remote housing in Indigenous communities. </w:t>
      </w:r>
    </w:p>
    <w:p w:rsidR="00345827" w:rsidRPr="00345827" w:rsidRDefault="00345827" w:rsidP="00042574">
      <w:r w:rsidRPr="00345827">
        <w:t>The establishment costs are high and the lack of returns still presents a barrier to investment in remote Indigenous housing. There are few providers who service remote areas and these are typically small and with limited capacity for private investors to partner with. Underlying these challenges is an absence of people prepared or able to pay anything like the cost of building quality housing in remote communities and of a market through which those that might</w:t>
      </w:r>
      <w:r w:rsidR="00DA5CA8">
        <w:t>,</w:t>
      </w:r>
      <w:r w:rsidRPr="00345827">
        <w:t xml:space="preserve"> could trade their assets.</w:t>
      </w:r>
    </w:p>
    <w:p w:rsidR="00345827" w:rsidRPr="00345827" w:rsidRDefault="00345827" w:rsidP="00042574">
      <w:r w:rsidRPr="00345827">
        <w:t xml:space="preserve">On the other hand, social impact bonds have a theoretical attraction for how they could be used to target the achievement of specific outcomes. Nous Group provided a conceptual example of using social impact bonds to support parts of the task of housing provision through investment in providers that would deliver maintenance of housing stock. </w:t>
      </w:r>
    </w:p>
    <w:p w:rsidR="00345827" w:rsidRPr="00345827" w:rsidRDefault="00031E10" w:rsidP="00042574">
      <w:r w:rsidRPr="00345827">
        <w:t>For example, such an approach has the potential to ensure houses are maintained at a standard that meets the ‘critical healthy living practices’ set out in the National Indigenous Housing Guide, and at the same time improve health outcomes. Improved housing quality has been linked to reduced hospital separations due to infectious disease and when done well can reduce health costs, at least at the household level</w:t>
      </w:r>
      <w:r w:rsidR="00345827" w:rsidRPr="00345827">
        <w:t>.</w:t>
      </w:r>
      <w:r w:rsidR="00345827" w:rsidRPr="00345827">
        <w:rPr>
          <w:rFonts w:cs="Times New Roman"/>
          <w:color w:val="404040" w:themeColor="text1" w:themeTint="BF"/>
          <w:sz w:val="20"/>
          <w:szCs w:val="20"/>
          <w:vertAlign w:val="superscript"/>
        </w:rPr>
        <w:footnoteReference w:id="50"/>
      </w:r>
    </w:p>
    <w:p w:rsidR="00345827" w:rsidRPr="00345827" w:rsidRDefault="00031E10" w:rsidP="00042574">
      <w:r w:rsidRPr="00345827">
        <w:t>However, the challenge is capturing the benefit t</w:t>
      </w:r>
      <w:r>
        <w:t>hrough a mechanism to retrieve ‘</w:t>
      </w:r>
      <w:r w:rsidRPr="00345827">
        <w:t xml:space="preserve">saved’ expenditure from </w:t>
      </w:r>
      <w:r w:rsidRPr="004E2A87">
        <w:t>a health system that struggles with unmet need. If captured</w:t>
      </w:r>
      <w:r>
        <w:t>,</w:t>
      </w:r>
      <w:r w:rsidRPr="004E2A87">
        <w:t xml:space="preserve"> the savings to the health system could be used to repay investors. The problem is that the savings will be extraordinarily difficult to capture across government (housing and health / Commonwealth and </w:t>
      </w:r>
      <w:r w:rsidR="0004739C">
        <w:t>jurisdiction</w:t>
      </w:r>
      <w:r w:rsidRPr="004E2A87">
        <w:t xml:space="preserve">) silos, especially when there </w:t>
      </w:r>
      <w:r>
        <w:t>is</w:t>
      </w:r>
      <w:r w:rsidRPr="004E2A87">
        <w:t xml:space="preserve"> unlikely to be quantifiable savings with respect to the health care needs of Aboriginal and Torres Strait Islander people from remote Australia</w:t>
      </w:r>
      <w:r w:rsidR="00345827" w:rsidRPr="004E2A87">
        <w:t>.</w:t>
      </w:r>
    </w:p>
    <w:p w:rsidR="00345827" w:rsidRPr="00345827" w:rsidRDefault="00345827" w:rsidP="00042574">
      <w:r w:rsidRPr="00345827">
        <w:t xml:space="preserve">The </w:t>
      </w:r>
      <w:r w:rsidR="00D4068D">
        <w:t>Panel</w:t>
      </w:r>
      <w:r w:rsidRPr="00345827">
        <w:t>’s conclusi</w:t>
      </w:r>
      <w:r w:rsidR="004E2A87">
        <w:t>on, drawing on that of the Nous G</w:t>
      </w:r>
      <w:r w:rsidRPr="00345827">
        <w:t xml:space="preserve">roup report commissioned, is that impact investment financing is indeed worth developing in the social housing area, but that much greater </w:t>
      </w:r>
      <w:r w:rsidRPr="00345827">
        <w:lastRenderedPageBreak/>
        <w:t xml:space="preserve">prospects exist in regional or urban social housing, where there are more aspects of potential market returns present. </w:t>
      </w:r>
    </w:p>
    <w:p w:rsidR="00345827" w:rsidRPr="00345827" w:rsidRDefault="00345827" w:rsidP="00211750">
      <w:pPr>
        <w:pStyle w:val="H4"/>
        <w:rPr>
          <w:rFonts w:eastAsia="Times New Roman" w:cs="Times New Roman"/>
        </w:rPr>
      </w:pPr>
      <w:bookmarkStart w:id="524" w:name="_Toc477178158"/>
      <w:bookmarkStart w:id="525" w:name="_Toc477248795"/>
      <w:bookmarkStart w:id="526" w:name="_Toc477252781"/>
      <w:r w:rsidRPr="00345827">
        <w:t>Social impact investment approaches</w:t>
      </w:r>
      <w:r w:rsidR="001C2627">
        <w:t>,</w:t>
      </w:r>
      <w:r w:rsidRPr="00345827">
        <w:t xml:space="preserve"> even over the longer-term</w:t>
      </w:r>
      <w:r w:rsidR="001C2627">
        <w:t>,</w:t>
      </w:r>
      <w:r w:rsidRPr="00345827">
        <w:t xml:space="preserve"> will not remove the need for government funding</w:t>
      </w:r>
      <w:bookmarkEnd w:id="524"/>
      <w:bookmarkEnd w:id="525"/>
      <w:bookmarkEnd w:id="526"/>
      <w:r w:rsidRPr="00345827">
        <w:rPr>
          <w:rFonts w:eastAsia="Times New Roman" w:cs="Times New Roman"/>
        </w:rPr>
        <w:t xml:space="preserve"> </w:t>
      </w:r>
    </w:p>
    <w:p w:rsidR="00345827" w:rsidRPr="00345827" w:rsidRDefault="00345827" w:rsidP="00042574">
      <w:r w:rsidRPr="00345827">
        <w:t xml:space="preserve">Social impact investment will still require government funding to incentivise the private sector and overcome the high risks and lack of return in remote housing. More importantly, social impact investment will not replace the core role of governments in service delivery and the commissioning and funding of services. What social impact investing can do is shift the capital at risk to the private sector for poor delivery outcomes, but with this will be a need for a higher return when outcomes are achieved. </w:t>
      </w:r>
    </w:p>
    <w:p w:rsidR="00345827" w:rsidRPr="00345827" w:rsidRDefault="00345827" w:rsidP="00042574">
      <w:r w:rsidRPr="00345827">
        <w:t xml:space="preserve">Social impact investing is in its infancy. The analysis by Nous Group concluded impact investment is an attractive and positive vehicle for diversifying investment </w:t>
      </w:r>
      <w:r w:rsidR="00DA2692">
        <w:t xml:space="preserve">and should be tested </w:t>
      </w:r>
      <w:r w:rsidRPr="00345827">
        <w:t>in social housing in u</w:t>
      </w:r>
      <w:r w:rsidR="00DA2692">
        <w:t xml:space="preserve">rban and regional city markets </w:t>
      </w:r>
      <w:r w:rsidRPr="00345827">
        <w:t xml:space="preserve">before it </w:t>
      </w:r>
      <w:r w:rsidR="00DA2692">
        <w:t>can reasonably be expected to</w:t>
      </w:r>
      <w:r w:rsidRPr="00345827">
        <w:t xml:space="preserve"> make a difference in remote Indigenous communities. The Panel agrees that before these public-private financing models could be considered in the challenging remote housing context, they need to be first trialled in more favourable</w:t>
      </w:r>
      <w:r w:rsidRPr="00345827" w:rsidDel="001C5B6C">
        <w:t xml:space="preserve"> </w:t>
      </w:r>
      <w:r w:rsidRPr="00345827" w:rsidDel="00CA017E">
        <w:t>markets</w:t>
      </w:r>
      <w:r w:rsidRPr="00345827">
        <w:t xml:space="preserve">. </w:t>
      </w:r>
    </w:p>
    <w:p w:rsidR="00345827" w:rsidRPr="00345827" w:rsidRDefault="00345827" w:rsidP="00211750">
      <w:pPr>
        <w:pStyle w:val="H3"/>
      </w:pPr>
      <w:bookmarkStart w:id="527" w:name="_Toc477178159"/>
      <w:bookmarkStart w:id="528" w:name="_Toc477248796"/>
      <w:bookmarkStart w:id="529" w:name="_Toc477252782"/>
      <w:bookmarkStart w:id="530" w:name="_Toc490218737"/>
      <w:r w:rsidRPr="00345827">
        <w:t>Key Findings</w:t>
      </w:r>
      <w:bookmarkEnd w:id="527"/>
      <w:bookmarkEnd w:id="528"/>
      <w:bookmarkEnd w:id="529"/>
      <w:bookmarkEnd w:id="530"/>
    </w:p>
    <w:p w:rsidR="00345827" w:rsidRPr="00345827" w:rsidRDefault="00345827" w:rsidP="00A25802">
      <w:pPr>
        <w:rPr>
          <w:b/>
        </w:rPr>
      </w:pPr>
      <w:r w:rsidRPr="00345827">
        <w:rPr>
          <w:b/>
        </w:rPr>
        <w:t>Continued investment by governments will be required beyond 2018, at least in the maintenance of existing tenancies, where there are limited opportunities to recover costs through rent or other charges.</w:t>
      </w:r>
    </w:p>
    <w:p w:rsidR="00345827" w:rsidRPr="00345827" w:rsidRDefault="00345827" w:rsidP="00A25802">
      <w:pPr>
        <w:rPr>
          <w:b/>
        </w:rPr>
      </w:pPr>
      <w:r w:rsidRPr="00345827">
        <w:rPr>
          <w:b/>
        </w:rPr>
        <w:t xml:space="preserve">Governments should work together to set a target for reducing the </w:t>
      </w:r>
      <w:r w:rsidR="00E775D4">
        <w:rPr>
          <w:b/>
        </w:rPr>
        <w:t xml:space="preserve">minimum </w:t>
      </w:r>
      <w:r w:rsidRPr="00345827">
        <w:rPr>
          <w:b/>
        </w:rPr>
        <w:t xml:space="preserve">cost of taxpayer subsidy </w:t>
      </w:r>
      <w:r w:rsidR="00E775D4">
        <w:rPr>
          <w:b/>
        </w:rPr>
        <w:t xml:space="preserve">for </w:t>
      </w:r>
      <w:r w:rsidRPr="00345827">
        <w:rPr>
          <w:b/>
        </w:rPr>
        <w:t>the operational expense of running social housing in remote Indigenous communities.</w:t>
      </w:r>
    </w:p>
    <w:p w:rsidR="00345827" w:rsidRPr="00345827" w:rsidRDefault="00345827" w:rsidP="00A25802">
      <w:pPr>
        <w:rPr>
          <w:b/>
        </w:rPr>
      </w:pPr>
      <w:r w:rsidRPr="00345827">
        <w:rPr>
          <w:b/>
        </w:rPr>
        <w:t xml:space="preserve">High costs prohibit financial returns and mean funding is required for a remote housing program to be sustainable, even with improvements to </w:t>
      </w:r>
      <w:r w:rsidR="00EB680F">
        <w:rPr>
          <w:b/>
        </w:rPr>
        <w:t>PTM</w:t>
      </w:r>
      <w:r w:rsidRPr="00345827">
        <w:rPr>
          <w:b/>
        </w:rPr>
        <w:t>.</w:t>
      </w:r>
    </w:p>
    <w:p w:rsidR="00345827" w:rsidRPr="00345827" w:rsidRDefault="00345827" w:rsidP="00A25802">
      <w:pPr>
        <w:rPr>
          <w:b/>
        </w:rPr>
      </w:pPr>
      <w:r w:rsidRPr="00345827">
        <w:rPr>
          <w:b/>
        </w:rPr>
        <w:t>Government funding could be used to develop impact investment financing models, but this needs further exploration and trialling in less unfavourable mark</w:t>
      </w:r>
      <w:r w:rsidR="00DA2692">
        <w:rPr>
          <w:b/>
        </w:rPr>
        <w:t>ets, before it would be sensibly trialled</w:t>
      </w:r>
      <w:r w:rsidRPr="00345827">
        <w:rPr>
          <w:b/>
        </w:rPr>
        <w:t xml:space="preserve"> in a remote context.</w:t>
      </w:r>
    </w:p>
    <w:p w:rsidR="008B2FDF" w:rsidRDefault="008B2FDF">
      <w:r>
        <w:br w:type="page"/>
      </w:r>
    </w:p>
    <w:p w:rsidR="008B2FDF" w:rsidRPr="008B2FDF" w:rsidRDefault="008B2FDF" w:rsidP="00211750">
      <w:pPr>
        <w:pStyle w:val="H2"/>
      </w:pPr>
      <w:bookmarkStart w:id="531" w:name="_Toc477178160"/>
      <w:bookmarkStart w:id="532" w:name="_Toc477248797"/>
      <w:bookmarkStart w:id="533" w:name="_Toc477252783"/>
      <w:bookmarkStart w:id="534" w:name="_Toc490218738"/>
      <w:r w:rsidRPr="008B2FDF">
        <w:lastRenderedPageBreak/>
        <w:t>Future Directions – Panel recommendations</w:t>
      </w:r>
      <w:bookmarkEnd w:id="531"/>
      <w:bookmarkEnd w:id="532"/>
      <w:bookmarkEnd w:id="533"/>
      <w:bookmarkEnd w:id="534"/>
    </w:p>
    <w:p w:rsidR="008B2FDF" w:rsidRPr="008B2FDF" w:rsidRDefault="008B2FDF" w:rsidP="00042574">
      <w:r w:rsidRPr="008B2FDF">
        <w:t>The Strategy has made a significant difference to the lives of many families in remote</w:t>
      </w:r>
      <w:r w:rsidR="00031E10">
        <w:t xml:space="preserve"> Indigenous communities. A long-</w:t>
      </w:r>
      <w:r w:rsidRPr="008B2FDF">
        <w:t xml:space="preserve">term investment in remote Indigenous housing is needed for additional houses and to maintain existing stock. </w:t>
      </w:r>
    </w:p>
    <w:p w:rsidR="008B2FDF" w:rsidRPr="008B2FDF" w:rsidRDefault="008B2FDF" w:rsidP="00042574">
      <w:r w:rsidRPr="008B2FDF">
        <w:t xml:space="preserve">Our recommendations build on the lessons learned from the Strategy and previous investment. </w:t>
      </w:r>
    </w:p>
    <w:p w:rsidR="008B2FDF" w:rsidRPr="0070040F" w:rsidRDefault="008B2FDF" w:rsidP="00211750">
      <w:pPr>
        <w:pStyle w:val="H3"/>
        <w:numPr>
          <w:ilvl w:val="0"/>
          <w:numId w:val="0"/>
        </w:numPr>
      </w:pPr>
      <w:bookmarkStart w:id="535" w:name="_Toc477178161"/>
      <w:bookmarkStart w:id="536" w:name="_Toc477248798"/>
      <w:bookmarkStart w:id="537" w:name="_Toc477252784"/>
      <w:bookmarkStart w:id="538" w:name="_Toc490218739"/>
      <w:bookmarkStart w:id="539" w:name="_Toc476645417"/>
      <w:bookmarkStart w:id="540" w:name="_Toc476644194"/>
      <w:bookmarkStart w:id="541" w:name="_Toc476650887"/>
      <w:bookmarkStart w:id="542" w:name="_Toc476658547"/>
      <w:bookmarkStart w:id="543" w:name="_Toc476658935"/>
      <w:bookmarkStart w:id="544" w:name="_Toc476659250"/>
      <w:bookmarkStart w:id="545" w:name="_Toc476661056"/>
      <w:bookmarkStart w:id="546" w:name="_Toc476663452"/>
      <w:bookmarkStart w:id="547" w:name="_Toc476669894"/>
      <w:bookmarkStart w:id="548" w:name="_Toc476665909"/>
      <w:bookmarkStart w:id="549" w:name="_Toc476671384"/>
      <w:bookmarkStart w:id="550" w:name="_Toc476676542"/>
      <w:bookmarkStart w:id="551" w:name="_Toc476677824"/>
      <w:bookmarkStart w:id="552" w:name="_Toc476678258"/>
      <w:r w:rsidRPr="0070040F">
        <w:t>Recommendation: A recurrent program must be funded to maintain existing houses, preserve functionality and increase the life of housing assets</w:t>
      </w:r>
      <w:bookmarkEnd w:id="535"/>
      <w:bookmarkEnd w:id="536"/>
      <w:bookmarkEnd w:id="537"/>
      <w:bookmarkEnd w:id="538"/>
    </w:p>
    <w:p w:rsidR="008B2FDF" w:rsidRPr="008B2FDF" w:rsidRDefault="008B2FDF" w:rsidP="00042574">
      <w:bookmarkStart w:id="553" w:name="_Toc475996309"/>
      <w:bookmarkStart w:id="554" w:name="_Toc475991828"/>
      <w:bookmarkStart w:id="555" w:name="_Toc475991588"/>
      <w:bookmarkStart w:id="556" w:name="_Toc47580411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8B2FDF">
        <w:t xml:space="preserve">Houses that are not well-maintained fall out of commission quickly and do not provide their basic function of supporting the health and wellbeing of tenants. While overcrowding is present, the need for maintenance is even greater. </w:t>
      </w:r>
    </w:p>
    <w:p w:rsidR="008B2FDF" w:rsidRPr="008B2FDF" w:rsidRDefault="008B2FDF" w:rsidP="00042574">
      <w:r w:rsidRPr="008B2FDF">
        <w:t>Future funding is needed from government</w:t>
      </w:r>
      <w:r w:rsidR="000E799E">
        <w:t>s</w:t>
      </w:r>
      <w:r w:rsidRPr="008B2FDF">
        <w:t xml:space="preserve"> </w:t>
      </w:r>
      <w:r w:rsidR="006A1FAB">
        <w:t>as the costs of housing cannot be covered by rental income or other forms of investment due to market factors</w:t>
      </w:r>
      <w:r w:rsidRPr="008B2FDF">
        <w:t xml:space="preserve">. </w:t>
      </w:r>
      <w:r w:rsidR="00EE5BF4">
        <w:t xml:space="preserve">Governments should work together to set a target for reducing the taxpayer subsidy for running social housing in remote Indigenous communities. </w:t>
      </w:r>
    </w:p>
    <w:p w:rsidR="00FC75EC" w:rsidRDefault="008B2FDF" w:rsidP="00042574">
      <w:r w:rsidRPr="008B2FDF">
        <w:t xml:space="preserve">Ongoing funding, at least to maintain housing created, will protect </w:t>
      </w:r>
      <w:r w:rsidR="00824ED7">
        <w:t>the</w:t>
      </w:r>
      <w:r w:rsidR="00824ED7" w:rsidRPr="008B2FDF">
        <w:t xml:space="preserve"> </w:t>
      </w:r>
      <w:r w:rsidRPr="008B2FDF">
        <w:t>$5.4 billion investment already made under the Strategy.</w:t>
      </w:r>
      <w:r w:rsidR="00FC75EC">
        <w:t xml:space="preserve"> Without this funding, the Panel is confident houses will quickly fall out of commission</w:t>
      </w:r>
      <w:r w:rsidR="00FB5DD6">
        <w:t xml:space="preserve">, wasting the Strategy’s progress. </w:t>
      </w:r>
      <w:r w:rsidR="00FC75EC">
        <w:t xml:space="preserve"> </w:t>
      </w:r>
    </w:p>
    <w:p w:rsidR="008B2FDF" w:rsidRPr="008B2FDF" w:rsidRDefault="00FC75EC" w:rsidP="00042574">
      <w:r>
        <w:t xml:space="preserve">To avoid creating two classes of housing in communities, a </w:t>
      </w:r>
      <w:r w:rsidR="005D498E">
        <w:t xml:space="preserve">future agreement </w:t>
      </w:r>
      <w:r w:rsidR="00C36B60">
        <w:t>should include</w:t>
      </w:r>
      <w:r w:rsidR="005D498E">
        <w:t xml:space="preserve"> </w:t>
      </w:r>
      <w:r w:rsidR="00C36B60">
        <w:t xml:space="preserve">repairs and maintenance of all </w:t>
      </w:r>
      <w:r>
        <w:t xml:space="preserve">dwellings in </w:t>
      </w:r>
      <w:r w:rsidR="00C36B60">
        <w:t xml:space="preserve">remote Indigenous </w:t>
      </w:r>
      <w:r>
        <w:t>communities</w:t>
      </w:r>
      <w:r w:rsidR="005D498E">
        <w:t xml:space="preserve">, not just those built </w:t>
      </w:r>
      <w:r>
        <w:t xml:space="preserve">or refurbished </w:t>
      </w:r>
      <w:r w:rsidR="005D498E">
        <w:t xml:space="preserve">under </w:t>
      </w:r>
      <w:r>
        <w:t>t</w:t>
      </w:r>
      <w:r w:rsidR="005D498E">
        <w:t>he Strategy.</w:t>
      </w:r>
    </w:p>
    <w:p w:rsidR="008B2FDF" w:rsidRPr="008B2FDF" w:rsidRDefault="008B2FDF" w:rsidP="00211750">
      <w:pPr>
        <w:pStyle w:val="H3"/>
        <w:numPr>
          <w:ilvl w:val="0"/>
          <w:numId w:val="0"/>
        </w:numPr>
      </w:pPr>
      <w:bookmarkStart w:id="557" w:name="_Toc477178162"/>
      <w:bookmarkStart w:id="558" w:name="_Toc477248799"/>
      <w:bookmarkStart w:id="559" w:name="_Toc477252785"/>
      <w:bookmarkStart w:id="560" w:name="_Toc490218740"/>
      <w:bookmarkEnd w:id="553"/>
      <w:bookmarkEnd w:id="554"/>
      <w:bookmarkEnd w:id="555"/>
      <w:bookmarkEnd w:id="556"/>
      <w:r w:rsidRPr="008B2FDF">
        <w:t xml:space="preserve">Recommendation: Investment for an additional 5,500 houses by 2028 </w:t>
      </w:r>
      <w:r w:rsidR="00DA2692">
        <w:t xml:space="preserve">is </w:t>
      </w:r>
      <w:r w:rsidRPr="008B2FDF">
        <w:t>needed to contin</w:t>
      </w:r>
      <w:r w:rsidR="007C29A0">
        <w:t xml:space="preserve">ue efforts </w:t>
      </w:r>
      <w:r w:rsidR="00B60CF9">
        <w:t>on Closing</w:t>
      </w:r>
      <w:r w:rsidR="007C29A0">
        <w:t xml:space="preserve"> the Gap on I</w:t>
      </w:r>
      <w:r w:rsidRPr="008B2FDF">
        <w:t xml:space="preserve">ndigenous </w:t>
      </w:r>
      <w:r w:rsidR="001C2627">
        <w:t>D</w:t>
      </w:r>
      <w:r w:rsidRPr="008B2FDF">
        <w:t>isadvantage</w:t>
      </w:r>
      <w:bookmarkEnd w:id="557"/>
      <w:bookmarkEnd w:id="558"/>
      <w:bookmarkEnd w:id="559"/>
      <w:bookmarkEnd w:id="560"/>
    </w:p>
    <w:p w:rsidR="008B2FDF" w:rsidRPr="008B2FDF" w:rsidRDefault="008B2FDF" w:rsidP="00042574">
      <w:r w:rsidRPr="008B2FDF">
        <w:t xml:space="preserve">The investment under </w:t>
      </w:r>
      <w:r w:rsidR="005D7085">
        <w:t>the Strategy</w:t>
      </w:r>
      <w:r w:rsidRPr="008B2FDF">
        <w:t xml:space="preserve"> has improved the life outcomes of many Aboriginal and Torres Strait Islander families, but problematic overcrowding still exists and the population is growing.</w:t>
      </w:r>
    </w:p>
    <w:p w:rsidR="008B2FDF" w:rsidRPr="008B2FDF" w:rsidRDefault="008B2FDF" w:rsidP="00042574">
      <w:r w:rsidRPr="008B2FDF">
        <w:t>An additional 5,500 dwellings are needed, to address current levels and the potential for a return to higher overcrowding levels due to population growth if efforts are not maintained.</w:t>
      </w:r>
    </w:p>
    <w:p w:rsidR="008B2FDF" w:rsidRPr="008B2FDF" w:rsidRDefault="008B2FDF" w:rsidP="00042574">
      <w:r w:rsidRPr="008B2FDF">
        <w:lastRenderedPageBreak/>
        <w:t xml:space="preserve">An additional 5,500 dwellings are projected to further reduce </w:t>
      </w:r>
      <w:r w:rsidR="00EB680F">
        <w:t>overcrowding to a level of 25-30 per </w:t>
      </w:r>
      <w:r w:rsidRPr="008B2FDF">
        <w:t>cent by 2028 and as such will continue to support efforts for Aboriginal and Torres Strait Islander people and Closing the Gap</w:t>
      </w:r>
      <w:r w:rsidR="001152C6">
        <w:t>.</w:t>
      </w:r>
    </w:p>
    <w:p w:rsidR="008B2FDF" w:rsidRPr="008B2FDF" w:rsidRDefault="008B2FDF" w:rsidP="00211750">
      <w:pPr>
        <w:pStyle w:val="H3"/>
        <w:numPr>
          <w:ilvl w:val="0"/>
          <w:numId w:val="0"/>
        </w:numPr>
      </w:pPr>
      <w:bookmarkStart w:id="561" w:name="_Toc477178163"/>
      <w:bookmarkStart w:id="562" w:name="_Toc477248800"/>
      <w:bookmarkStart w:id="563" w:name="_Toc477252786"/>
      <w:bookmarkStart w:id="564" w:name="_Toc490218741"/>
      <w:r w:rsidRPr="008B2FDF">
        <w:t xml:space="preserve">Recommendation: The costs of a remote Indigenous housing program should be shared 50:50 between the Commonwealth and the </w:t>
      </w:r>
      <w:r w:rsidR="0004739C">
        <w:t>jurisdiction</w:t>
      </w:r>
      <w:r w:rsidRPr="008B2FDF">
        <w:t>s</w:t>
      </w:r>
      <w:bookmarkEnd w:id="561"/>
      <w:bookmarkEnd w:id="562"/>
      <w:bookmarkEnd w:id="563"/>
      <w:bookmarkEnd w:id="564"/>
    </w:p>
    <w:p w:rsidR="008B2FDF" w:rsidRPr="008B2FDF" w:rsidRDefault="008B2FDF" w:rsidP="00042574">
      <w:r w:rsidRPr="008B2FDF">
        <w:t xml:space="preserve">Under </w:t>
      </w:r>
      <w:r w:rsidR="005D7085">
        <w:t>the Strategy</w:t>
      </w:r>
      <w:r w:rsidRPr="008B2FDF">
        <w:t xml:space="preserve"> the Commonwealth was the sole funder of the program which meant </w:t>
      </w:r>
      <w:r w:rsidR="0004739C">
        <w:t>jurisdiction</w:t>
      </w:r>
      <w:r w:rsidRPr="008B2FDF">
        <w:t>s lacked skin in the game and the Commonwealth reacted to protect its interest by introducing a series of processes that had unintended consequences.</w:t>
      </w:r>
    </w:p>
    <w:p w:rsidR="008B2FDF" w:rsidRPr="008B2FDF" w:rsidRDefault="008B2FDF" w:rsidP="00042574">
      <w:r w:rsidRPr="008B2FDF">
        <w:t xml:space="preserve">A genuine financial partnership between the Commonwealth and </w:t>
      </w:r>
      <w:r w:rsidR="0004739C">
        <w:t>jurisdiction</w:t>
      </w:r>
      <w:r w:rsidRPr="008B2FDF">
        <w:t>s would focus the attention of both levels of government to the delivery of outcomes, not outputs. Shared responsibility for funding would establish a partnership that works toward shared goals.</w:t>
      </w:r>
    </w:p>
    <w:p w:rsidR="008B2FDF" w:rsidRPr="008B2FDF" w:rsidRDefault="008B2FDF" w:rsidP="00042574">
      <w:r w:rsidRPr="008B2FDF">
        <w:t xml:space="preserve">If responsibility for funding is shared, then both levels of government have incentives to run an efficient program. </w:t>
      </w:r>
    </w:p>
    <w:p w:rsidR="008B2FDF" w:rsidRPr="008B2FDF" w:rsidRDefault="008B2FDF" w:rsidP="00211750">
      <w:pPr>
        <w:pStyle w:val="H3"/>
        <w:numPr>
          <w:ilvl w:val="0"/>
          <w:numId w:val="0"/>
        </w:numPr>
      </w:pPr>
      <w:bookmarkStart w:id="565" w:name="_Toc477178164"/>
      <w:bookmarkStart w:id="566" w:name="_Toc477248801"/>
      <w:bookmarkStart w:id="567" w:name="_Toc477252787"/>
      <w:bookmarkStart w:id="568" w:name="_Toc490218742"/>
      <w:bookmarkStart w:id="569" w:name="_Toc475996313"/>
      <w:bookmarkStart w:id="570" w:name="_Toc475991832"/>
      <w:bookmarkStart w:id="571" w:name="_Toc475991592"/>
      <w:bookmarkStart w:id="572" w:name="_Toc475804122"/>
      <w:r w:rsidRPr="008B2FDF">
        <w:t>Recommendation: Establish a regional governance structure to facilitate better administration of the program</w:t>
      </w:r>
      <w:bookmarkEnd w:id="565"/>
      <w:bookmarkEnd w:id="566"/>
      <w:bookmarkEnd w:id="567"/>
      <w:bookmarkEnd w:id="568"/>
    </w:p>
    <w:bookmarkEnd w:id="569"/>
    <w:bookmarkEnd w:id="570"/>
    <w:bookmarkEnd w:id="571"/>
    <w:bookmarkEnd w:id="572"/>
    <w:p w:rsidR="008B2FDF" w:rsidRPr="008B2FDF" w:rsidRDefault="008B2FDF" w:rsidP="00042574">
      <w:r w:rsidRPr="008B2FDF">
        <w:t xml:space="preserve">Commonwealth and </w:t>
      </w:r>
      <w:r w:rsidR="0004739C">
        <w:t>jurisdiction</w:t>
      </w:r>
      <w:r w:rsidRPr="008B2FDF">
        <w:t xml:space="preserve"> governments need a way of working with each other and with communities that facilitates management of an inherently complex program. All parties should be able to contribute information and perspective to help guide sound decision making. </w:t>
      </w:r>
    </w:p>
    <w:p w:rsidR="008B2FDF" w:rsidRPr="008B2FDF" w:rsidRDefault="008B2FDF" w:rsidP="00042574">
      <w:r w:rsidRPr="008B2FDF">
        <w:t xml:space="preserve">A regional governance framework would facilitate more effective collaboration between Commonwealth, </w:t>
      </w:r>
      <w:r w:rsidR="0004739C">
        <w:t>jurisdiction</w:t>
      </w:r>
      <w:r w:rsidRPr="008B2FDF">
        <w:t xml:space="preserve"> and local governments, and communities. It would have the added benefit of bringing planning and decision making closer to the ground and would create a more responsive program. In addition, communities that can organise themselves will have a formal mechanism for input. </w:t>
      </w:r>
    </w:p>
    <w:p w:rsidR="0070040F" w:rsidRDefault="008B2FDF" w:rsidP="00042574">
      <w:r w:rsidRPr="008B2FDF">
        <w:t xml:space="preserve">Bringing local government into the governance structure means the community and region would have a greater stake in the success of the program. </w:t>
      </w:r>
    </w:p>
    <w:p w:rsidR="008B2FDF" w:rsidRPr="008B2FDF" w:rsidRDefault="0070040F" w:rsidP="00042574">
      <w:r>
        <w:br w:type="page"/>
      </w:r>
    </w:p>
    <w:p w:rsidR="008B2FDF" w:rsidRPr="008B2FDF" w:rsidRDefault="008B2FDF" w:rsidP="00211750">
      <w:pPr>
        <w:pStyle w:val="H3"/>
        <w:numPr>
          <w:ilvl w:val="0"/>
          <w:numId w:val="0"/>
        </w:numPr>
      </w:pPr>
      <w:bookmarkStart w:id="573" w:name="_Toc477178165"/>
      <w:bookmarkStart w:id="574" w:name="_Toc477248802"/>
      <w:bookmarkStart w:id="575" w:name="_Toc477252788"/>
      <w:bookmarkStart w:id="576" w:name="_Toc490218743"/>
      <w:r w:rsidRPr="008B2FDF">
        <w:lastRenderedPageBreak/>
        <w:t>Recommendation</w:t>
      </w:r>
      <w:r w:rsidRPr="00042574">
        <w:t xml:space="preserve">: </w:t>
      </w:r>
      <w:r w:rsidRPr="008B2FDF">
        <w:t>A higher level of transparency is required: a sound performance framework and information processes that are relevant to individuals and communities, and derivative of the information that is needed for regional governance of the program</w:t>
      </w:r>
      <w:bookmarkEnd w:id="573"/>
      <w:bookmarkEnd w:id="574"/>
      <w:bookmarkEnd w:id="575"/>
      <w:bookmarkEnd w:id="576"/>
      <w:r w:rsidRPr="008B2FDF">
        <w:t xml:space="preserve"> </w:t>
      </w:r>
    </w:p>
    <w:p w:rsidR="008B2FDF" w:rsidRPr="008B2FDF" w:rsidRDefault="008B2FDF" w:rsidP="0070040F">
      <w:pPr>
        <w:keepNext/>
      </w:pPr>
      <w:r w:rsidRPr="008B2FDF">
        <w:t xml:space="preserve">One of the key failures of </w:t>
      </w:r>
      <w:r w:rsidR="005D7085">
        <w:t>the Strategy</w:t>
      </w:r>
      <w:r w:rsidRPr="008B2FDF">
        <w:t xml:space="preserve"> was its information collection. </w:t>
      </w:r>
    </w:p>
    <w:p w:rsidR="008B2FDF" w:rsidRPr="008B2FDF" w:rsidRDefault="008B2FDF" w:rsidP="0070040F">
      <w:pPr>
        <w:keepNext/>
      </w:pPr>
      <w:r w:rsidRPr="008B2FDF">
        <w:t xml:space="preserve">Improved transparency would foster mutual responsibility for all parties to identify problems and share solutions. It is important the reasons for decisions are known and all parties are incentivised to find innovative solutions to local problems. </w:t>
      </w:r>
    </w:p>
    <w:p w:rsidR="008B2FDF" w:rsidRPr="008B2FDF" w:rsidRDefault="008B2FDF" w:rsidP="0070040F">
      <w:pPr>
        <w:keepNext/>
      </w:pPr>
      <w:r w:rsidRPr="008B2FDF">
        <w:t xml:space="preserve">By focusing on collecting data that is needed for decision making to serve overarching policy, performance indicators for the program as a whole can be developed that have real meaning in terms of the achievement of better and sustained housing amenity for Aboriginal and Torres Strait Islander people living in remote Australia. </w:t>
      </w:r>
    </w:p>
    <w:p w:rsidR="00EE5BF4" w:rsidRDefault="00EE5BF4" w:rsidP="00211750">
      <w:pPr>
        <w:pStyle w:val="H3"/>
        <w:numPr>
          <w:ilvl w:val="0"/>
          <w:numId w:val="0"/>
        </w:numPr>
      </w:pPr>
      <w:bookmarkStart w:id="577" w:name="_Toc490218744"/>
      <w:bookmarkStart w:id="578" w:name="_Toc477178166"/>
      <w:bookmarkStart w:id="579" w:name="_Toc477248803"/>
      <w:bookmarkStart w:id="580" w:name="_Toc477252789"/>
      <w:r>
        <w:t xml:space="preserve">Recommendation: Best practice fora should be established to share information across the Commonwealth, </w:t>
      </w:r>
      <w:r w:rsidR="0004739C">
        <w:t>jurisdiction</w:t>
      </w:r>
      <w:r>
        <w:t>s, regional governance bodies and service providers</w:t>
      </w:r>
      <w:bookmarkEnd w:id="577"/>
    </w:p>
    <w:p w:rsidR="00EE5BF4" w:rsidRDefault="00EE5BF4" w:rsidP="00EE5BF4">
      <w:r>
        <w:t xml:space="preserve">To improve housing delivery, best practice, challenges and experience need to be shared. Multilateral </w:t>
      </w:r>
      <w:r w:rsidR="00E16A72">
        <w:t>fora</w:t>
      </w:r>
      <w:r>
        <w:t xml:space="preserve"> between the Commonwealth and </w:t>
      </w:r>
      <w:r w:rsidR="0004739C">
        <w:t>jurisdiction</w:t>
      </w:r>
      <w:r>
        <w:t xml:space="preserve">s to share experiences are important. There should also </w:t>
      </w:r>
      <w:r w:rsidR="00CC0144">
        <w:t>be opportunities</w:t>
      </w:r>
      <w:r>
        <w:t xml:space="preserve"> for regional governance bodies, service providers and community leaders to share their learnings.</w:t>
      </w:r>
    </w:p>
    <w:p w:rsidR="00EE5BF4" w:rsidRDefault="00EE5BF4" w:rsidP="00EE5BF4">
      <w:r>
        <w:t xml:space="preserve">Best practice </w:t>
      </w:r>
      <w:r w:rsidR="00CC0144" w:rsidRPr="000D25D2">
        <w:t>fora</w:t>
      </w:r>
      <w:r w:rsidR="00CC0144">
        <w:t xml:space="preserve"> should consider housing experiences outside communities and </w:t>
      </w:r>
      <w:r w:rsidR="0004739C">
        <w:t>jurisdiction</w:t>
      </w:r>
      <w:r w:rsidR="00CC0144">
        <w:t xml:space="preserve">s funded by the Strategy. Other </w:t>
      </w:r>
      <w:r w:rsidR="0004739C">
        <w:t>jurisdiction</w:t>
      </w:r>
      <w:r w:rsidR="00CC0144">
        <w:t>s</w:t>
      </w:r>
      <w:r w:rsidR="00EB680F">
        <w:t>,</w:t>
      </w:r>
      <w:r w:rsidR="00CC0144">
        <w:t xml:space="preserve"> and urban and regional housing providers should be included in broader discussions for best practice in social and Indigenous housing. </w:t>
      </w:r>
    </w:p>
    <w:p w:rsidR="008B2FDF" w:rsidRPr="008B2FDF" w:rsidRDefault="008B2FDF" w:rsidP="00211750">
      <w:pPr>
        <w:pStyle w:val="H3"/>
        <w:numPr>
          <w:ilvl w:val="0"/>
          <w:numId w:val="0"/>
        </w:numPr>
      </w:pPr>
      <w:bookmarkStart w:id="581" w:name="_Toc490218745"/>
      <w:r w:rsidRPr="008B2FDF">
        <w:t>Recommendation: A minimum five year rolling plan for the program should be established</w:t>
      </w:r>
      <w:bookmarkEnd w:id="578"/>
      <w:bookmarkEnd w:id="579"/>
      <w:bookmarkEnd w:id="580"/>
      <w:bookmarkEnd w:id="581"/>
    </w:p>
    <w:p w:rsidR="008B2FDF" w:rsidRPr="008B2FDF" w:rsidRDefault="008B2FDF" w:rsidP="00042574">
      <w:r w:rsidRPr="008B2FDF">
        <w:t xml:space="preserve">The two year timeframes introduced as part of the competitive bids were too short for proper planning and undermined the effectiveness and efficiency of </w:t>
      </w:r>
      <w:r w:rsidR="0004739C">
        <w:t>jurisdiction</w:t>
      </w:r>
      <w:r w:rsidRPr="008B2FDF">
        <w:t>s</w:t>
      </w:r>
      <w:r w:rsidR="005465FF">
        <w:t>’</w:t>
      </w:r>
      <w:r w:rsidRPr="008B2FDF">
        <w:t xml:space="preserve"> efforts to deliver the Strategy particularly for housing construction.</w:t>
      </w:r>
    </w:p>
    <w:p w:rsidR="008B2FDF" w:rsidRPr="008B2FDF" w:rsidRDefault="008B2FDF" w:rsidP="00042574">
      <w:r w:rsidRPr="008B2FDF">
        <w:t xml:space="preserve">A minimum </w:t>
      </w:r>
      <w:r w:rsidR="00EB680F">
        <w:t>five</w:t>
      </w:r>
      <w:r w:rsidRPr="008B2FDF">
        <w:t xml:space="preserve"> year rolling plan for the program should be established with proper mechanisms for performance management and information systems as outlined in the previous recommendation</w:t>
      </w:r>
      <w:r w:rsidR="00EB680F">
        <w:t>s</w:t>
      </w:r>
      <w:r w:rsidR="001152C6">
        <w:t>.</w:t>
      </w:r>
    </w:p>
    <w:p w:rsidR="008B2FDF" w:rsidRPr="008B2FDF" w:rsidRDefault="008B2FDF" w:rsidP="00042574">
      <w:r w:rsidRPr="008B2FDF">
        <w:lastRenderedPageBreak/>
        <w:t>A program that retains the intended long planning cycles in practice would enable better decision making and flexibility to respond to local conditions, incentivise investment in better systems, improve coordination between service providers and administrators, achieve economies of scale</w:t>
      </w:r>
      <w:r w:rsidR="00EB680F">
        <w:t>,</w:t>
      </w:r>
      <w:r w:rsidRPr="008B2FDF">
        <w:t xml:space="preserve"> and support the development of additional capacity and training of local workforces and businesses. </w:t>
      </w:r>
    </w:p>
    <w:p w:rsidR="008B2FDF" w:rsidRPr="008B2FDF" w:rsidRDefault="008B2FDF" w:rsidP="00211750">
      <w:pPr>
        <w:pStyle w:val="H3"/>
        <w:numPr>
          <w:ilvl w:val="0"/>
          <w:numId w:val="0"/>
        </w:numPr>
      </w:pPr>
      <w:bookmarkStart w:id="582" w:name="_Toc477178167"/>
      <w:bookmarkStart w:id="583" w:name="_Toc477248804"/>
      <w:bookmarkStart w:id="584" w:name="_Toc477252790"/>
      <w:bookmarkStart w:id="585" w:name="_Toc490218746"/>
      <w:r w:rsidRPr="008B2FDF">
        <w:t>Recommendation: Regional sample surveys (using the survey</w:t>
      </w:r>
      <w:r w:rsidR="00484E41">
        <w:t>–</w:t>
      </w:r>
      <w:r w:rsidRPr="008B2FDF">
        <w:t>and</w:t>
      </w:r>
      <w:r w:rsidR="00484E41" w:rsidRPr="00484E41">
        <w:t>–</w:t>
      </w:r>
      <w:r w:rsidRPr="008B2FDF">
        <w:t xml:space="preserve">fix methodology of the Fixing Houses for Better Health program) must form a </w:t>
      </w:r>
      <w:r w:rsidR="00DA2692">
        <w:t xml:space="preserve">core </w:t>
      </w:r>
      <w:r w:rsidRPr="008B2FDF">
        <w:t>part of the regional governance and monitoring strategy</w:t>
      </w:r>
      <w:bookmarkEnd w:id="582"/>
      <w:bookmarkEnd w:id="583"/>
      <w:bookmarkEnd w:id="584"/>
      <w:bookmarkEnd w:id="585"/>
    </w:p>
    <w:p w:rsidR="008B2FDF" w:rsidRPr="008B2FDF" w:rsidRDefault="008B2FDF" w:rsidP="00042574">
      <w:r w:rsidRPr="008B2FDF">
        <w:t xml:space="preserve">A recurrent, proactive maintenance program is fundamental to preserve functionality and increase the life of existing housing assets in remote Indigenous communities. Cyclical maintenance programs must be developed more consistently across the program. </w:t>
      </w:r>
    </w:p>
    <w:p w:rsidR="008B2FDF" w:rsidRPr="008B2FDF" w:rsidRDefault="00042574" w:rsidP="00042574">
      <w:r>
        <w:t>This should be reinforced</w:t>
      </w:r>
      <w:r w:rsidR="008B2FDF" w:rsidRPr="008B2FDF">
        <w:t xml:space="preserve"> by a requirement for regional sample surveys using the survey</w:t>
      </w:r>
      <w:r w:rsidR="005465FF">
        <w:t>-</w:t>
      </w:r>
      <w:r w:rsidR="008B2FDF" w:rsidRPr="008B2FDF">
        <w:t>and</w:t>
      </w:r>
      <w:r w:rsidR="005465FF">
        <w:t>-</w:t>
      </w:r>
      <w:r w:rsidR="008B2FDF" w:rsidRPr="008B2FDF">
        <w:t xml:space="preserve">fix methodology of the Fixing Houses for Better Health program. </w:t>
      </w:r>
    </w:p>
    <w:p w:rsidR="008B2FDF" w:rsidRPr="008B2FDF" w:rsidRDefault="00370896" w:rsidP="00042574">
      <w:r>
        <w:t>The long-</w:t>
      </w:r>
      <w:r w:rsidR="008B2FDF" w:rsidRPr="008B2FDF">
        <w:t>term cost of property management is decreased by having a cyclical maintenance program in place. Data from the surveys would enable the governance structure to make sound and evidence based policy decisions about delivery of the program and to develop long</w:t>
      </w:r>
      <w:r>
        <w:t>-</w:t>
      </w:r>
      <w:r w:rsidR="008B2FDF" w:rsidRPr="008B2FDF">
        <w:t>term plans for additional construction, conduct repairs, and establish a recurrent and proactive maintenance program.</w:t>
      </w:r>
    </w:p>
    <w:p w:rsidR="008B2FDF" w:rsidRPr="00042574" w:rsidRDefault="008B2FDF" w:rsidP="00211750">
      <w:pPr>
        <w:pStyle w:val="H3"/>
        <w:numPr>
          <w:ilvl w:val="0"/>
          <w:numId w:val="0"/>
        </w:numPr>
      </w:pPr>
      <w:bookmarkStart w:id="586" w:name="_Toc477178168"/>
      <w:bookmarkStart w:id="587" w:name="_Toc477248805"/>
      <w:bookmarkStart w:id="588" w:name="_Toc477252791"/>
      <w:bookmarkStart w:id="589" w:name="_Toc490218747"/>
      <w:r w:rsidRPr="008B2FDF">
        <w:t>Recommendation: Details about certification of properties (at all stages of building</w:t>
      </w:r>
      <w:r w:rsidR="001C2627">
        <w:t>,</w:t>
      </w:r>
      <w:r w:rsidRPr="008B2FDF">
        <w:t xml:space="preserve"> and for life after acceptance and tenanting) should be reported to the governance structure to ensure construction in remote communities is compliant with the appropriate building and certification standards and sub-standard builders are eliminated</w:t>
      </w:r>
      <w:bookmarkEnd w:id="586"/>
      <w:bookmarkEnd w:id="587"/>
      <w:bookmarkEnd w:id="588"/>
      <w:bookmarkEnd w:id="589"/>
    </w:p>
    <w:p w:rsidR="008B2FDF" w:rsidRPr="008B2FDF" w:rsidRDefault="008B2FDF" w:rsidP="00042574">
      <w:r w:rsidRPr="008B2FDF">
        <w:t xml:space="preserve">Housing in remote communities must be built and upheld to the same effective standard as in urban areas. Compliance with existing Commonwealth and </w:t>
      </w:r>
      <w:r w:rsidR="0004739C">
        <w:t>jurisdiction</w:t>
      </w:r>
      <w:r w:rsidRPr="008B2FDF">
        <w:t xml:space="preserve"> legislation for housing standards and the National Indigenous Housing Guide (that lifts the standard to that appropriate for remote areas) is not negotiable. Regulation of housing standards needs more assertive management across the project management life cycle – planning, project delivery, acceptance and post-acceptance functioning.</w:t>
      </w:r>
    </w:p>
    <w:p w:rsidR="008B2FDF" w:rsidRPr="008B2FDF" w:rsidRDefault="008B2FDF" w:rsidP="00042574">
      <w:r w:rsidRPr="008B2FDF">
        <w:lastRenderedPageBreak/>
        <w:t>Certification of houses should be robust and require a level of compliance appropriate to remote environments, delivering the same amenity as applies for houses in urban areas. All non-arm’s length certification arrangements should be eliminated and independent scrutiny that houses meet standards post acceptance and for years after tenanting would add rigour.</w:t>
      </w:r>
    </w:p>
    <w:p w:rsidR="008B2FDF" w:rsidRPr="008B2FDF" w:rsidRDefault="008B2FDF" w:rsidP="00042574">
      <w:r w:rsidRPr="008B2FDF">
        <w:t>This rigour will ultimately improve conditions for Aboriginal and Torres Strait Islander people, improve health and other social outcomes and will ultimately reduce costs and protect governments</w:t>
      </w:r>
      <w:r w:rsidR="00EB680F">
        <w:t>’</w:t>
      </w:r>
      <w:r w:rsidRPr="008B2FDF">
        <w:t xml:space="preserve"> investment over the longer term</w:t>
      </w:r>
      <w:r w:rsidR="001152C6">
        <w:t>.</w:t>
      </w:r>
      <w:r w:rsidRPr="008B2FDF">
        <w:t xml:space="preserve"> </w:t>
      </w:r>
    </w:p>
    <w:p w:rsidR="008B2FDF" w:rsidRPr="008B2FDF" w:rsidRDefault="008B2FDF" w:rsidP="00211750">
      <w:pPr>
        <w:pStyle w:val="H3"/>
        <w:numPr>
          <w:ilvl w:val="0"/>
          <w:numId w:val="0"/>
        </w:numPr>
      </w:pPr>
      <w:bookmarkStart w:id="590" w:name="_Toc477178169"/>
      <w:bookmarkStart w:id="591" w:name="_Toc477248806"/>
      <w:bookmarkStart w:id="592" w:name="_Toc477252792"/>
      <w:bookmarkStart w:id="593" w:name="_Toc490218748"/>
      <w:r w:rsidRPr="008B2FDF">
        <w:t>Recommendation: The regional governance bod</w:t>
      </w:r>
      <w:r w:rsidR="00EE5BF4">
        <w:t>ies</w:t>
      </w:r>
      <w:r w:rsidRPr="008B2FDF">
        <w:t xml:space="preserve"> should work with local employers to plan how to develop the local work force and create more local employment</w:t>
      </w:r>
      <w:bookmarkEnd w:id="590"/>
      <w:bookmarkEnd w:id="591"/>
      <w:bookmarkEnd w:id="592"/>
      <w:bookmarkEnd w:id="593"/>
    </w:p>
    <w:p w:rsidR="008B2FDF" w:rsidRPr="008B2FDF" w:rsidRDefault="008B2FDF" w:rsidP="00042574">
      <w:r w:rsidRPr="008B2FDF">
        <w:t>The employment opportunities that arise from housing construction and maintenance activities have provided positive outcomes for communities in some areas. There is scope to increase efforts and derive benefits more broadly.</w:t>
      </w:r>
    </w:p>
    <w:p w:rsidR="008B2FDF" w:rsidRPr="008B2FDF" w:rsidRDefault="008B2FDF" w:rsidP="00042574">
      <w:r w:rsidRPr="008B2FDF">
        <w:t xml:space="preserve">Where possible, local employment opportunities should be maximised and the local labour force developed in partnership with local businesses and councils. A regional governance body should work with local businesses or councils as potential employers, and with regional training organisations, to develop a plan to train and develop the local labour force and businesses. </w:t>
      </w:r>
    </w:p>
    <w:p w:rsidR="008B2FDF" w:rsidRPr="008B2FDF" w:rsidRDefault="008B2FDF" w:rsidP="00042574">
      <w:r w:rsidRPr="008B2FDF">
        <w:t>Where local people are employed by local businesses or councils to do the work</w:t>
      </w:r>
      <w:r w:rsidR="00307275">
        <w:t>,</w:t>
      </w:r>
      <w:r w:rsidRPr="008B2FDF">
        <w:t xml:space="preserve"> it can reduce the cost of delivering </w:t>
      </w:r>
      <w:r w:rsidR="00E16A72">
        <w:t>PTM</w:t>
      </w:r>
      <w:r w:rsidRPr="008B2FDF">
        <w:t xml:space="preserve"> and improve the timeliness of response. </w:t>
      </w:r>
    </w:p>
    <w:p w:rsidR="008B2FDF" w:rsidRPr="008B2FDF" w:rsidRDefault="008B2FDF" w:rsidP="00211750">
      <w:pPr>
        <w:pStyle w:val="H3"/>
        <w:numPr>
          <w:ilvl w:val="0"/>
          <w:numId w:val="0"/>
        </w:numPr>
      </w:pPr>
      <w:bookmarkStart w:id="594" w:name="_Toc477178170"/>
      <w:bookmarkStart w:id="595" w:name="_Toc477248807"/>
      <w:bookmarkStart w:id="596" w:name="_Toc477252793"/>
      <w:bookmarkStart w:id="597" w:name="_Toc490218749"/>
      <w:r w:rsidRPr="008B2FDF">
        <w:t>Recommendation: Comprehensive planning across government</w:t>
      </w:r>
      <w:r w:rsidR="00EB680F">
        <w:t>s</w:t>
      </w:r>
      <w:r w:rsidR="001C2627">
        <w:t>,</w:t>
      </w:r>
      <w:r w:rsidR="00EE5BF4">
        <w:t xml:space="preserve"> </w:t>
      </w:r>
      <w:r w:rsidRPr="008B2FDF">
        <w:t>involving local communities</w:t>
      </w:r>
      <w:r w:rsidR="001C2627">
        <w:t>,</w:t>
      </w:r>
      <w:r w:rsidR="00EE5BF4">
        <w:t xml:space="preserve"> </w:t>
      </w:r>
      <w:r w:rsidRPr="008B2FDF">
        <w:t>is essential for the next remote Indigenous housing national program</w:t>
      </w:r>
      <w:bookmarkEnd w:id="594"/>
      <w:bookmarkEnd w:id="595"/>
      <w:bookmarkEnd w:id="596"/>
      <w:bookmarkEnd w:id="597"/>
    </w:p>
    <w:p w:rsidR="008B2FDF" w:rsidRPr="008B2FDF" w:rsidRDefault="008B2FDF" w:rsidP="00042574">
      <w:r w:rsidRPr="008B2FDF">
        <w:t xml:space="preserve">Town and community planning </w:t>
      </w:r>
      <w:r w:rsidR="00EE5BF4">
        <w:t>are</w:t>
      </w:r>
      <w:r w:rsidRPr="008B2FDF">
        <w:t xml:space="preserve"> important to ensure that communities are developing in ways that meet the aspirations of local people. Plans need to assess whether housing is appropriate for its location and local cultural requirements.</w:t>
      </w:r>
    </w:p>
    <w:p w:rsidR="008B2FDF" w:rsidRDefault="008B2FDF" w:rsidP="00042574">
      <w:r w:rsidRPr="008B2FDF">
        <w:t>Governments should link and develop plans for infrastructure and housing together, under town and community planning principles. Plans should include housing-related infrastructure in parallel with housing delivery</w:t>
      </w:r>
      <w:r w:rsidR="00EB680F">
        <w:t>, and</w:t>
      </w:r>
      <w:r w:rsidRPr="008B2FDF">
        <w:t xml:space="preserve"> coordinate municipal and essential services requirements </w:t>
      </w:r>
      <w:r w:rsidR="00EB680F">
        <w:t xml:space="preserve">and </w:t>
      </w:r>
      <w:r w:rsidRPr="008B2FDF">
        <w:t xml:space="preserve">infrastructure needs including the need for new land development or upgrades of essential services. </w:t>
      </w:r>
    </w:p>
    <w:p w:rsidR="00EB680F" w:rsidRPr="008B2FDF" w:rsidRDefault="00EB680F" w:rsidP="00EB680F">
      <w:r w:rsidRPr="008B2FDF">
        <w:t xml:space="preserve">Plans should be completed to the same quality standard as </w:t>
      </w:r>
      <w:r>
        <w:t>applies</w:t>
      </w:r>
      <w:r w:rsidRPr="008B2FDF">
        <w:t xml:space="preserve"> for urban environments. </w:t>
      </w:r>
    </w:p>
    <w:p w:rsidR="00EE5BF4" w:rsidRPr="008B2FDF" w:rsidRDefault="00EE5BF4" w:rsidP="00042574">
      <w:r>
        <w:lastRenderedPageBreak/>
        <w:t xml:space="preserve">Governments should focus on resolution of land tenure in communities with significant need that have not received investment. </w:t>
      </w:r>
    </w:p>
    <w:p w:rsidR="008B2FDF" w:rsidRPr="008B2FDF" w:rsidRDefault="008B2FDF" w:rsidP="00042574">
      <w:r w:rsidRPr="008B2FDF">
        <w:t>A long-term, coordinated effort between governments would avoid duplication in effort and wasted investment.</w:t>
      </w:r>
      <w:r w:rsidR="00B84F69">
        <w:t xml:space="preserve"> </w:t>
      </w:r>
    </w:p>
    <w:p w:rsidR="008B2FDF" w:rsidRPr="008B2FDF" w:rsidRDefault="008B2FDF" w:rsidP="00211750">
      <w:pPr>
        <w:pStyle w:val="H3"/>
        <w:numPr>
          <w:ilvl w:val="0"/>
          <w:numId w:val="0"/>
        </w:numPr>
      </w:pPr>
      <w:bookmarkStart w:id="598" w:name="_Toc477178171"/>
      <w:bookmarkStart w:id="599" w:name="_Toc477248808"/>
      <w:bookmarkStart w:id="600" w:name="_Toc477252794"/>
      <w:bookmarkStart w:id="601" w:name="_Toc490218750"/>
      <w:r w:rsidRPr="008B2FDF">
        <w:t>Recommendation: Tenancy education programs should be implemented. Outreach services for tenancy tribunals to improve access in remote communities should be funded</w:t>
      </w:r>
      <w:bookmarkEnd w:id="598"/>
      <w:bookmarkEnd w:id="599"/>
      <w:bookmarkEnd w:id="600"/>
      <w:bookmarkEnd w:id="601"/>
      <w:r w:rsidRPr="008B2FDF">
        <w:t xml:space="preserve"> </w:t>
      </w:r>
    </w:p>
    <w:p w:rsidR="008B2FDF" w:rsidRPr="008B2FDF" w:rsidRDefault="008B2FDF" w:rsidP="00042574">
      <w:r w:rsidRPr="008B2FDF">
        <w:t>Consequences and enforcement of rights and responsibilities are important for both tenants and landlords. Tenants and landlords (</w:t>
      </w:r>
      <w:r w:rsidR="0004739C">
        <w:t>jurisdiction</w:t>
      </w:r>
      <w:r w:rsidRPr="008B2FDF">
        <w:t xml:space="preserve">s) have frustrations in enforcing their rights and ensuring compliance with responsibilities. </w:t>
      </w:r>
    </w:p>
    <w:p w:rsidR="008B2FDF" w:rsidRPr="008B2FDF" w:rsidRDefault="008B2FDF" w:rsidP="00042574">
      <w:r w:rsidRPr="008B2FDF">
        <w:t xml:space="preserve">Clear understanding of rights and responsibilities by tenants would assist. Better access to tenancy tribunals in remote communities could assist both tenants and landlords resolve complaints and enforce compliance. </w:t>
      </w:r>
      <w:bookmarkStart w:id="602" w:name="_Toc476645317"/>
      <w:r w:rsidRPr="008B2FDF">
        <w:t>T</w:t>
      </w:r>
      <w:bookmarkEnd w:id="602"/>
      <w:r w:rsidRPr="008B2FDF">
        <w:t xml:space="preserve">here are opportunities for sharing and replication of best practice in the creation of incentives for householders to look after and preserve their housing. </w:t>
      </w:r>
    </w:p>
    <w:p w:rsidR="008B2FDF" w:rsidRPr="008B2FDF" w:rsidRDefault="008B2FDF" w:rsidP="00042574">
      <w:pPr>
        <w:rPr>
          <w:i/>
        </w:rPr>
      </w:pPr>
      <w:r w:rsidRPr="008B2FDF">
        <w:t xml:space="preserve">Activities that continue to support </w:t>
      </w:r>
      <w:r w:rsidR="00B34C05">
        <w:t>better</w:t>
      </w:r>
      <w:r w:rsidRPr="008B2FDF">
        <w:t xml:space="preserve"> application of PTM will assist tenants in managing their rights and responsibilities under the program. </w:t>
      </w:r>
    </w:p>
    <w:p w:rsidR="005D7B61" w:rsidRDefault="005D7B61" w:rsidP="008B2FDF">
      <w:pPr>
        <w:sectPr w:rsidR="005D7B61" w:rsidSect="008D5C7E">
          <w:pgSz w:w="11906" w:h="16838" w:code="9"/>
          <w:pgMar w:top="1985" w:right="1418" w:bottom="1843" w:left="1531" w:header="567" w:footer="567" w:gutter="0"/>
          <w:cols w:space="708"/>
          <w:docGrid w:linePitch="360"/>
        </w:sectPr>
      </w:pPr>
    </w:p>
    <w:p w:rsidR="005D7B61" w:rsidRPr="005D7B61" w:rsidRDefault="005D7B61" w:rsidP="00211750">
      <w:pPr>
        <w:pStyle w:val="H2"/>
      </w:pPr>
      <w:bookmarkStart w:id="603" w:name="_Toc490218751"/>
      <w:r w:rsidRPr="005D7B61">
        <w:lastRenderedPageBreak/>
        <w:t>Appendices</w:t>
      </w:r>
      <w:bookmarkEnd w:id="603"/>
    </w:p>
    <w:p w:rsidR="005D7B61" w:rsidRPr="005D7B61" w:rsidRDefault="005D7B61" w:rsidP="00211750">
      <w:pPr>
        <w:pStyle w:val="H3"/>
        <w:rPr>
          <w:bCs/>
        </w:rPr>
      </w:pPr>
      <w:bookmarkStart w:id="604" w:name="_Toc490218752"/>
      <w:r w:rsidRPr="005D7B61">
        <w:t>Appendix</w:t>
      </w:r>
      <w:r w:rsidRPr="005D7B61">
        <w:rPr>
          <w:bCs/>
        </w:rPr>
        <w:t xml:space="preserve"> I</w:t>
      </w:r>
      <w:r w:rsidRPr="005D7B61">
        <w:t xml:space="preserve"> – List of </w:t>
      </w:r>
      <w:r w:rsidR="001C2627">
        <w:t>a</w:t>
      </w:r>
      <w:r w:rsidRPr="005D7B61">
        <w:t>bbreviations</w:t>
      </w:r>
      <w:bookmarkEnd w:id="604"/>
    </w:p>
    <w:tbl>
      <w:tblPr>
        <w:tblStyle w:val="TableGrid"/>
        <w:tblW w:w="0" w:type="auto"/>
        <w:tblLook w:val="04A0" w:firstRow="1" w:lastRow="0" w:firstColumn="1" w:lastColumn="0" w:noHBand="0" w:noVBand="1"/>
        <w:tblCaption w:val="List of abbreviations"/>
        <w:tblDescription w:val="List of abbreviations and acronyms and their full name."/>
      </w:tblPr>
      <w:tblGrid>
        <w:gridCol w:w="2907"/>
        <w:gridCol w:w="6040"/>
      </w:tblGrid>
      <w:tr w:rsidR="005D7B61" w:rsidTr="00E55245">
        <w:trPr>
          <w:tblHeader/>
        </w:trPr>
        <w:tc>
          <w:tcPr>
            <w:tcW w:w="2935" w:type="dxa"/>
            <w:shd w:val="clear" w:color="auto" w:fill="5CADFF" w:themeFill="text2" w:themeFillTint="66"/>
          </w:tcPr>
          <w:p w:rsidR="005D7B61" w:rsidRPr="002606D4" w:rsidRDefault="005D7B61" w:rsidP="00E6350E">
            <w:pPr>
              <w:pStyle w:val="Heading6"/>
              <w:outlineLvl w:val="5"/>
            </w:pPr>
            <w:r w:rsidRPr="002606D4">
              <w:t>Abbreviation/acronym</w:t>
            </w:r>
          </w:p>
        </w:tc>
        <w:tc>
          <w:tcPr>
            <w:tcW w:w="6238" w:type="dxa"/>
            <w:shd w:val="clear" w:color="auto" w:fill="5CADFF" w:themeFill="text2" w:themeFillTint="66"/>
          </w:tcPr>
          <w:p w:rsidR="005D7B61" w:rsidRPr="002606D4" w:rsidRDefault="005D7B61" w:rsidP="00E6350E">
            <w:pPr>
              <w:pStyle w:val="Heading6"/>
              <w:outlineLvl w:val="5"/>
            </w:pPr>
            <w:r w:rsidRPr="002606D4">
              <w:t>Name</w:t>
            </w:r>
          </w:p>
        </w:tc>
      </w:tr>
      <w:tr w:rsidR="005D7B61" w:rsidTr="00EB680F">
        <w:tc>
          <w:tcPr>
            <w:tcW w:w="2935" w:type="dxa"/>
            <w:vAlign w:val="center"/>
          </w:tcPr>
          <w:p w:rsidR="005D7B61" w:rsidRDefault="005D7B61" w:rsidP="005D7B61">
            <w:r>
              <w:rPr>
                <w:rFonts w:ascii="Calibri" w:hAnsi="Calibri" w:cs="Calibri"/>
                <w:color w:val="000000"/>
              </w:rPr>
              <w:t>ABS</w:t>
            </w:r>
          </w:p>
        </w:tc>
        <w:tc>
          <w:tcPr>
            <w:tcW w:w="6238" w:type="dxa"/>
            <w:vAlign w:val="center"/>
          </w:tcPr>
          <w:p w:rsidR="005D7B61" w:rsidRDefault="005D7B61" w:rsidP="005D7B61">
            <w:r>
              <w:rPr>
                <w:rFonts w:ascii="Calibri" w:hAnsi="Calibri" w:cs="Calibri"/>
                <w:color w:val="000000"/>
              </w:rPr>
              <w:t>Australian Bureau of Statistics</w:t>
            </w:r>
          </w:p>
        </w:tc>
      </w:tr>
      <w:tr w:rsidR="005D7B61" w:rsidTr="00EB680F">
        <w:tc>
          <w:tcPr>
            <w:tcW w:w="2935" w:type="dxa"/>
            <w:vAlign w:val="center"/>
          </w:tcPr>
          <w:p w:rsidR="005D7B61" w:rsidRDefault="005D7B61" w:rsidP="005D7B61">
            <w:r>
              <w:rPr>
                <w:rFonts w:ascii="Calibri" w:hAnsi="Calibri" w:cs="Calibri"/>
                <w:color w:val="000000"/>
              </w:rPr>
              <w:t>AHURI</w:t>
            </w:r>
          </w:p>
        </w:tc>
        <w:tc>
          <w:tcPr>
            <w:tcW w:w="6238" w:type="dxa"/>
            <w:vAlign w:val="center"/>
          </w:tcPr>
          <w:p w:rsidR="005D7B61" w:rsidRDefault="005D7B61" w:rsidP="005D7B61">
            <w:r>
              <w:rPr>
                <w:rFonts w:ascii="Calibri" w:hAnsi="Calibri" w:cs="Calibri"/>
                <w:color w:val="000000"/>
              </w:rPr>
              <w:t>Australian Housing and Urban Research Institute</w:t>
            </w:r>
          </w:p>
        </w:tc>
      </w:tr>
      <w:tr w:rsidR="005D7B61" w:rsidTr="00EB680F">
        <w:tc>
          <w:tcPr>
            <w:tcW w:w="2935" w:type="dxa"/>
            <w:vAlign w:val="center"/>
          </w:tcPr>
          <w:p w:rsidR="005D7B61" w:rsidRDefault="005D7B61" w:rsidP="005D7B61">
            <w:r>
              <w:rPr>
                <w:rFonts w:ascii="Calibri" w:hAnsi="Calibri" w:cs="Calibri"/>
                <w:color w:val="000000"/>
              </w:rPr>
              <w:t>ANAO</w:t>
            </w:r>
          </w:p>
        </w:tc>
        <w:tc>
          <w:tcPr>
            <w:tcW w:w="6238" w:type="dxa"/>
            <w:vAlign w:val="center"/>
          </w:tcPr>
          <w:p w:rsidR="005D7B61" w:rsidRDefault="005D7B61" w:rsidP="005D7B61">
            <w:r>
              <w:rPr>
                <w:rFonts w:ascii="Calibri" w:hAnsi="Calibri" w:cs="Calibri"/>
                <w:color w:val="000000"/>
              </w:rPr>
              <w:t>Australian National Audit Office</w:t>
            </w:r>
          </w:p>
        </w:tc>
      </w:tr>
      <w:tr w:rsidR="005D7B61" w:rsidTr="00EB680F">
        <w:tc>
          <w:tcPr>
            <w:tcW w:w="2935" w:type="dxa"/>
            <w:vAlign w:val="center"/>
          </w:tcPr>
          <w:p w:rsidR="005D7B61" w:rsidRDefault="005D7B61" w:rsidP="005D7B61">
            <w:r>
              <w:rPr>
                <w:rFonts w:ascii="Calibri" w:hAnsi="Calibri" w:cs="Calibri"/>
                <w:color w:val="000000"/>
              </w:rPr>
              <w:t>APY Lands</w:t>
            </w:r>
          </w:p>
        </w:tc>
        <w:tc>
          <w:tcPr>
            <w:tcW w:w="6238" w:type="dxa"/>
            <w:vAlign w:val="center"/>
          </w:tcPr>
          <w:p w:rsidR="005D7B61" w:rsidRDefault="005D7B61" w:rsidP="005D7B61">
            <w:r>
              <w:rPr>
                <w:rFonts w:ascii="Calibri" w:hAnsi="Calibri" w:cs="Calibri"/>
                <w:color w:val="000000"/>
              </w:rPr>
              <w:t>Anangu Pitjantjatjara Yankunytjatjara Lands</w:t>
            </w:r>
          </w:p>
        </w:tc>
      </w:tr>
      <w:tr w:rsidR="005D7B61" w:rsidTr="00EB680F">
        <w:tc>
          <w:tcPr>
            <w:tcW w:w="2935" w:type="dxa"/>
            <w:vAlign w:val="center"/>
          </w:tcPr>
          <w:p w:rsidR="005D7B61" w:rsidRDefault="005D7B61" w:rsidP="005D7B61">
            <w:r>
              <w:rPr>
                <w:rFonts w:ascii="Calibri" w:hAnsi="Calibri" w:cs="Calibri"/>
                <w:color w:val="000000"/>
              </w:rPr>
              <w:t>CHIP</w:t>
            </w:r>
          </w:p>
        </w:tc>
        <w:tc>
          <w:tcPr>
            <w:tcW w:w="6238" w:type="dxa"/>
            <w:vAlign w:val="center"/>
          </w:tcPr>
          <w:p w:rsidR="005D7B61" w:rsidRDefault="005D7B61" w:rsidP="005D7B61">
            <w:r>
              <w:rPr>
                <w:rFonts w:ascii="Calibri" w:hAnsi="Calibri" w:cs="Calibri"/>
                <w:color w:val="000000"/>
              </w:rPr>
              <w:t>Community Housing</w:t>
            </w:r>
            <w:r w:rsidR="00EB680F">
              <w:rPr>
                <w:rFonts w:ascii="Calibri" w:hAnsi="Calibri" w:cs="Calibri"/>
                <w:color w:val="000000"/>
              </w:rPr>
              <w:t xml:space="preserve"> and</w:t>
            </w:r>
            <w:r>
              <w:rPr>
                <w:rFonts w:ascii="Calibri" w:hAnsi="Calibri" w:cs="Calibri"/>
                <w:color w:val="000000"/>
              </w:rPr>
              <w:t xml:space="preserve"> Infrastructure Program</w:t>
            </w:r>
          </w:p>
        </w:tc>
      </w:tr>
      <w:tr w:rsidR="005D7B61" w:rsidTr="00EB680F">
        <w:tc>
          <w:tcPr>
            <w:tcW w:w="2935" w:type="dxa"/>
            <w:vAlign w:val="center"/>
          </w:tcPr>
          <w:p w:rsidR="005D7B61" w:rsidRDefault="005D7B61" w:rsidP="005D7B61">
            <w:r>
              <w:rPr>
                <w:rFonts w:ascii="Calibri" w:hAnsi="Calibri" w:cs="Calibri"/>
                <w:color w:val="000000"/>
              </w:rPr>
              <w:t>CHLP</w:t>
            </w:r>
          </w:p>
        </w:tc>
        <w:tc>
          <w:tcPr>
            <w:tcW w:w="6238" w:type="dxa"/>
            <w:vAlign w:val="center"/>
          </w:tcPr>
          <w:p w:rsidR="005D7B61" w:rsidRDefault="005D7B61" w:rsidP="005D7B61">
            <w:r>
              <w:rPr>
                <w:rFonts w:ascii="Calibri" w:hAnsi="Calibri" w:cs="Calibri"/>
                <w:color w:val="000000"/>
              </w:rPr>
              <w:t>Critical Healthy Living Practices</w:t>
            </w:r>
          </w:p>
        </w:tc>
      </w:tr>
      <w:tr w:rsidR="005D7B61" w:rsidTr="00EB680F">
        <w:tc>
          <w:tcPr>
            <w:tcW w:w="2935" w:type="dxa"/>
            <w:vAlign w:val="center"/>
          </w:tcPr>
          <w:p w:rsidR="005D7B61" w:rsidRDefault="005D7B61" w:rsidP="005D7B61">
            <w:r>
              <w:rPr>
                <w:rFonts w:ascii="Calibri" w:hAnsi="Calibri" w:cs="Calibri"/>
                <w:color w:val="000000"/>
              </w:rPr>
              <w:t>COAG</w:t>
            </w:r>
          </w:p>
        </w:tc>
        <w:tc>
          <w:tcPr>
            <w:tcW w:w="6238" w:type="dxa"/>
            <w:vAlign w:val="center"/>
          </w:tcPr>
          <w:p w:rsidR="005D7B61" w:rsidRDefault="005D7B61" w:rsidP="005D7B61">
            <w:r>
              <w:rPr>
                <w:rFonts w:ascii="Calibri" w:hAnsi="Calibri" w:cs="Calibri"/>
                <w:color w:val="000000"/>
              </w:rPr>
              <w:t>Council of Australian Governments</w:t>
            </w:r>
          </w:p>
        </w:tc>
      </w:tr>
      <w:tr w:rsidR="005D7B61" w:rsidTr="00EB680F">
        <w:tc>
          <w:tcPr>
            <w:tcW w:w="2935" w:type="dxa"/>
            <w:vAlign w:val="center"/>
          </w:tcPr>
          <w:p w:rsidR="005D7B61" w:rsidRDefault="005D7B61" w:rsidP="005D7B61">
            <w:r>
              <w:rPr>
                <w:rFonts w:ascii="Calibri" w:hAnsi="Calibri" w:cs="Calibri"/>
                <w:color w:val="000000"/>
              </w:rPr>
              <w:t>CRA</w:t>
            </w:r>
          </w:p>
        </w:tc>
        <w:tc>
          <w:tcPr>
            <w:tcW w:w="6238" w:type="dxa"/>
            <w:vAlign w:val="center"/>
          </w:tcPr>
          <w:p w:rsidR="005D7B61" w:rsidRDefault="005D7B61" w:rsidP="005D7B61">
            <w:r>
              <w:rPr>
                <w:rFonts w:ascii="Calibri" w:hAnsi="Calibri" w:cs="Calibri"/>
                <w:color w:val="000000"/>
              </w:rPr>
              <w:t>Commonwealth Rent Assistance</w:t>
            </w:r>
          </w:p>
        </w:tc>
      </w:tr>
      <w:tr w:rsidR="005D7B61" w:rsidTr="00EB680F">
        <w:tc>
          <w:tcPr>
            <w:tcW w:w="2935" w:type="dxa"/>
            <w:vAlign w:val="center"/>
          </w:tcPr>
          <w:p w:rsidR="005D7B61" w:rsidRDefault="005D7B61" w:rsidP="005D7B61">
            <w:r>
              <w:rPr>
                <w:rFonts w:ascii="Calibri" w:hAnsi="Calibri" w:cs="Calibri"/>
                <w:color w:val="000000"/>
              </w:rPr>
              <w:t>ERA</w:t>
            </w:r>
          </w:p>
        </w:tc>
        <w:tc>
          <w:tcPr>
            <w:tcW w:w="6238" w:type="dxa"/>
            <w:vAlign w:val="center"/>
          </w:tcPr>
          <w:p w:rsidR="005D7B61" w:rsidRDefault="005D7B61" w:rsidP="005D7B61">
            <w:r>
              <w:rPr>
                <w:rFonts w:ascii="Calibri" w:hAnsi="Calibri" w:cs="Calibri"/>
                <w:color w:val="000000"/>
              </w:rPr>
              <w:t>Employment and Educated Related Accommodation</w:t>
            </w:r>
          </w:p>
        </w:tc>
      </w:tr>
      <w:tr w:rsidR="005D7B61" w:rsidTr="00EB680F">
        <w:tc>
          <w:tcPr>
            <w:tcW w:w="2935" w:type="dxa"/>
            <w:vAlign w:val="center"/>
          </w:tcPr>
          <w:p w:rsidR="005D7B61" w:rsidRDefault="005D7B61" w:rsidP="005D7B61">
            <w:r>
              <w:rPr>
                <w:rFonts w:ascii="Calibri" w:hAnsi="Calibri" w:cs="Calibri"/>
                <w:color w:val="000000"/>
              </w:rPr>
              <w:t>IBA</w:t>
            </w:r>
          </w:p>
        </w:tc>
        <w:tc>
          <w:tcPr>
            <w:tcW w:w="6238" w:type="dxa"/>
            <w:vAlign w:val="center"/>
          </w:tcPr>
          <w:p w:rsidR="005D7B61" w:rsidRDefault="005D7B61" w:rsidP="005D7B61">
            <w:r>
              <w:rPr>
                <w:rFonts w:ascii="Calibri" w:hAnsi="Calibri" w:cs="Calibri"/>
                <w:color w:val="000000"/>
              </w:rPr>
              <w:t>Indigenous Business Australia</w:t>
            </w:r>
          </w:p>
        </w:tc>
      </w:tr>
      <w:tr w:rsidR="005D7B61" w:rsidTr="00EB680F">
        <w:tc>
          <w:tcPr>
            <w:tcW w:w="2935" w:type="dxa"/>
            <w:vAlign w:val="center"/>
          </w:tcPr>
          <w:p w:rsidR="005D7B61" w:rsidRDefault="005D7B61" w:rsidP="005D7B61">
            <w:r>
              <w:rPr>
                <w:rFonts w:ascii="Calibri" w:hAnsi="Calibri" w:cs="Calibri"/>
                <w:color w:val="000000"/>
              </w:rPr>
              <w:t>ICHO</w:t>
            </w:r>
          </w:p>
        </w:tc>
        <w:tc>
          <w:tcPr>
            <w:tcW w:w="6238" w:type="dxa"/>
            <w:vAlign w:val="center"/>
          </w:tcPr>
          <w:p w:rsidR="005D7B61" w:rsidRDefault="005D7B61" w:rsidP="005D7B61">
            <w:r>
              <w:rPr>
                <w:rFonts w:ascii="Calibri" w:hAnsi="Calibri" w:cs="Calibri"/>
                <w:color w:val="000000"/>
              </w:rPr>
              <w:t>Indigenous Community Housing Organisations</w:t>
            </w:r>
          </w:p>
        </w:tc>
      </w:tr>
      <w:tr w:rsidR="005D7B61" w:rsidTr="00EB680F">
        <w:tc>
          <w:tcPr>
            <w:tcW w:w="2935" w:type="dxa"/>
            <w:vAlign w:val="center"/>
          </w:tcPr>
          <w:p w:rsidR="005D7B61" w:rsidRDefault="005D7B61" w:rsidP="005D7B61">
            <w:r>
              <w:rPr>
                <w:rFonts w:ascii="Calibri" w:hAnsi="Calibri" w:cs="Calibri"/>
                <w:color w:val="000000"/>
              </w:rPr>
              <w:t>JSC</w:t>
            </w:r>
          </w:p>
        </w:tc>
        <w:tc>
          <w:tcPr>
            <w:tcW w:w="6238" w:type="dxa"/>
            <w:vAlign w:val="center"/>
          </w:tcPr>
          <w:p w:rsidR="005D7B61" w:rsidRDefault="005D7B61" w:rsidP="005D7B61">
            <w:r>
              <w:rPr>
                <w:rFonts w:ascii="Calibri" w:hAnsi="Calibri" w:cs="Calibri"/>
                <w:color w:val="000000"/>
              </w:rPr>
              <w:t>Joint Steering Committee</w:t>
            </w:r>
          </w:p>
        </w:tc>
      </w:tr>
      <w:tr w:rsidR="005D7B61" w:rsidTr="00EB680F">
        <w:tc>
          <w:tcPr>
            <w:tcW w:w="2935" w:type="dxa"/>
            <w:vAlign w:val="center"/>
          </w:tcPr>
          <w:p w:rsidR="005D7B61" w:rsidRDefault="005D7B61" w:rsidP="005D7B61">
            <w:r>
              <w:rPr>
                <w:rFonts w:ascii="Calibri" w:hAnsi="Calibri" w:cs="Calibri"/>
                <w:color w:val="000000"/>
              </w:rPr>
              <w:t>NIRA</w:t>
            </w:r>
          </w:p>
        </w:tc>
        <w:tc>
          <w:tcPr>
            <w:tcW w:w="6238" w:type="dxa"/>
            <w:vAlign w:val="center"/>
          </w:tcPr>
          <w:p w:rsidR="005D7B61" w:rsidRDefault="005D7B61" w:rsidP="005D7B61">
            <w:r>
              <w:rPr>
                <w:rFonts w:ascii="Calibri" w:hAnsi="Calibri" w:cs="Calibri"/>
                <w:color w:val="000000"/>
              </w:rPr>
              <w:t>National Indigenous Reform Agreement</w:t>
            </w:r>
          </w:p>
        </w:tc>
      </w:tr>
      <w:tr w:rsidR="005D7B61" w:rsidTr="00EB680F">
        <w:tc>
          <w:tcPr>
            <w:tcW w:w="2935" w:type="dxa"/>
            <w:vAlign w:val="center"/>
          </w:tcPr>
          <w:p w:rsidR="005D7B61" w:rsidRDefault="005D7B61" w:rsidP="005D7B61">
            <w:r>
              <w:rPr>
                <w:rFonts w:ascii="Calibri" w:hAnsi="Calibri" w:cs="Calibri"/>
                <w:color w:val="000000"/>
              </w:rPr>
              <w:t>NPARIH</w:t>
            </w:r>
          </w:p>
        </w:tc>
        <w:tc>
          <w:tcPr>
            <w:tcW w:w="6238" w:type="dxa"/>
            <w:vAlign w:val="center"/>
          </w:tcPr>
          <w:p w:rsidR="005D7B61" w:rsidRDefault="005D7B61" w:rsidP="005D7B61">
            <w:r>
              <w:rPr>
                <w:rFonts w:ascii="Calibri" w:hAnsi="Calibri" w:cs="Calibri"/>
                <w:color w:val="000000"/>
              </w:rPr>
              <w:t>National Partnership Agreement on Remote Indigenous Housing</w:t>
            </w:r>
          </w:p>
        </w:tc>
      </w:tr>
      <w:tr w:rsidR="00EB680F" w:rsidTr="00EB680F">
        <w:tc>
          <w:tcPr>
            <w:tcW w:w="2935" w:type="dxa"/>
            <w:vAlign w:val="center"/>
          </w:tcPr>
          <w:p w:rsidR="00EB680F" w:rsidRDefault="00EB680F" w:rsidP="005D7B61">
            <w:pPr>
              <w:rPr>
                <w:rFonts w:ascii="Calibri" w:hAnsi="Calibri" w:cs="Calibri"/>
                <w:color w:val="000000"/>
              </w:rPr>
            </w:pPr>
            <w:r>
              <w:rPr>
                <w:rFonts w:ascii="Calibri" w:hAnsi="Calibri" w:cs="Calibri"/>
                <w:color w:val="000000"/>
              </w:rPr>
              <w:t>NPNTRAI</w:t>
            </w:r>
          </w:p>
        </w:tc>
        <w:tc>
          <w:tcPr>
            <w:tcW w:w="6238" w:type="dxa"/>
            <w:vAlign w:val="center"/>
          </w:tcPr>
          <w:p w:rsidR="00EB680F" w:rsidRDefault="00EB680F" w:rsidP="005D7B61">
            <w:pPr>
              <w:rPr>
                <w:rFonts w:ascii="Calibri" w:hAnsi="Calibri" w:cs="Calibri"/>
                <w:color w:val="000000"/>
              </w:rPr>
            </w:pPr>
            <w:r>
              <w:rPr>
                <w:rFonts w:ascii="Calibri" w:hAnsi="Calibri" w:cs="Calibri"/>
                <w:color w:val="000000"/>
              </w:rPr>
              <w:t>National Partnership on Northern Territory Remote Aboriginal Investment</w:t>
            </w:r>
          </w:p>
        </w:tc>
      </w:tr>
      <w:tr w:rsidR="005D7B61" w:rsidTr="00EB680F">
        <w:tc>
          <w:tcPr>
            <w:tcW w:w="2935" w:type="dxa"/>
            <w:vAlign w:val="center"/>
          </w:tcPr>
          <w:p w:rsidR="005D7B61" w:rsidRDefault="005D7B61" w:rsidP="005D7B61">
            <w:r>
              <w:rPr>
                <w:rFonts w:ascii="Calibri" w:hAnsi="Calibri" w:cs="Calibri"/>
                <w:color w:val="000000"/>
              </w:rPr>
              <w:t>NSW</w:t>
            </w:r>
          </w:p>
        </w:tc>
        <w:tc>
          <w:tcPr>
            <w:tcW w:w="6238" w:type="dxa"/>
            <w:vAlign w:val="center"/>
          </w:tcPr>
          <w:p w:rsidR="005D7B61" w:rsidRDefault="005D7B61" w:rsidP="005D7B61">
            <w:r>
              <w:rPr>
                <w:rFonts w:ascii="Calibri" w:hAnsi="Calibri" w:cs="Calibri"/>
                <w:color w:val="000000"/>
              </w:rPr>
              <w:t>New South Wales</w:t>
            </w:r>
          </w:p>
        </w:tc>
      </w:tr>
      <w:tr w:rsidR="005D7B61" w:rsidTr="00EB680F">
        <w:tc>
          <w:tcPr>
            <w:tcW w:w="2935" w:type="dxa"/>
            <w:vAlign w:val="center"/>
          </w:tcPr>
          <w:p w:rsidR="005D7B61" w:rsidRDefault="005D7B61" w:rsidP="005D7B61">
            <w:r>
              <w:rPr>
                <w:rFonts w:ascii="Calibri" w:hAnsi="Calibri" w:cs="Calibri"/>
                <w:color w:val="000000"/>
              </w:rPr>
              <w:t>NT</w:t>
            </w:r>
          </w:p>
        </w:tc>
        <w:tc>
          <w:tcPr>
            <w:tcW w:w="6238" w:type="dxa"/>
            <w:vAlign w:val="center"/>
          </w:tcPr>
          <w:p w:rsidR="005D7B61" w:rsidRDefault="005D7B61" w:rsidP="005D7B61">
            <w:r>
              <w:rPr>
                <w:rFonts w:ascii="Calibri" w:hAnsi="Calibri" w:cs="Calibri"/>
                <w:color w:val="000000"/>
              </w:rPr>
              <w:t>Northern Territory</w:t>
            </w:r>
          </w:p>
        </w:tc>
      </w:tr>
      <w:tr w:rsidR="005D7B61" w:rsidTr="00EB680F">
        <w:tc>
          <w:tcPr>
            <w:tcW w:w="2935" w:type="dxa"/>
            <w:vAlign w:val="center"/>
          </w:tcPr>
          <w:p w:rsidR="005D7B61" w:rsidRDefault="005D7B61" w:rsidP="005D7B61">
            <w:r>
              <w:rPr>
                <w:rFonts w:ascii="Calibri" w:hAnsi="Calibri" w:cs="Calibri"/>
                <w:color w:val="000000"/>
              </w:rPr>
              <w:t>PTM</w:t>
            </w:r>
          </w:p>
        </w:tc>
        <w:tc>
          <w:tcPr>
            <w:tcW w:w="6238" w:type="dxa"/>
            <w:vAlign w:val="center"/>
          </w:tcPr>
          <w:p w:rsidR="005D7B61" w:rsidRDefault="005D7B61" w:rsidP="005D7B61">
            <w:r>
              <w:rPr>
                <w:rFonts w:ascii="Calibri" w:hAnsi="Calibri" w:cs="Calibri"/>
                <w:color w:val="000000"/>
              </w:rPr>
              <w:t>Property and Tenancy Management</w:t>
            </w:r>
          </w:p>
        </w:tc>
      </w:tr>
      <w:tr w:rsidR="005D7B61" w:rsidTr="00EB680F">
        <w:tc>
          <w:tcPr>
            <w:tcW w:w="2935" w:type="dxa"/>
            <w:vAlign w:val="center"/>
          </w:tcPr>
          <w:p w:rsidR="005D7B61" w:rsidRDefault="005D7B61" w:rsidP="005D7B61">
            <w:r>
              <w:rPr>
                <w:rFonts w:ascii="Calibri" w:hAnsi="Calibri" w:cs="Calibri"/>
                <w:color w:val="000000"/>
              </w:rPr>
              <w:t>Q</w:t>
            </w:r>
            <w:r w:rsidR="006D1AE3">
              <w:rPr>
                <w:rFonts w:ascii="Calibri" w:hAnsi="Calibri" w:cs="Calibri"/>
                <w:color w:val="000000"/>
              </w:rPr>
              <w:t>ld</w:t>
            </w:r>
          </w:p>
        </w:tc>
        <w:tc>
          <w:tcPr>
            <w:tcW w:w="6238" w:type="dxa"/>
            <w:vAlign w:val="center"/>
          </w:tcPr>
          <w:p w:rsidR="005D7B61" w:rsidRDefault="005D7B61" w:rsidP="005D7B61">
            <w:r>
              <w:rPr>
                <w:rFonts w:ascii="Calibri" w:hAnsi="Calibri" w:cs="Calibri"/>
                <w:color w:val="000000"/>
              </w:rPr>
              <w:t>Queensland</w:t>
            </w:r>
          </w:p>
        </w:tc>
      </w:tr>
      <w:tr w:rsidR="005D7B61" w:rsidTr="00EB680F">
        <w:tc>
          <w:tcPr>
            <w:tcW w:w="2935" w:type="dxa"/>
            <w:vAlign w:val="center"/>
          </w:tcPr>
          <w:p w:rsidR="005D7B61" w:rsidRDefault="005D7B61" w:rsidP="005D7B61">
            <w:r>
              <w:rPr>
                <w:rFonts w:ascii="Calibri" w:hAnsi="Calibri" w:cs="Calibri"/>
                <w:color w:val="000000"/>
              </w:rPr>
              <w:t>SA</w:t>
            </w:r>
          </w:p>
        </w:tc>
        <w:tc>
          <w:tcPr>
            <w:tcW w:w="6238" w:type="dxa"/>
            <w:vAlign w:val="center"/>
          </w:tcPr>
          <w:p w:rsidR="005D7B61" w:rsidRDefault="005D7B61" w:rsidP="005D7B61">
            <w:r>
              <w:rPr>
                <w:rFonts w:ascii="Calibri" w:hAnsi="Calibri" w:cs="Calibri"/>
                <w:color w:val="000000"/>
              </w:rPr>
              <w:t>South Australia</w:t>
            </w:r>
          </w:p>
        </w:tc>
      </w:tr>
      <w:tr w:rsidR="005D7B61" w:rsidTr="00EB680F">
        <w:tc>
          <w:tcPr>
            <w:tcW w:w="2935" w:type="dxa"/>
            <w:vAlign w:val="center"/>
          </w:tcPr>
          <w:p w:rsidR="005D7B61" w:rsidRDefault="005D7B61" w:rsidP="005D7B61">
            <w:r>
              <w:rPr>
                <w:rFonts w:ascii="Calibri" w:hAnsi="Calibri" w:cs="Calibri"/>
                <w:color w:val="000000"/>
              </w:rPr>
              <w:t>SFNT</w:t>
            </w:r>
          </w:p>
        </w:tc>
        <w:tc>
          <w:tcPr>
            <w:tcW w:w="6238" w:type="dxa"/>
            <w:vAlign w:val="center"/>
          </w:tcPr>
          <w:p w:rsidR="005D7B61" w:rsidRDefault="005D7B61" w:rsidP="005D7B61">
            <w:r>
              <w:rPr>
                <w:rFonts w:ascii="Calibri" w:hAnsi="Calibri" w:cs="Calibri"/>
                <w:color w:val="000000"/>
              </w:rPr>
              <w:t>National Partnership Agreement on Stronger Futures in the Northern Territory</w:t>
            </w:r>
          </w:p>
        </w:tc>
      </w:tr>
      <w:tr w:rsidR="005D7B61" w:rsidTr="00EB680F">
        <w:tc>
          <w:tcPr>
            <w:tcW w:w="2935" w:type="dxa"/>
            <w:vAlign w:val="center"/>
          </w:tcPr>
          <w:p w:rsidR="005D7B61" w:rsidRDefault="005D7B61" w:rsidP="005D7B61">
            <w:r>
              <w:rPr>
                <w:rFonts w:ascii="Calibri" w:hAnsi="Calibri" w:cs="Calibri"/>
                <w:color w:val="000000"/>
              </w:rPr>
              <w:t>SIHIP</w:t>
            </w:r>
          </w:p>
        </w:tc>
        <w:tc>
          <w:tcPr>
            <w:tcW w:w="6238" w:type="dxa"/>
            <w:vAlign w:val="center"/>
          </w:tcPr>
          <w:p w:rsidR="005D7B61" w:rsidRDefault="005D7B61" w:rsidP="005D7B61">
            <w:r>
              <w:rPr>
                <w:rFonts w:ascii="Calibri" w:hAnsi="Calibri" w:cs="Calibri"/>
                <w:color w:val="000000"/>
              </w:rPr>
              <w:t>Strategic Indigenous Housing and Infrastructure Program</w:t>
            </w:r>
          </w:p>
        </w:tc>
      </w:tr>
      <w:tr w:rsidR="005D7B61" w:rsidTr="00EB680F">
        <w:tc>
          <w:tcPr>
            <w:tcW w:w="2935" w:type="dxa"/>
            <w:vAlign w:val="center"/>
          </w:tcPr>
          <w:p w:rsidR="005D7B61" w:rsidRDefault="005D7B61" w:rsidP="005D7B61">
            <w:r>
              <w:rPr>
                <w:rFonts w:ascii="Calibri" w:hAnsi="Calibri" w:cs="Calibri"/>
                <w:color w:val="000000"/>
              </w:rPr>
              <w:t>T</w:t>
            </w:r>
            <w:r w:rsidR="00F127D3">
              <w:rPr>
                <w:rFonts w:ascii="Calibri" w:hAnsi="Calibri" w:cs="Calibri"/>
                <w:color w:val="000000"/>
              </w:rPr>
              <w:t>as</w:t>
            </w:r>
          </w:p>
        </w:tc>
        <w:tc>
          <w:tcPr>
            <w:tcW w:w="6238" w:type="dxa"/>
            <w:vAlign w:val="center"/>
          </w:tcPr>
          <w:p w:rsidR="005D7B61" w:rsidRDefault="005D7B61" w:rsidP="005D7B61">
            <w:r>
              <w:rPr>
                <w:rFonts w:ascii="Calibri" w:hAnsi="Calibri" w:cs="Calibri"/>
                <w:color w:val="000000"/>
              </w:rPr>
              <w:t>Tasmania</w:t>
            </w:r>
          </w:p>
        </w:tc>
      </w:tr>
      <w:tr w:rsidR="005D7B61" w:rsidTr="00EB680F">
        <w:tc>
          <w:tcPr>
            <w:tcW w:w="2935" w:type="dxa"/>
            <w:vAlign w:val="center"/>
          </w:tcPr>
          <w:p w:rsidR="005D7B61" w:rsidRDefault="005D7B61" w:rsidP="005D7B61">
            <w:r>
              <w:rPr>
                <w:rFonts w:ascii="Calibri" w:hAnsi="Calibri" w:cs="Calibri"/>
                <w:color w:val="000000"/>
              </w:rPr>
              <w:t>The Review</w:t>
            </w:r>
          </w:p>
        </w:tc>
        <w:tc>
          <w:tcPr>
            <w:tcW w:w="6238" w:type="dxa"/>
            <w:vAlign w:val="center"/>
          </w:tcPr>
          <w:p w:rsidR="005D7B61" w:rsidRDefault="005D7B61" w:rsidP="005D7B61">
            <w:r>
              <w:rPr>
                <w:rFonts w:ascii="Calibri" w:hAnsi="Calibri" w:cs="Calibri"/>
                <w:color w:val="000000"/>
              </w:rPr>
              <w:t>Remote Housing Review</w:t>
            </w:r>
          </w:p>
        </w:tc>
      </w:tr>
      <w:tr w:rsidR="005D7B61" w:rsidTr="00EB680F">
        <w:tc>
          <w:tcPr>
            <w:tcW w:w="2935" w:type="dxa"/>
            <w:vAlign w:val="center"/>
          </w:tcPr>
          <w:p w:rsidR="005D7B61" w:rsidRDefault="005D7B61" w:rsidP="005D7B61">
            <w:r>
              <w:rPr>
                <w:rFonts w:ascii="Calibri" w:hAnsi="Calibri" w:cs="Calibri"/>
                <w:color w:val="000000"/>
              </w:rPr>
              <w:t>The Strategy</w:t>
            </w:r>
          </w:p>
        </w:tc>
        <w:tc>
          <w:tcPr>
            <w:tcW w:w="6238" w:type="dxa"/>
            <w:vAlign w:val="center"/>
          </w:tcPr>
          <w:p w:rsidR="005D7B61" w:rsidRDefault="005D7B61" w:rsidP="005D7B61">
            <w:r>
              <w:rPr>
                <w:rFonts w:ascii="Calibri" w:hAnsi="Calibri" w:cs="Calibri"/>
                <w:color w:val="000000"/>
              </w:rPr>
              <w:t>Remote Housing Strategy</w:t>
            </w:r>
            <w:r w:rsidR="00EB680F">
              <w:rPr>
                <w:rFonts w:ascii="Calibri" w:hAnsi="Calibri" w:cs="Calibri"/>
                <w:color w:val="000000"/>
              </w:rPr>
              <w:t xml:space="preserve"> (National Partnership on Remote Housing)</w:t>
            </w:r>
          </w:p>
        </w:tc>
      </w:tr>
      <w:tr w:rsidR="005D7B61" w:rsidTr="00EB680F">
        <w:tc>
          <w:tcPr>
            <w:tcW w:w="2935" w:type="dxa"/>
            <w:vAlign w:val="center"/>
          </w:tcPr>
          <w:p w:rsidR="005D7B61" w:rsidRDefault="005D7B61" w:rsidP="005D7B61">
            <w:r>
              <w:rPr>
                <w:rFonts w:ascii="Calibri" w:hAnsi="Calibri" w:cs="Calibri"/>
                <w:color w:val="000000"/>
              </w:rPr>
              <w:t>Vic</w:t>
            </w:r>
          </w:p>
        </w:tc>
        <w:tc>
          <w:tcPr>
            <w:tcW w:w="6238" w:type="dxa"/>
            <w:vAlign w:val="center"/>
          </w:tcPr>
          <w:p w:rsidR="005D7B61" w:rsidRDefault="005D7B61" w:rsidP="005D7B61">
            <w:r>
              <w:rPr>
                <w:rFonts w:ascii="Calibri" w:hAnsi="Calibri" w:cs="Calibri"/>
                <w:color w:val="000000"/>
              </w:rPr>
              <w:t>Victoria</w:t>
            </w:r>
          </w:p>
        </w:tc>
      </w:tr>
      <w:tr w:rsidR="005D7B61" w:rsidTr="00EB680F">
        <w:tc>
          <w:tcPr>
            <w:tcW w:w="2935" w:type="dxa"/>
            <w:vAlign w:val="center"/>
          </w:tcPr>
          <w:p w:rsidR="005D7B61" w:rsidRDefault="005D7B61" w:rsidP="005D7B61">
            <w:r>
              <w:rPr>
                <w:rFonts w:ascii="Calibri" w:hAnsi="Calibri" w:cs="Calibri"/>
                <w:color w:val="000000"/>
              </w:rPr>
              <w:t>WA</w:t>
            </w:r>
          </w:p>
        </w:tc>
        <w:tc>
          <w:tcPr>
            <w:tcW w:w="6238" w:type="dxa"/>
            <w:vAlign w:val="center"/>
          </w:tcPr>
          <w:p w:rsidR="005D7B61" w:rsidRDefault="005D7B61" w:rsidP="005D7B61">
            <w:r>
              <w:rPr>
                <w:rFonts w:ascii="Calibri" w:hAnsi="Calibri" w:cs="Calibri"/>
                <w:color w:val="000000"/>
              </w:rPr>
              <w:t>Western Australia</w:t>
            </w:r>
          </w:p>
        </w:tc>
      </w:tr>
    </w:tbl>
    <w:p w:rsidR="005D7B61" w:rsidRDefault="005D7B61" w:rsidP="005D7B61">
      <w:pPr>
        <w:spacing w:after="120"/>
      </w:pPr>
    </w:p>
    <w:p w:rsidR="005D7B61" w:rsidRDefault="005D7B61">
      <w:pPr>
        <w:rPr>
          <w:rFonts w:cstheme="minorHAnsi"/>
          <w:color w:val="00264D" w:themeColor="text2" w:themeShade="BF"/>
          <w:spacing w:val="5"/>
          <w:kern w:val="28"/>
          <w:sz w:val="34"/>
          <w:szCs w:val="34"/>
        </w:rPr>
      </w:pPr>
      <w:r>
        <w:rPr>
          <w:rFonts w:cstheme="minorHAnsi"/>
          <w:color w:val="00264D" w:themeColor="text2" w:themeShade="BF"/>
          <w:spacing w:val="5"/>
          <w:kern w:val="28"/>
          <w:sz w:val="34"/>
          <w:szCs w:val="34"/>
        </w:rPr>
        <w:br w:type="page"/>
      </w:r>
    </w:p>
    <w:p w:rsidR="005D7B61" w:rsidRPr="00E96722" w:rsidRDefault="005D7B61" w:rsidP="00211750">
      <w:pPr>
        <w:pStyle w:val="H3"/>
      </w:pPr>
      <w:bookmarkStart w:id="605" w:name="_Toc490218753"/>
      <w:r w:rsidRPr="00E96722">
        <w:lastRenderedPageBreak/>
        <w:t xml:space="preserve">Appendix II – </w:t>
      </w:r>
      <w:r w:rsidR="001C2627">
        <w:t>Communities the Strategy i</w:t>
      </w:r>
      <w:r>
        <w:t>nvested in (June </w:t>
      </w:r>
      <w:r w:rsidRPr="00E96722">
        <w:t>2016)</w:t>
      </w:r>
      <w:bookmarkEnd w:id="605"/>
    </w:p>
    <w:tbl>
      <w:tblPr>
        <w:tblStyle w:val="TableGrid"/>
        <w:tblW w:w="0" w:type="auto"/>
        <w:tblLook w:val="04A0" w:firstRow="1" w:lastRow="0" w:firstColumn="1" w:lastColumn="0" w:noHBand="0" w:noVBand="1"/>
        <w:tblCaption w:val="Communities the Strategy invested in (June 2016)"/>
        <w:tblDescription w:val="List of communities the Strategy invested in (June 2016), grouped by their State."/>
      </w:tblPr>
      <w:tblGrid>
        <w:gridCol w:w="1784"/>
        <w:gridCol w:w="7163"/>
      </w:tblGrid>
      <w:tr w:rsidR="005D7B61" w:rsidTr="00E55245">
        <w:trPr>
          <w:tblHeader/>
        </w:trPr>
        <w:tc>
          <w:tcPr>
            <w:tcW w:w="1809" w:type="dxa"/>
            <w:shd w:val="clear" w:color="auto" w:fill="5CADFF" w:themeFill="text2" w:themeFillTint="66"/>
          </w:tcPr>
          <w:p w:rsidR="005D7B61" w:rsidRPr="00E44EF7" w:rsidRDefault="0004739C" w:rsidP="00E6350E">
            <w:pPr>
              <w:pStyle w:val="Heading6"/>
              <w:outlineLvl w:val="5"/>
            </w:pPr>
            <w:r>
              <w:t>Jurisdiction</w:t>
            </w:r>
          </w:p>
        </w:tc>
        <w:tc>
          <w:tcPr>
            <w:tcW w:w="7433" w:type="dxa"/>
            <w:shd w:val="clear" w:color="auto" w:fill="5CADFF" w:themeFill="text2" w:themeFillTint="66"/>
          </w:tcPr>
          <w:p w:rsidR="005D7B61" w:rsidRPr="00E44EF7" w:rsidRDefault="005D7B61" w:rsidP="00E6350E">
            <w:pPr>
              <w:pStyle w:val="Heading6"/>
              <w:outlineLvl w:val="5"/>
            </w:pPr>
            <w:r w:rsidRPr="00E44EF7">
              <w:t>Community</w:t>
            </w:r>
          </w:p>
        </w:tc>
      </w:tr>
      <w:tr w:rsidR="005D7B61" w:rsidTr="003A7ACA">
        <w:tc>
          <w:tcPr>
            <w:tcW w:w="1809" w:type="dxa"/>
          </w:tcPr>
          <w:p w:rsidR="005D7B61" w:rsidRDefault="005D7B61" w:rsidP="003A7ACA">
            <w:r>
              <w:t>New South Wales</w:t>
            </w:r>
          </w:p>
        </w:tc>
        <w:tc>
          <w:tcPr>
            <w:tcW w:w="7433" w:type="dxa"/>
          </w:tcPr>
          <w:p w:rsidR="005D7B61" w:rsidRDefault="005D7B61" w:rsidP="003A7ACA">
            <w:r>
              <w:t>Armidale, Baradine, Boggabilla, Bourke, Brewarrina, Broken Hill, Buronga, Cobar, Collarenebri, Condobolin, Coonabarabran, Coonable, Dareton, Dubbo, Enngonia, Euabalong, Euston, Gol Gol, Goodooga, Goolgowi, Griffith, Gulargambone, Hay, Hillston, Ivanhoe, Lake Cargelligo, Lightning Ridge, Menindee, Moree, Mungindi, Murrin Bridge, Narrabri, Nyngan, Pilliga, Quambone, Ravenswood, Tamworth, Toomelah, Trangie, Wagga Wagga, Walgett, Warren, Weilmoringle, Wentworth, Wilcannia</w:t>
            </w:r>
          </w:p>
        </w:tc>
      </w:tr>
      <w:tr w:rsidR="005D7B61" w:rsidTr="003A7ACA">
        <w:tc>
          <w:tcPr>
            <w:tcW w:w="1809" w:type="dxa"/>
          </w:tcPr>
          <w:p w:rsidR="005D7B61" w:rsidRDefault="005D7B61" w:rsidP="003A7ACA">
            <w:r>
              <w:t>Queensland</w:t>
            </w:r>
          </w:p>
        </w:tc>
        <w:tc>
          <w:tcPr>
            <w:tcW w:w="7433" w:type="dxa"/>
          </w:tcPr>
          <w:p w:rsidR="005D7B61" w:rsidRDefault="005D7B61" w:rsidP="003A7ACA">
            <w:r>
              <w:t>Arakun, Badu Island, Bamaga, Boigu Island, Cairns, Camooweal, Charleville, Coen, Cooktown, Dauan Island, Doomadgee, Erub Island, Hammond Island, Hope Vale, Horn Island, Iama Island, Injinoo, Kowanyama, Kubin, Lockhart River, Longreach, Mabuiag Island, Mapoon, Masig Island (Yorke), Mitchell, Mornington Island, Murray Island, Napranum, New Mapoon, Palm Island, Pormpuraaw, Poruma Island, Saibai Island, Seisia, St George, St Pauls Island, Townsville, Umagica, Warraber Island, Woorabinda, Wujal Wujal</w:t>
            </w:r>
          </w:p>
        </w:tc>
      </w:tr>
      <w:tr w:rsidR="005D7B61" w:rsidTr="003A7ACA">
        <w:tc>
          <w:tcPr>
            <w:tcW w:w="1809" w:type="dxa"/>
          </w:tcPr>
          <w:p w:rsidR="005D7B61" w:rsidRDefault="005D7B61" w:rsidP="003A7ACA">
            <w:r>
              <w:t>Western Australia</w:t>
            </w:r>
          </w:p>
        </w:tc>
        <w:tc>
          <w:tcPr>
            <w:tcW w:w="7433" w:type="dxa"/>
          </w:tcPr>
          <w:p w:rsidR="005D7B61" w:rsidRDefault="005D7B61" w:rsidP="003A7ACA">
            <w:r>
              <w:t>Ardyaloon, Balgo, Bayulu, Beagle Bay, Bidyandanga, Bindi Bindi, Blackstone, Bobieding, Bondini (Wiluna Town Reserve), Boulder, Broome, Bungardi, Burawa, Burringurrah, Carnarvon, Coonana, Cosmo Newberry, Daringunaya, Derby, Djarindjin, Djimung Nguda, Djugerari, Gillarong, Guda Guda, Halls Creek, Jameson, Jigalong, Joy Springs, Junjuwa, Kalgoorlie, Kalumburu, Karmulinunga, Kiwirrkurra, Koomibe Park (Lamboo Gunian), Koorabye, Kununurra, Kupartiya, Kupungarri, Kurnangki, Loanbun, Lombadina, Looma (new), Looma (old), Mardiwah Loop, Mindi Bungu (Billiluna), Mindi Rardi, Mirima, Mowanjum, Mt Margaret (AMOS), Mulan, Muludja, Mungullah, Ngalingkadji, Ngumpan, Nicholson Block, Noonkanbah, Nulleywah, Onslow, Pandanus Park, Patjarr, Pia Wadjari, Red Hill (Lundja), Ringers Soak (Kundat Djaru), Tjirrkarli, Tjukurla, Tjuntjuntjara, Wakathuni, Wanarn, Wangkatjungka, Warakurna, Warburton, Warmun, Warrayu, Wingellina, Wongatha Wonganarra, Woolah, Yakanarra, Yandeyarra, Yardgee, Yiyili</w:t>
            </w:r>
          </w:p>
        </w:tc>
      </w:tr>
      <w:tr w:rsidR="005D7B61" w:rsidTr="003A7ACA">
        <w:tc>
          <w:tcPr>
            <w:tcW w:w="1809" w:type="dxa"/>
          </w:tcPr>
          <w:p w:rsidR="005D7B61" w:rsidRDefault="005D7B61" w:rsidP="003A7ACA">
            <w:r>
              <w:t>South Australia</w:t>
            </w:r>
          </w:p>
        </w:tc>
        <w:tc>
          <w:tcPr>
            <w:tcW w:w="7433" w:type="dxa"/>
          </w:tcPr>
          <w:p w:rsidR="005D7B61" w:rsidRDefault="005D7B61" w:rsidP="003A7ACA">
            <w:r>
              <w:t>Akwnta, Amata, Dunjiba, Fregon, Gerard, Goretta, Indulkana, Kalka, Kalparrin, Kanpi, Kenmore Park, Koonibba, Mimili, Nepabunna, Nyapari, Oak Valley, Pipalyatjara, Pukatja, Scotdesco, Umoona (Coober Pedy), Yalata</w:t>
            </w:r>
          </w:p>
        </w:tc>
      </w:tr>
      <w:tr w:rsidR="005D7B61" w:rsidTr="003A7ACA">
        <w:tc>
          <w:tcPr>
            <w:tcW w:w="1809" w:type="dxa"/>
          </w:tcPr>
          <w:p w:rsidR="005D7B61" w:rsidRDefault="005D7B61" w:rsidP="003A7ACA">
            <w:r>
              <w:t>Tasmania</w:t>
            </w:r>
          </w:p>
        </w:tc>
        <w:tc>
          <w:tcPr>
            <w:tcW w:w="7433" w:type="dxa"/>
          </w:tcPr>
          <w:p w:rsidR="005D7B61" w:rsidRDefault="005D7B61" w:rsidP="003A7ACA">
            <w:r>
              <w:t>Cape Barren Island, Flinders Island</w:t>
            </w:r>
          </w:p>
        </w:tc>
      </w:tr>
      <w:tr w:rsidR="005D7B61" w:rsidTr="003A7ACA">
        <w:tc>
          <w:tcPr>
            <w:tcW w:w="1809" w:type="dxa"/>
          </w:tcPr>
          <w:p w:rsidR="005D7B61" w:rsidRDefault="005D7B61" w:rsidP="003A7ACA">
            <w:r>
              <w:t>Northern Territory</w:t>
            </w:r>
          </w:p>
        </w:tc>
        <w:tc>
          <w:tcPr>
            <w:tcW w:w="7433" w:type="dxa"/>
          </w:tcPr>
          <w:p w:rsidR="005D7B61" w:rsidRDefault="005D7B61" w:rsidP="00604874">
            <w:r>
              <w:t xml:space="preserve">Abbott’s, Acacia Larrakia, Ali Curung, Alpurrurlam, Amanbidji, Amoonguna, Ampilatwatja, Angurugu, Anthepe, Areyonga, Atitjere, Barunga, Basso’s Farm, Belyuen, Beswick, Binjari, Bulla, Bulman, Canteen Creek, Charles Creek, Daguragu, Engawala, Eva Valley, Finke, Galiwin’ku, Gapuwiyak, Gunbalanya, </w:t>
            </w:r>
            <w:r>
              <w:lastRenderedPageBreak/>
              <w:t>Gunyangara, Haasts Bluff, Hermannsbrug, Hidden Valley, Hoppy’s, Ilparpa, Ilpiye Ilpiye, Imangara, Imanpa, Jilkminggan, Kalkarindji, Kaltukatjara, Kargaru, Karnte, Kintore, Kunoth, Kybrook Farm, Lajamanu, Laramba, Larapinta Valley, Little Sisters, Maningrida, Marla Marla, Milikapiti, Milingimbi, Milyakburra, Minjilang, Minyerri, Morris Soak, Mount Liebig, Mt Nancy, Munji Marla, Mutitjulu, Nauiyu, Ngalpa Ngalpa, Nganmarriyanga (Palumpa), Ngukurr, Nturiya, Numbulwar, Nyirripi, Old Timers, Palmers, Papunya, Peppimenarti, Pigeon Hole, Pirlangimpi, Pmara Jutunta, Ramingining, Rittarangu, Santa Teresa, Tara, Tennant Creek, Tinkarli, Titjikala, Trucking Yards, Umbakumba, Village Camp, Wadeye, Wallace Rockhole, Walpiri, Warruwi, Weemol, Willowra, Wilora, Wuppa, Wurrumiyanga (Nguiu), Wutungurra, Yarralin, Yirrkala, Yuelamu, Yuendumu</w:t>
            </w:r>
          </w:p>
        </w:tc>
      </w:tr>
    </w:tbl>
    <w:p w:rsidR="005D7B61" w:rsidRDefault="005D7B61" w:rsidP="005D7B61"/>
    <w:p w:rsidR="005D7B61" w:rsidRDefault="005D7B61" w:rsidP="00150C33">
      <w:r>
        <w:br w:type="page"/>
      </w:r>
    </w:p>
    <w:p w:rsidR="005D7B61" w:rsidRPr="00C02F5E" w:rsidRDefault="005D7B61" w:rsidP="00211750">
      <w:pPr>
        <w:pStyle w:val="H3"/>
      </w:pPr>
      <w:bookmarkStart w:id="606" w:name="_Toc490218754"/>
      <w:r w:rsidRPr="00C02F5E">
        <w:lastRenderedPageBreak/>
        <w:t xml:space="preserve">Appendix III – Communities and towns visited </w:t>
      </w:r>
      <w:r>
        <w:t>by the P</w:t>
      </w:r>
      <w:r w:rsidRPr="00C02F5E">
        <w:t>anel</w:t>
      </w:r>
      <w:bookmarkEnd w:id="606"/>
      <w:r w:rsidRPr="00C02F5E">
        <w:t xml:space="preserve"> </w:t>
      </w:r>
    </w:p>
    <w:p w:rsidR="00543D85" w:rsidRDefault="00053BFD" w:rsidP="00053BFD">
      <w:pPr>
        <w:pStyle w:val="h4bold"/>
      </w:pPr>
      <w:r w:rsidRPr="00053BFD">
        <w:t>Queensland</w:t>
      </w:r>
    </w:p>
    <w:tbl>
      <w:tblPr>
        <w:tblStyle w:val="TableGrid"/>
        <w:tblW w:w="4966" w:type="pct"/>
        <w:tblLook w:val="04A0" w:firstRow="1" w:lastRow="0" w:firstColumn="1" w:lastColumn="0" w:noHBand="0" w:noVBand="1"/>
        <w:tblCaption w:val="Communities and towns visited by the Panel in Queensland"/>
        <w:tblDescription w:val="List of communities and towns visited by the Panel in Queensland and their region."/>
      </w:tblPr>
      <w:tblGrid>
        <w:gridCol w:w="4441"/>
        <w:gridCol w:w="4445"/>
      </w:tblGrid>
      <w:tr w:rsidR="00053BFD" w:rsidRPr="00F873CB" w:rsidTr="00053BFD">
        <w:trPr>
          <w:trHeight w:val="389"/>
          <w:tblHeader/>
        </w:trPr>
        <w:tc>
          <w:tcPr>
            <w:tcW w:w="2499" w:type="pct"/>
            <w:tcBorders>
              <w:top w:val="single" w:sz="4" w:space="0" w:color="auto"/>
              <w:left w:val="single" w:sz="4" w:space="0" w:color="auto"/>
              <w:bottom w:val="single" w:sz="4" w:space="0" w:color="auto"/>
              <w:right w:val="single" w:sz="4" w:space="0" w:color="auto"/>
            </w:tcBorders>
            <w:shd w:val="clear" w:color="auto" w:fill="5CADFF" w:themeFill="text2" w:themeFillTint="66"/>
            <w:hideMark/>
          </w:tcPr>
          <w:p w:rsidR="00053BFD" w:rsidRPr="00F873CB" w:rsidRDefault="00053BFD" w:rsidP="00FC6528">
            <w:pPr>
              <w:pStyle w:val="Heading6"/>
              <w:outlineLvl w:val="5"/>
            </w:pPr>
            <w:r w:rsidRPr="00F873CB">
              <w:t>Community</w:t>
            </w:r>
          </w:p>
        </w:tc>
        <w:tc>
          <w:tcPr>
            <w:tcW w:w="2501" w:type="pct"/>
            <w:tcBorders>
              <w:top w:val="single" w:sz="4" w:space="0" w:color="auto"/>
              <w:left w:val="single" w:sz="4" w:space="0" w:color="auto"/>
              <w:bottom w:val="single" w:sz="4" w:space="0" w:color="auto"/>
              <w:right w:val="single" w:sz="4" w:space="0" w:color="auto"/>
            </w:tcBorders>
            <w:shd w:val="clear" w:color="auto" w:fill="5CADFF" w:themeFill="text2" w:themeFillTint="66"/>
            <w:vAlign w:val="center"/>
            <w:hideMark/>
          </w:tcPr>
          <w:p w:rsidR="00053BFD" w:rsidRPr="00F873CB" w:rsidRDefault="00053BFD" w:rsidP="00FC6528">
            <w:pPr>
              <w:pStyle w:val="Heading6"/>
              <w:outlineLvl w:val="5"/>
            </w:pPr>
            <w:r w:rsidRPr="00F873CB">
              <w:t>Region</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 xml:space="preserve">Hope Vale </w:t>
            </w:r>
          </w:p>
        </w:tc>
        <w:tc>
          <w:tcPr>
            <w:tcW w:w="2501" w:type="pct"/>
          </w:tcPr>
          <w:p w:rsidR="00053BFD" w:rsidRDefault="00053BFD" w:rsidP="00FC6528">
            <w:pPr>
              <w:spacing w:before="120" w:after="120"/>
              <w:contextualSpacing/>
              <w:rPr>
                <w:rFonts w:cstheme="minorHAnsi"/>
                <w:szCs w:val="20"/>
              </w:rPr>
            </w:pPr>
            <w:r>
              <w:rPr>
                <w:rFonts w:cstheme="minorHAnsi"/>
                <w:szCs w:val="20"/>
              </w:rPr>
              <w:t>Northern Queensland</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 xml:space="preserve">Palm Island </w:t>
            </w:r>
          </w:p>
        </w:tc>
        <w:tc>
          <w:tcPr>
            <w:tcW w:w="2501" w:type="pct"/>
          </w:tcPr>
          <w:p w:rsidR="00053BFD" w:rsidRDefault="00053BFD" w:rsidP="00FC6528">
            <w:pPr>
              <w:spacing w:before="120" w:after="120"/>
              <w:contextualSpacing/>
              <w:rPr>
                <w:rFonts w:cstheme="minorHAnsi"/>
                <w:szCs w:val="20"/>
              </w:rPr>
            </w:pPr>
            <w:r>
              <w:rPr>
                <w:rFonts w:cstheme="minorHAnsi"/>
                <w:szCs w:val="20"/>
              </w:rPr>
              <w:t>Northern Queensland</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28743D">
              <w:rPr>
                <w:rFonts w:cstheme="minorHAnsi"/>
                <w:szCs w:val="20"/>
              </w:rPr>
              <w:t>Cairns</w:t>
            </w:r>
          </w:p>
        </w:tc>
        <w:tc>
          <w:tcPr>
            <w:tcW w:w="2501" w:type="pct"/>
          </w:tcPr>
          <w:p w:rsidR="00053BFD" w:rsidRDefault="00053BFD" w:rsidP="00FC6528">
            <w:pPr>
              <w:spacing w:before="120" w:after="120"/>
              <w:contextualSpacing/>
              <w:rPr>
                <w:rFonts w:cstheme="minorHAnsi"/>
                <w:szCs w:val="20"/>
              </w:rPr>
            </w:pPr>
            <w:r>
              <w:rPr>
                <w:rFonts w:cstheme="minorHAnsi"/>
                <w:szCs w:val="20"/>
              </w:rPr>
              <w:t xml:space="preserve">Northern Queensland </w:t>
            </w:r>
            <w:r w:rsidRPr="0028743D">
              <w:rPr>
                <w:rFonts w:cstheme="minorHAnsi"/>
                <w:szCs w:val="20"/>
              </w:rPr>
              <w:t xml:space="preserve"> </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Badu Island</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 xml:space="preserve">Torres Strait </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Horn Island</w:t>
            </w:r>
            <w:r w:rsidRPr="00C04BC4">
              <w:rPr>
                <w:rFonts w:cstheme="minorHAnsi"/>
                <w:szCs w:val="20"/>
              </w:rPr>
              <w:t xml:space="preserve"> </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 xml:space="preserve">Torres Strait </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Kubin</w:t>
            </w:r>
            <w:r>
              <w:rPr>
                <w:rFonts w:cstheme="minorHAnsi"/>
                <w:szCs w:val="20"/>
              </w:rPr>
              <w:t xml:space="preserve"> (Moa Island)</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Torres Strait</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 xml:space="preserve">Bamaga </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 xml:space="preserve">Northern Peninsula </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 xml:space="preserve">Seisia </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Northern Peninsula</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Injinoo</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Northern Peninsula</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Umagico</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Northern Peninsula</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New Mapoon</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Northern Peninsula</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sidRPr="00C04BC4">
              <w:rPr>
                <w:rFonts w:cstheme="minorHAnsi"/>
                <w:szCs w:val="20"/>
              </w:rPr>
              <w:t xml:space="preserve">Napranum </w:t>
            </w:r>
          </w:p>
        </w:tc>
        <w:tc>
          <w:tcPr>
            <w:tcW w:w="2501" w:type="pct"/>
          </w:tcPr>
          <w:p w:rsidR="00053BFD" w:rsidRDefault="00053BFD" w:rsidP="00FC6528">
            <w:pPr>
              <w:spacing w:before="120" w:after="120"/>
              <w:contextualSpacing/>
              <w:rPr>
                <w:rFonts w:cstheme="minorHAnsi"/>
                <w:szCs w:val="20"/>
              </w:rPr>
            </w:pPr>
            <w:r w:rsidRPr="00C04BC4">
              <w:rPr>
                <w:rFonts w:cstheme="minorHAnsi"/>
                <w:szCs w:val="20"/>
              </w:rPr>
              <w:t>Northern Peninsula</w:t>
            </w:r>
          </w:p>
        </w:tc>
      </w:tr>
    </w:tbl>
    <w:p w:rsidR="00053BFD" w:rsidRDefault="00053BFD" w:rsidP="00053BFD">
      <w:pPr>
        <w:pStyle w:val="h4bold"/>
        <w:spacing w:before="240"/>
      </w:pPr>
      <w:r>
        <w:t>Western Australia</w:t>
      </w:r>
    </w:p>
    <w:tbl>
      <w:tblPr>
        <w:tblStyle w:val="TableGrid"/>
        <w:tblW w:w="4966" w:type="pct"/>
        <w:tblLook w:val="04A0" w:firstRow="1" w:lastRow="0" w:firstColumn="1" w:lastColumn="0" w:noHBand="0" w:noVBand="1"/>
        <w:tblCaption w:val="Communities and towns visited by the Panel in Western Australia"/>
        <w:tblDescription w:val="List of communities and towns visited by the Panel in Western Australia and their region."/>
      </w:tblPr>
      <w:tblGrid>
        <w:gridCol w:w="4441"/>
        <w:gridCol w:w="4445"/>
      </w:tblGrid>
      <w:tr w:rsidR="00053BFD" w:rsidRPr="00F873CB" w:rsidTr="00053BFD">
        <w:trPr>
          <w:trHeight w:val="389"/>
          <w:tblHeader/>
        </w:trPr>
        <w:tc>
          <w:tcPr>
            <w:tcW w:w="2499" w:type="pct"/>
            <w:tcBorders>
              <w:top w:val="single" w:sz="4" w:space="0" w:color="auto"/>
              <w:left w:val="single" w:sz="4" w:space="0" w:color="auto"/>
              <w:bottom w:val="single" w:sz="4" w:space="0" w:color="auto"/>
              <w:right w:val="single" w:sz="4" w:space="0" w:color="auto"/>
            </w:tcBorders>
            <w:shd w:val="clear" w:color="auto" w:fill="5CADFF" w:themeFill="text2" w:themeFillTint="66"/>
            <w:hideMark/>
          </w:tcPr>
          <w:p w:rsidR="00053BFD" w:rsidRPr="00F873CB" w:rsidRDefault="00053BFD" w:rsidP="00FC6528">
            <w:pPr>
              <w:pStyle w:val="Heading6"/>
              <w:outlineLvl w:val="5"/>
            </w:pPr>
            <w:r w:rsidRPr="00F873CB">
              <w:t>Community</w:t>
            </w:r>
          </w:p>
        </w:tc>
        <w:tc>
          <w:tcPr>
            <w:tcW w:w="2501" w:type="pct"/>
            <w:tcBorders>
              <w:top w:val="single" w:sz="4" w:space="0" w:color="auto"/>
              <w:left w:val="single" w:sz="4" w:space="0" w:color="auto"/>
              <w:bottom w:val="single" w:sz="4" w:space="0" w:color="auto"/>
              <w:right w:val="single" w:sz="4" w:space="0" w:color="auto"/>
            </w:tcBorders>
            <w:shd w:val="clear" w:color="auto" w:fill="5CADFF" w:themeFill="text2" w:themeFillTint="66"/>
            <w:vAlign w:val="center"/>
            <w:hideMark/>
          </w:tcPr>
          <w:p w:rsidR="00053BFD" w:rsidRPr="00F873CB" w:rsidRDefault="00053BFD" w:rsidP="00FC6528">
            <w:pPr>
              <w:pStyle w:val="Heading6"/>
              <w:outlineLvl w:val="5"/>
            </w:pPr>
            <w:r w:rsidRPr="00F873CB">
              <w:t>Region</w:t>
            </w:r>
          </w:p>
        </w:tc>
      </w:tr>
      <w:tr w:rsidR="00053BFD" w:rsidTr="00053BFD">
        <w:trPr>
          <w:trHeight w:val="389"/>
        </w:trPr>
        <w:tc>
          <w:tcPr>
            <w:tcW w:w="2499" w:type="pct"/>
            <w:tcBorders>
              <w:top w:val="single" w:sz="4" w:space="0" w:color="auto"/>
              <w:left w:val="single" w:sz="4" w:space="0" w:color="auto"/>
              <w:bottom w:val="single" w:sz="4" w:space="0" w:color="auto"/>
              <w:right w:val="single" w:sz="4" w:space="0" w:color="auto"/>
            </w:tcBorders>
          </w:tcPr>
          <w:p w:rsidR="00053BFD" w:rsidRDefault="00053BFD" w:rsidP="00FC6528">
            <w:pPr>
              <w:spacing w:before="120" w:after="120"/>
              <w:contextualSpacing/>
              <w:rPr>
                <w:rFonts w:cstheme="minorHAnsi"/>
                <w:szCs w:val="20"/>
              </w:rPr>
            </w:pPr>
            <w:r>
              <w:rPr>
                <w:rFonts w:cstheme="minorHAnsi"/>
                <w:szCs w:val="20"/>
              </w:rPr>
              <w:t>South Hedland</w:t>
            </w:r>
          </w:p>
        </w:tc>
        <w:tc>
          <w:tcPr>
            <w:tcW w:w="2501" w:type="pct"/>
            <w:tcBorders>
              <w:top w:val="single" w:sz="4" w:space="0" w:color="auto"/>
              <w:left w:val="single" w:sz="4" w:space="0" w:color="auto"/>
              <w:bottom w:val="single" w:sz="4" w:space="0" w:color="auto"/>
              <w:right w:val="single" w:sz="4" w:space="0" w:color="auto"/>
            </w:tcBorders>
          </w:tcPr>
          <w:p w:rsidR="00053BFD" w:rsidRDefault="00053BFD" w:rsidP="00FC6528">
            <w:pPr>
              <w:spacing w:before="120" w:after="120"/>
              <w:contextualSpacing/>
              <w:rPr>
                <w:rFonts w:cstheme="minorHAnsi"/>
                <w:szCs w:val="20"/>
              </w:rPr>
            </w:pPr>
            <w:r w:rsidRPr="00C04BC4">
              <w:rPr>
                <w:rFonts w:cstheme="minorHAnsi"/>
                <w:szCs w:val="20"/>
              </w:rPr>
              <w:t xml:space="preserve">Pilbara </w:t>
            </w:r>
          </w:p>
        </w:tc>
      </w:tr>
      <w:tr w:rsidR="00053BFD" w:rsidRPr="0028743D" w:rsidTr="00053BFD">
        <w:trPr>
          <w:trHeight w:val="389"/>
        </w:trPr>
        <w:tc>
          <w:tcPr>
            <w:tcW w:w="2499" w:type="pct"/>
            <w:tcBorders>
              <w:top w:val="single" w:sz="4" w:space="0" w:color="auto"/>
              <w:left w:val="single" w:sz="4" w:space="0" w:color="auto"/>
              <w:bottom w:val="single" w:sz="4" w:space="0" w:color="auto"/>
              <w:right w:val="single" w:sz="4" w:space="0" w:color="auto"/>
            </w:tcBorders>
            <w:vAlign w:val="center"/>
          </w:tcPr>
          <w:p w:rsidR="00053BFD" w:rsidRPr="00AC7CA5" w:rsidRDefault="00053BFD" w:rsidP="00FC6528">
            <w:pPr>
              <w:spacing w:before="120" w:after="120"/>
              <w:contextualSpacing/>
              <w:rPr>
                <w:rFonts w:cstheme="minorHAnsi"/>
                <w:szCs w:val="20"/>
              </w:rPr>
            </w:pPr>
            <w:r>
              <w:rPr>
                <w:rFonts w:cstheme="minorHAnsi"/>
                <w:szCs w:val="20"/>
              </w:rPr>
              <w:t>Broome</w:t>
            </w:r>
          </w:p>
        </w:tc>
        <w:tc>
          <w:tcPr>
            <w:tcW w:w="2501" w:type="pct"/>
            <w:tcBorders>
              <w:top w:val="single" w:sz="4" w:space="0" w:color="auto"/>
              <w:left w:val="single" w:sz="4" w:space="0" w:color="auto"/>
              <w:bottom w:val="single" w:sz="4" w:space="0" w:color="auto"/>
              <w:right w:val="single" w:sz="4" w:space="0" w:color="auto"/>
            </w:tcBorders>
            <w:vAlign w:val="center"/>
          </w:tcPr>
          <w:p w:rsidR="00053BFD" w:rsidRPr="0028743D" w:rsidRDefault="00053BFD" w:rsidP="00FC6528">
            <w:pPr>
              <w:spacing w:before="120" w:after="120"/>
              <w:contextualSpacing/>
              <w:rPr>
                <w:rFonts w:cstheme="minorHAnsi"/>
                <w:szCs w:val="20"/>
              </w:rPr>
            </w:pPr>
            <w:r>
              <w:rPr>
                <w:rFonts w:cstheme="minorHAnsi"/>
                <w:szCs w:val="20"/>
              </w:rPr>
              <w:t>Kimberley</w:t>
            </w:r>
          </w:p>
        </w:tc>
      </w:tr>
      <w:tr w:rsidR="00053BFD" w:rsidRPr="0028743D" w:rsidTr="00053BFD">
        <w:trPr>
          <w:trHeight w:val="389"/>
        </w:trPr>
        <w:tc>
          <w:tcPr>
            <w:tcW w:w="2499" w:type="pct"/>
            <w:tcBorders>
              <w:top w:val="single" w:sz="4" w:space="0" w:color="auto"/>
              <w:left w:val="single" w:sz="4" w:space="0" w:color="auto"/>
              <w:bottom w:val="single" w:sz="4" w:space="0" w:color="auto"/>
              <w:right w:val="single" w:sz="4" w:space="0" w:color="auto"/>
            </w:tcBorders>
            <w:vAlign w:val="center"/>
          </w:tcPr>
          <w:p w:rsidR="00053BFD" w:rsidRPr="00AC7CA5" w:rsidRDefault="00053BFD" w:rsidP="00FC6528">
            <w:pPr>
              <w:spacing w:before="120" w:after="120"/>
              <w:contextualSpacing/>
              <w:rPr>
                <w:rFonts w:cstheme="minorHAnsi"/>
                <w:szCs w:val="20"/>
              </w:rPr>
            </w:pPr>
            <w:r>
              <w:rPr>
                <w:rFonts w:cstheme="minorHAnsi"/>
                <w:szCs w:val="20"/>
              </w:rPr>
              <w:t>Derby</w:t>
            </w:r>
          </w:p>
        </w:tc>
        <w:tc>
          <w:tcPr>
            <w:tcW w:w="2501" w:type="pct"/>
            <w:tcBorders>
              <w:top w:val="single" w:sz="4" w:space="0" w:color="auto"/>
              <w:left w:val="single" w:sz="4" w:space="0" w:color="auto"/>
              <w:bottom w:val="single" w:sz="4" w:space="0" w:color="auto"/>
              <w:right w:val="single" w:sz="4" w:space="0" w:color="auto"/>
            </w:tcBorders>
            <w:vAlign w:val="center"/>
          </w:tcPr>
          <w:p w:rsidR="00053BFD" w:rsidRPr="0028743D" w:rsidRDefault="00053BFD" w:rsidP="00FC6528">
            <w:pPr>
              <w:spacing w:before="120" w:after="120"/>
              <w:contextualSpacing/>
              <w:rPr>
                <w:rFonts w:cstheme="minorHAnsi"/>
                <w:szCs w:val="20"/>
              </w:rPr>
            </w:pPr>
            <w:r>
              <w:rPr>
                <w:rFonts w:cstheme="minorHAnsi"/>
                <w:szCs w:val="20"/>
              </w:rPr>
              <w:t>Kimberley</w:t>
            </w:r>
          </w:p>
        </w:tc>
      </w:tr>
      <w:tr w:rsidR="00053BFD" w:rsidRPr="00F873CB" w:rsidTr="00053BFD">
        <w:trPr>
          <w:trHeight w:val="389"/>
        </w:trPr>
        <w:tc>
          <w:tcPr>
            <w:tcW w:w="2499" w:type="pct"/>
            <w:tcBorders>
              <w:top w:val="single" w:sz="4" w:space="0" w:color="auto"/>
              <w:left w:val="single" w:sz="4" w:space="0" w:color="auto"/>
              <w:bottom w:val="single" w:sz="4" w:space="0" w:color="auto"/>
              <w:right w:val="single" w:sz="4" w:space="0" w:color="auto"/>
            </w:tcBorders>
            <w:vAlign w:val="center"/>
          </w:tcPr>
          <w:p w:rsidR="00053BFD" w:rsidRPr="0028743D" w:rsidRDefault="00053BFD" w:rsidP="00FC6528">
            <w:pPr>
              <w:spacing w:before="120" w:after="120"/>
              <w:contextualSpacing/>
              <w:rPr>
                <w:rFonts w:cstheme="minorHAnsi"/>
                <w:szCs w:val="20"/>
              </w:rPr>
            </w:pPr>
            <w:r w:rsidRPr="0028743D">
              <w:rPr>
                <w:rFonts w:cstheme="minorHAnsi"/>
                <w:szCs w:val="20"/>
              </w:rPr>
              <w:t xml:space="preserve">Looma </w:t>
            </w:r>
          </w:p>
        </w:tc>
        <w:tc>
          <w:tcPr>
            <w:tcW w:w="2501" w:type="pct"/>
            <w:tcBorders>
              <w:top w:val="single" w:sz="4" w:space="0" w:color="auto"/>
              <w:left w:val="single" w:sz="4" w:space="0" w:color="auto"/>
              <w:bottom w:val="single" w:sz="4" w:space="0" w:color="auto"/>
              <w:right w:val="single" w:sz="4" w:space="0" w:color="auto"/>
            </w:tcBorders>
            <w:vAlign w:val="center"/>
          </w:tcPr>
          <w:p w:rsidR="00053BFD" w:rsidRPr="00F873CB" w:rsidRDefault="00053BFD" w:rsidP="00FC6528">
            <w:pPr>
              <w:spacing w:before="120" w:after="120"/>
              <w:contextualSpacing/>
              <w:rPr>
                <w:rFonts w:cstheme="minorHAnsi"/>
                <w:b/>
                <w:szCs w:val="20"/>
              </w:rPr>
            </w:pPr>
            <w:r>
              <w:rPr>
                <w:rFonts w:cstheme="minorHAnsi"/>
                <w:szCs w:val="20"/>
              </w:rPr>
              <w:t>Kimberley</w:t>
            </w:r>
          </w:p>
        </w:tc>
      </w:tr>
      <w:tr w:rsidR="00053BFD" w:rsidRPr="00F873CB" w:rsidTr="00053BFD">
        <w:trPr>
          <w:trHeight w:val="389"/>
        </w:trPr>
        <w:tc>
          <w:tcPr>
            <w:tcW w:w="2499" w:type="pct"/>
            <w:tcBorders>
              <w:top w:val="single" w:sz="4" w:space="0" w:color="auto"/>
              <w:left w:val="single" w:sz="4" w:space="0" w:color="auto"/>
              <w:bottom w:val="single" w:sz="4" w:space="0" w:color="auto"/>
              <w:right w:val="single" w:sz="4" w:space="0" w:color="auto"/>
            </w:tcBorders>
            <w:vAlign w:val="center"/>
          </w:tcPr>
          <w:p w:rsidR="00053BFD" w:rsidRPr="0028743D" w:rsidRDefault="00053BFD" w:rsidP="00FC6528">
            <w:pPr>
              <w:spacing w:before="120" w:after="120"/>
              <w:contextualSpacing/>
              <w:rPr>
                <w:rFonts w:cstheme="minorHAnsi"/>
                <w:szCs w:val="20"/>
              </w:rPr>
            </w:pPr>
            <w:r w:rsidRPr="0028743D">
              <w:rPr>
                <w:rFonts w:cstheme="minorHAnsi"/>
                <w:szCs w:val="20"/>
              </w:rPr>
              <w:t>Mowanjum</w:t>
            </w:r>
          </w:p>
        </w:tc>
        <w:tc>
          <w:tcPr>
            <w:tcW w:w="2501" w:type="pct"/>
            <w:tcBorders>
              <w:top w:val="single" w:sz="4" w:space="0" w:color="auto"/>
              <w:left w:val="single" w:sz="4" w:space="0" w:color="auto"/>
              <w:bottom w:val="single" w:sz="4" w:space="0" w:color="auto"/>
              <w:right w:val="single" w:sz="4" w:space="0" w:color="auto"/>
            </w:tcBorders>
            <w:vAlign w:val="center"/>
          </w:tcPr>
          <w:p w:rsidR="00053BFD" w:rsidRPr="00F873CB" w:rsidRDefault="00053BFD" w:rsidP="00FC6528">
            <w:pPr>
              <w:spacing w:before="120" w:after="120"/>
              <w:contextualSpacing/>
              <w:rPr>
                <w:rFonts w:cstheme="minorHAnsi"/>
                <w:b/>
                <w:szCs w:val="20"/>
              </w:rPr>
            </w:pPr>
            <w:r>
              <w:rPr>
                <w:rFonts w:cstheme="minorHAnsi"/>
                <w:szCs w:val="20"/>
              </w:rPr>
              <w:t>Kimberley</w:t>
            </w:r>
          </w:p>
        </w:tc>
      </w:tr>
      <w:tr w:rsidR="00053BFD" w:rsidRPr="00F873CB" w:rsidTr="00053BFD">
        <w:trPr>
          <w:trHeight w:val="389"/>
        </w:trPr>
        <w:tc>
          <w:tcPr>
            <w:tcW w:w="2499" w:type="pct"/>
          </w:tcPr>
          <w:p w:rsidR="00053BFD" w:rsidRPr="0028743D" w:rsidRDefault="00053BFD" w:rsidP="00FC6528">
            <w:pPr>
              <w:spacing w:before="120" w:after="120"/>
              <w:contextualSpacing/>
              <w:rPr>
                <w:rFonts w:cstheme="minorHAnsi"/>
                <w:szCs w:val="20"/>
              </w:rPr>
            </w:pPr>
            <w:r w:rsidRPr="0028743D">
              <w:rPr>
                <w:rFonts w:cstheme="minorHAnsi"/>
                <w:szCs w:val="20"/>
              </w:rPr>
              <w:t>Junjuwa</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Pr="0028743D" w:rsidRDefault="00053BFD" w:rsidP="00FC6528">
            <w:pPr>
              <w:spacing w:before="120" w:after="120"/>
              <w:contextualSpacing/>
              <w:rPr>
                <w:rFonts w:cstheme="minorHAnsi"/>
                <w:szCs w:val="20"/>
              </w:rPr>
            </w:pPr>
            <w:r w:rsidRPr="0028743D">
              <w:rPr>
                <w:rFonts w:cstheme="minorHAnsi"/>
                <w:szCs w:val="20"/>
              </w:rPr>
              <w:t>Fitzroy Crossing</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Pr="0028743D" w:rsidRDefault="00053BFD" w:rsidP="00FC6528">
            <w:pPr>
              <w:spacing w:before="120" w:after="120"/>
              <w:contextualSpacing/>
              <w:rPr>
                <w:rFonts w:cstheme="minorHAnsi"/>
                <w:szCs w:val="20"/>
              </w:rPr>
            </w:pPr>
            <w:r w:rsidRPr="0028743D">
              <w:rPr>
                <w:rFonts w:cstheme="minorHAnsi"/>
                <w:szCs w:val="20"/>
              </w:rPr>
              <w:t>Muludja</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Pr="0028743D" w:rsidRDefault="00053BFD" w:rsidP="00FC6528">
            <w:pPr>
              <w:spacing w:before="120" w:after="120"/>
              <w:contextualSpacing/>
              <w:rPr>
                <w:rFonts w:cstheme="minorHAnsi"/>
                <w:szCs w:val="20"/>
              </w:rPr>
            </w:pPr>
            <w:r w:rsidRPr="0028743D">
              <w:rPr>
                <w:rFonts w:cstheme="minorHAnsi"/>
                <w:szCs w:val="20"/>
              </w:rPr>
              <w:t>Joy Springs</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Pr="0028743D" w:rsidRDefault="00053BFD" w:rsidP="00FC6528">
            <w:pPr>
              <w:spacing w:before="120" w:after="120"/>
              <w:contextualSpacing/>
              <w:rPr>
                <w:rFonts w:cstheme="minorHAnsi"/>
                <w:szCs w:val="20"/>
              </w:rPr>
            </w:pPr>
            <w:r>
              <w:rPr>
                <w:rFonts w:cstheme="minorHAnsi"/>
                <w:szCs w:val="20"/>
              </w:rPr>
              <w:t>Bayulu</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Noonkanbah</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 xml:space="preserve">Halls Creek </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Warmun</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RPr="00F873CB"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lastRenderedPageBreak/>
              <w:t>Kununurra</w:t>
            </w:r>
          </w:p>
        </w:tc>
        <w:tc>
          <w:tcPr>
            <w:tcW w:w="2501" w:type="pct"/>
            <w:vAlign w:val="center"/>
          </w:tcPr>
          <w:p w:rsidR="00053BFD" w:rsidRPr="00F873CB" w:rsidRDefault="00053BFD" w:rsidP="00FC6528">
            <w:pPr>
              <w:rPr>
                <w:rFonts w:cstheme="minorHAnsi"/>
                <w:b/>
                <w:szCs w:val="20"/>
                <w:highlight w:val="green"/>
              </w:rPr>
            </w:pPr>
            <w:r>
              <w:rPr>
                <w:rFonts w:cstheme="minorHAnsi"/>
                <w:szCs w:val="20"/>
              </w:rPr>
              <w:t>Kimberley</w:t>
            </w:r>
          </w:p>
        </w:tc>
      </w:tr>
      <w:tr w:rsidR="00053BFD"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Mirima</w:t>
            </w:r>
          </w:p>
        </w:tc>
        <w:tc>
          <w:tcPr>
            <w:tcW w:w="2501" w:type="pct"/>
            <w:vAlign w:val="center"/>
          </w:tcPr>
          <w:p w:rsidR="00053BFD" w:rsidRDefault="00053BFD" w:rsidP="00FC6528">
            <w:pPr>
              <w:rPr>
                <w:rFonts w:cstheme="minorHAnsi"/>
                <w:szCs w:val="20"/>
              </w:rPr>
            </w:pPr>
            <w:r>
              <w:rPr>
                <w:rFonts w:cstheme="minorHAnsi"/>
                <w:szCs w:val="20"/>
              </w:rPr>
              <w:t>Kimberley</w:t>
            </w:r>
          </w:p>
        </w:tc>
      </w:tr>
    </w:tbl>
    <w:p w:rsidR="00053BFD" w:rsidRDefault="00053BFD" w:rsidP="00053BFD">
      <w:pPr>
        <w:pStyle w:val="h4bold"/>
        <w:spacing w:before="240"/>
      </w:pPr>
      <w:r w:rsidRPr="00053BFD">
        <w:t>South Australia</w:t>
      </w:r>
    </w:p>
    <w:tbl>
      <w:tblPr>
        <w:tblStyle w:val="TableGrid"/>
        <w:tblW w:w="4966" w:type="pct"/>
        <w:tblLook w:val="04A0" w:firstRow="1" w:lastRow="0" w:firstColumn="1" w:lastColumn="0" w:noHBand="0" w:noVBand="1"/>
        <w:tblCaption w:val="Communities and towns visited by the Panel in South Australia"/>
        <w:tblDescription w:val="List of communities and towns visited by the Panel in South Australia and their region."/>
      </w:tblPr>
      <w:tblGrid>
        <w:gridCol w:w="4441"/>
        <w:gridCol w:w="4445"/>
      </w:tblGrid>
      <w:tr w:rsidR="00053BFD" w:rsidRPr="00F873CB" w:rsidTr="00E55245">
        <w:trPr>
          <w:trHeight w:val="389"/>
          <w:tblHeader/>
        </w:trPr>
        <w:tc>
          <w:tcPr>
            <w:tcW w:w="2499" w:type="pct"/>
            <w:tcBorders>
              <w:top w:val="single" w:sz="4" w:space="0" w:color="auto"/>
              <w:left w:val="single" w:sz="4" w:space="0" w:color="auto"/>
              <w:bottom w:val="single" w:sz="4" w:space="0" w:color="auto"/>
              <w:right w:val="single" w:sz="4" w:space="0" w:color="auto"/>
            </w:tcBorders>
            <w:shd w:val="clear" w:color="auto" w:fill="5CADFF" w:themeFill="text2" w:themeFillTint="66"/>
            <w:hideMark/>
          </w:tcPr>
          <w:p w:rsidR="00053BFD" w:rsidRPr="00F873CB" w:rsidRDefault="00053BFD" w:rsidP="00FC6528">
            <w:pPr>
              <w:pStyle w:val="Heading6"/>
              <w:outlineLvl w:val="5"/>
            </w:pPr>
            <w:r w:rsidRPr="00F873CB">
              <w:t>Community</w:t>
            </w:r>
          </w:p>
        </w:tc>
        <w:tc>
          <w:tcPr>
            <w:tcW w:w="2501" w:type="pct"/>
            <w:tcBorders>
              <w:top w:val="single" w:sz="4" w:space="0" w:color="auto"/>
              <w:left w:val="single" w:sz="4" w:space="0" w:color="auto"/>
              <w:bottom w:val="single" w:sz="4" w:space="0" w:color="auto"/>
              <w:right w:val="single" w:sz="4" w:space="0" w:color="auto"/>
            </w:tcBorders>
            <w:shd w:val="clear" w:color="auto" w:fill="5CADFF" w:themeFill="text2" w:themeFillTint="66"/>
            <w:vAlign w:val="center"/>
            <w:hideMark/>
          </w:tcPr>
          <w:p w:rsidR="00053BFD" w:rsidRPr="00F873CB" w:rsidRDefault="00053BFD" w:rsidP="00FC6528">
            <w:pPr>
              <w:pStyle w:val="Heading6"/>
              <w:outlineLvl w:val="5"/>
            </w:pPr>
            <w:r w:rsidRPr="00F873CB">
              <w:t>Region</w:t>
            </w:r>
          </w:p>
        </w:tc>
      </w:tr>
      <w:tr w:rsidR="00053BFD" w:rsidRPr="00D76D56"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Amata</w:t>
            </w:r>
          </w:p>
        </w:tc>
        <w:tc>
          <w:tcPr>
            <w:tcW w:w="2501" w:type="pct"/>
          </w:tcPr>
          <w:p w:rsidR="00053BFD" w:rsidRPr="00D76D56" w:rsidRDefault="00053BFD" w:rsidP="00FC6528">
            <w:pPr>
              <w:rPr>
                <w:rFonts w:cstheme="minorHAnsi"/>
                <w:szCs w:val="20"/>
                <w:highlight w:val="green"/>
              </w:rPr>
            </w:pPr>
            <w:r>
              <w:rPr>
                <w:rFonts w:cstheme="minorHAnsi"/>
                <w:szCs w:val="20"/>
              </w:rPr>
              <w:t xml:space="preserve">APY Lands </w:t>
            </w:r>
          </w:p>
        </w:tc>
      </w:tr>
      <w:tr w:rsidR="00053BFD" w:rsidRPr="00AC7CA5"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Umuwa</w:t>
            </w:r>
          </w:p>
        </w:tc>
        <w:tc>
          <w:tcPr>
            <w:tcW w:w="2501" w:type="pct"/>
          </w:tcPr>
          <w:p w:rsidR="00053BFD" w:rsidRPr="00AC7CA5" w:rsidRDefault="00053BFD" w:rsidP="00FC6528">
            <w:pPr>
              <w:rPr>
                <w:rFonts w:cstheme="minorHAnsi"/>
                <w:szCs w:val="20"/>
              </w:rPr>
            </w:pPr>
            <w:r>
              <w:rPr>
                <w:rFonts w:cstheme="minorHAnsi"/>
                <w:szCs w:val="20"/>
              </w:rPr>
              <w:t xml:space="preserve">APY Lands </w:t>
            </w:r>
          </w:p>
        </w:tc>
      </w:tr>
      <w:tr w:rsidR="00053BFD" w:rsidRPr="00AC7CA5"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Fregon</w:t>
            </w:r>
          </w:p>
        </w:tc>
        <w:tc>
          <w:tcPr>
            <w:tcW w:w="2501" w:type="pct"/>
          </w:tcPr>
          <w:p w:rsidR="00053BFD" w:rsidRPr="00AC7CA5" w:rsidRDefault="00053BFD" w:rsidP="00FC6528">
            <w:pPr>
              <w:rPr>
                <w:rFonts w:cstheme="minorHAnsi"/>
                <w:b/>
                <w:szCs w:val="20"/>
              </w:rPr>
            </w:pPr>
            <w:r>
              <w:rPr>
                <w:rFonts w:cstheme="minorHAnsi"/>
                <w:szCs w:val="20"/>
              </w:rPr>
              <w:t xml:space="preserve">APY Lands </w:t>
            </w:r>
          </w:p>
        </w:tc>
      </w:tr>
      <w:tr w:rsidR="00053BFD" w:rsidRPr="00AC7CA5" w:rsidTr="00053BFD">
        <w:trPr>
          <w:trHeight w:val="389"/>
        </w:trPr>
        <w:tc>
          <w:tcPr>
            <w:tcW w:w="2499" w:type="pct"/>
          </w:tcPr>
          <w:p w:rsidR="00053BFD" w:rsidRPr="00AC7CA5" w:rsidRDefault="00053BFD" w:rsidP="00FC6528">
            <w:pPr>
              <w:spacing w:before="120" w:after="120"/>
              <w:contextualSpacing/>
              <w:rPr>
                <w:rFonts w:cstheme="minorHAnsi"/>
                <w:szCs w:val="20"/>
              </w:rPr>
            </w:pPr>
            <w:r>
              <w:rPr>
                <w:rFonts w:cstheme="minorHAnsi"/>
                <w:szCs w:val="20"/>
              </w:rPr>
              <w:t>Ernabella</w:t>
            </w:r>
          </w:p>
        </w:tc>
        <w:tc>
          <w:tcPr>
            <w:tcW w:w="2501" w:type="pct"/>
          </w:tcPr>
          <w:p w:rsidR="00053BFD" w:rsidRPr="00AC7CA5" w:rsidRDefault="00053BFD" w:rsidP="00FC6528">
            <w:pPr>
              <w:rPr>
                <w:rFonts w:cstheme="minorHAnsi"/>
                <w:szCs w:val="20"/>
              </w:rPr>
            </w:pPr>
            <w:r>
              <w:rPr>
                <w:rFonts w:cstheme="minorHAnsi"/>
                <w:szCs w:val="20"/>
              </w:rPr>
              <w:t xml:space="preserve">APY Lands </w:t>
            </w:r>
          </w:p>
        </w:tc>
      </w:tr>
      <w:tr w:rsidR="00053BFD" w:rsidRPr="00AC7CA5"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Ceduna</w:t>
            </w:r>
          </w:p>
        </w:tc>
        <w:tc>
          <w:tcPr>
            <w:tcW w:w="2501" w:type="pct"/>
          </w:tcPr>
          <w:p w:rsidR="00053BFD" w:rsidRPr="00AC7CA5" w:rsidRDefault="00053BFD" w:rsidP="00FC6528">
            <w:pPr>
              <w:rPr>
                <w:rFonts w:cstheme="minorHAnsi"/>
                <w:szCs w:val="20"/>
              </w:rPr>
            </w:pPr>
            <w:r>
              <w:rPr>
                <w:rFonts w:cstheme="minorHAnsi"/>
                <w:szCs w:val="20"/>
              </w:rPr>
              <w:t xml:space="preserve">SA West Coast </w:t>
            </w:r>
          </w:p>
        </w:tc>
      </w:tr>
      <w:tr w:rsidR="00053BFD" w:rsidRPr="00AC7CA5" w:rsidTr="00053BFD">
        <w:trPr>
          <w:trHeight w:val="389"/>
        </w:trPr>
        <w:tc>
          <w:tcPr>
            <w:tcW w:w="2499" w:type="pct"/>
          </w:tcPr>
          <w:p w:rsidR="00053BFD" w:rsidRDefault="00053BFD" w:rsidP="00FC6528">
            <w:pPr>
              <w:spacing w:before="120" w:after="120"/>
              <w:contextualSpacing/>
              <w:rPr>
                <w:rFonts w:cstheme="minorHAnsi"/>
                <w:szCs w:val="20"/>
              </w:rPr>
            </w:pPr>
            <w:r>
              <w:rPr>
                <w:rFonts w:cstheme="minorHAnsi"/>
                <w:szCs w:val="20"/>
              </w:rPr>
              <w:t>Kooniba</w:t>
            </w:r>
          </w:p>
        </w:tc>
        <w:tc>
          <w:tcPr>
            <w:tcW w:w="2501" w:type="pct"/>
          </w:tcPr>
          <w:p w:rsidR="00053BFD" w:rsidRPr="00AC7CA5" w:rsidRDefault="00053BFD" w:rsidP="00FC6528">
            <w:pPr>
              <w:rPr>
                <w:rFonts w:cstheme="minorHAnsi"/>
                <w:szCs w:val="20"/>
              </w:rPr>
            </w:pPr>
            <w:r>
              <w:rPr>
                <w:rFonts w:cstheme="minorHAnsi"/>
                <w:szCs w:val="20"/>
              </w:rPr>
              <w:t xml:space="preserve">SA West Coast </w:t>
            </w:r>
          </w:p>
        </w:tc>
      </w:tr>
    </w:tbl>
    <w:p w:rsidR="00543D85" w:rsidRDefault="00053BFD" w:rsidP="00053BFD">
      <w:pPr>
        <w:pStyle w:val="h4bold"/>
        <w:spacing w:before="240"/>
      </w:pPr>
      <w:r w:rsidRPr="00053BFD">
        <w:t>Northern Territory</w:t>
      </w:r>
    </w:p>
    <w:tbl>
      <w:tblPr>
        <w:tblStyle w:val="TableGrid"/>
        <w:tblW w:w="4966" w:type="pct"/>
        <w:tblLook w:val="04A0" w:firstRow="1" w:lastRow="0" w:firstColumn="1" w:lastColumn="0" w:noHBand="0" w:noVBand="1"/>
        <w:tblCaption w:val="Communities and towns visited by the Panel in Northern Territory"/>
        <w:tblDescription w:val="List of communities and towns visited by the Panel in Northern Territory and their region."/>
      </w:tblPr>
      <w:tblGrid>
        <w:gridCol w:w="4441"/>
        <w:gridCol w:w="4445"/>
      </w:tblGrid>
      <w:tr w:rsidR="00053BFD" w:rsidRPr="00F873CB" w:rsidTr="00E55245">
        <w:trPr>
          <w:trHeight w:val="389"/>
          <w:tblHeader/>
        </w:trPr>
        <w:tc>
          <w:tcPr>
            <w:tcW w:w="1666" w:type="pct"/>
            <w:tcBorders>
              <w:top w:val="single" w:sz="4" w:space="0" w:color="auto"/>
              <w:left w:val="single" w:sz="4" w:space="0" w:color="auto"/>
              <w:bottom w:val="single" w:sz="4" w:space="0" w:color="auto"/>
              <w:right w:val="single" w:sz="4" w:space="0" w:color="auto"/>
            </w:tcBorders>
            <w:shd w:val="clear" w:color="auto" w:fill="5CADFF" w:themeFill="text2" w:themeFillTint="66"/>
            <w:hideMark/>
          </w:tcPr>
          <w:p w:rsidR="00053BFD" w:rsidRPr="00F873CB" w:rsidRDefault="00053BFD" w:rsidP="00FC6528">
            <w:pPr>
              <w:pStyle w:val="Heading6"/>
              <w:outlineLvl w:val="5"/>
            </w:pPr>
            <w:r w:rsidRPr="00F873CB">
              <w:t>Community</w:t>
            </w:r>
          </w:p>
        </w:tc>
        <w:tc>
          <w:tcPr>
            <w:tcW w:w="1667" w:type="pct"/>
            <w:tcBorders>
              <w:top w:val="single" w:sz="4" w:space="0" w:color="auto"/>
              <w:left w:val="single" w:sz="4" w:space="0" w:color="auto"/>
              <w:bottom w:val="single" w:sz="4" w:space="0" w:color="auto"/>
              <w:right w:val="single" w:sz="4" w:space="0" w:color="auto"/>
            </w:tcBorders>
            <w:shd w:val="clear" w:color="auto" w:fill="5CADFF" w:themeFill="text2" w:themeFillTint="66"/>
            <w:vAlign w:val="center"/>
            <w:hideMark/>
          </w:tcPr>
          <w:p w:rsidR="00053BFD" w:rsidRPr="00F873CB" w:rsidRDefault="00053BFD" w:rsidP="00FC6528">
            <w:pPr>
              <w:pStyle w:val="Heading6"/>
              <w:outlineLvl w:val="5"/>
            </w:pPr>
            <w:r w:rsidRPr="00F873CB">
              <w:t>Region</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Pr>
                <w:rFonts w:cstheme="minorHAnsi"/>
                <w:szCs w:val="20"/>
              </w:rPr>
              <w:t xml:space="preserve">Wadeye </w:t>
            </w:r>
          </w:p>
        </w:tc>
        <w:tc>
          <w:tcPr>
            <w:tcW w:w="1667" w:type="pct"/>
          </w:tcPr>
          <w:p w:rsidR="00053BFD" w:rsidRPr="00C04BC4" w:rsidRDefault="00053BFD" w:rsidP="00FC6528">
            <w:pPr>
              <w:rPr>
                <w:rFonts w:cstheme="minorHAnsi"/>
                <w:szCs w:val="20"/>
              </w:rPr>
            </w:pPr>
            <w:r>
              <w:rPr>
                <w:rFonts w:cstheme="minorHAnsi"/>
                <w:szCs w:val="20"/>
              </w:rPr>
              <w:t>Daly River</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Pr>
                <w:rFonts w:cstheme="minorHAnsi"/>
                <w:szCs w:val="20"/>
              </w:rPr>
              <w:t>Galuwinku</w:t>
            </w:r>
          </w:p>
        </w:tc>
        <w:tc>
          <w:tcPr>
            <w:tcW w:w="1667" w:type="pct"/>
          </w:tcPr>
          <w:p w:rsidR="00053BFD" w:rsidRPr="00C04BC4" w:rsidRDefault="00053BFD" w:rsidP="00FC6528">
            <w:pPr>
              <w:rPr>
                <w:rFonts w:cstheme="minorHAnsi"/>
                <w:szCs w:val="20"/>
              </w:rPr>
            </w:pPr>
            <w:r w:rsidRPr="00AC7CA5">
              <w:rPr>
                <w:rFonts w:cstheme="minorHAnsi"/>
                <w:szCs w:val="20"/>
              </w:rPr>
              <w:t xml:space="preserve">East Arnhem </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sidRPr="00AC7CA5">
              <w:rPr>
                <w:rFonts w:cstheme="minorHAnsi"/>
                <w:szCs w:val="20"/>
              </w:rPr>
              <w:t>Gunyangara</w:t>
            </w:r>
          </w:p>
        </w:tc>
        <w:tc>
          <w:tcPr>
            <w:tcW w:w="1667" w:type="pct"/>
          </w:tcPr>
          <w:p w:rsidR="00053BFD" w:rsidRPr="00C04BC4" w:rsidRDefault="00053BFD" w:rsidP="00FC6528">
            <w:pPr>
              <w:rPr>
                <w:rFonts w:cstheme="minorHAnsi"/>
                <w:szCs w:val="20"/>
              </w:rPr>
            </w:pPr>
            <w:r w:rsidRPr="00AC7CA5">
              <w:rPr>
                <w:rFonts w:cstheme="minorHAnsi"/>
                <w:szCs w:val="20"/>
              </w:rPr>
              <w:t xml:space="preserve">East Arnhem </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Pr>
                <w:rFonts w:cstheme="minorHAnsi"/>
                <w:szCs w:val="20"/>
              </w:rPr>
              <w:t>Nhulunbuy</w:t>
            </w:r>
          </w:p>
        </w:tc>
        <w:tc>
          <w:tcPr>
            <w:tcW w:w="1667" w:type="pct"/>
          </w:tcPr>
          <w:p w:rsidR="00053BFD" w:rsidRPr="00C04BC4" w:rsidRDefault="00053BFD" w:rsidP="00FC6528">
            <w:pPr>
              <w:rPr>
                <w:rFonts w:cstheme="minorHAnsi"/>
                <w:szCs w:val="20"/>
              </w:rPr>
            </w:pPr>
            <w:r>
              <w:rPr>
                <w:rFonts w:cstheme="minorHAnsi"/>
                <w:szCs w:val="20"/>
              </w:rPr>
              <w:t>East Arnhem</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Pr>
                <w:rFonts w:cstheme="minorHAnsi"/>
                <w:szCs w:val="20"/>
              </w:rPr>
              <w:t>Yirrkala</w:t>
            </w:r>
          </w:p>
        </w:tc>
        <w:tc>
          <w:tcPr>
            <w:tcW w:w="1667" w:type="pct"/>
          </w:tcPr>
          <w:p w:rsidR="00053BFD" w:rsidRPr="00C04BC4" w:rsidRDefault="00053BFD" w:rsidP="00FC6528">
            <w:pPr>
              <w:rPr>
                <w:rFonts w:cstheme="minorHAnsi"/>
                <w:szCs w:val="20"/>
              </w:rPr>
            </w:pPr>
            <w:r>
              <w:rPr>
                <w:rFonts w:cstheme="minorHAnsi"/>
                <w:szCs w:val="20"/>
              </w:rPr>
              <w:t>East Arnhem</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sidRPr="00AC7CA5">
              <w:rPr>
                <w:rFonts w:cstheme="minorHAnsi"/>
                <w:szCs w:val="20"/>
              </w:rPr>
              <w:t>Darwin</w:t>
            </w:r>
          </w:p>
        </w:tc>
        <w:tc>
          <w:tcPr>
            <w:tcW w:w="1667" w:type="pct"/>
          </w:tcPr>
          <w:p w:rsidR="00053BFD" w:rsidRPr="00C04BC4" w:rsidRDefault="00053BFD" w:rsidP="00FC6528">
            <w:pPr>
              <w:rPr>
                <w:rFonts w:cstheme="minorHAnsi"/>
                <w:szCs w:val="20"/>
              </w:rPr>
            </w:pPr>
            <w:r>
              <w:rPr>
                <w:rFonts w:cstheme="minorHAnsi"/>
                <w:szCs w:val="20"/>
              </w:rPr>
              <w:t xml:space="preserve">Darwin </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sidRPr="00176C0E">
              <w:rPr>
                <w:rFonts w:cstheme="minorHAnsi"/>
                <w:szCs w:val="20"/>
              </w:rPr>
              <w:t>Alice Springs Town Camps</w:t>
            </w:r>
          </w:p>
        </w:tc>
        <w:tc>
          <w:tcPr>
            <w:tcW w:w="1667" w:type="pct"/>
          </w:tcPr>
          <w:p w:rsidR="00053BFD" w:rsidRPr="00C04BC4" w:rsidRDefault="00053BFD" w:rsidP="00FC6528">
            <w:pPr>
              <w:rPr>
                <w:rFonts w:cstheme="minorHAnsi"/>
                <w:szCs w:val="20"/>
              </w:rPr>
            </w:pPr>
            <w:r w:rsidRPr="00176C0E">
              <w:rPr>
                <w:rFonts w:cstheme="minorHAnsi"/>
                <w:szCs w:val="20"/>
              </w:rPr>
              <w:t>Alice Springs</w:t>
            </w:r>
          </w:p>
        </w:tc>
      </w:tr>
      <w:tr w:rsidR="00053BFD" w:rsidRPr="00C04BC4" w:rsidTr="00FC6528">
        <w:trPr>
          <w:trHeight w:val="389"/>
        </w:trPr>
        <w:tc>
          <w:tcPr>
            <w:tcW w:w="1666" w:type="pct"/>
          </w:tcPr>
          <w:p w:rsidR="00053BFD" w:rsidRPr="00C04BC4" w:rsidRDefault="00053BFD" w:rsidP="00FC6528">
            <w:pPr>
              <w:spacing w:before="120" w:after="120"/>
              <w:contextualSpacing/>
              <w:rPr>
                <w:rFonts w:cstheme="minorHAnsi"/>
                <w:szCs w:val="20"/>
              </w:rPr>
            </w:pPr>
            <w:r w:rsidRPr="00C04BC4">
              <w:rPr>
                <w:rFonts w:cstheme="minorHAnsi"/>
                <w:szCs w:val="20"/>
              </w:rPr>
              <w:t>Hermannsb</w:t>
            </w:r>
            <w:r>
              <w:rPr>
                <w:rFonts w:cstheme="minorHAnsi"/>
                <w:szCs w:val="20"/>
              </w:rPr>
              <w:t>u</w:t>
            </w:r>
            <w:r w:rsidRPr="00C04BC4">
              <w:rPr>
                <w:rFonts w:cstheme="minorHAnsi"/>
                <w:szCs w:val="20"/>
              </w:rPr>
              <w:t xml:space="preserve">rg </w:t>
            </w:r>
          </w:p>
        </w:tc>
        <w:tc>
          <w:tcPr>
            <w:tcW w:w="1667" w:type="pct"/>
          </w:tcPr>
          <w:p w:rsidR="00053BFD" w:rsidRPr="00C04BC4" w:rsidRDefault="00053BFD" w:rsidP="00FC6528">
            <w:pPr>
              <w:rPr>
                <w:rFonts w:cstheme="minorHAnsi"/>
                <w:szCs w:val="20"/>
              </w:rPr>
            </w:pPr>
            <w:r w:rsidRPr="00C04BC4">
              <w:rPr>
                <w:rFonts w:cstheme="minorHAnsi"/>
                <w:szCs w:val="20"/>
              </w:rPr>
              <w:t xml:space="preserve">Central Australia </w:t>
            </w:r>
          </w:p>
        </w:tc>
      </w:tr>
    </w:tbl>
    <w:p w:rsidR="00543D85" w:rsidRPr="00C04BC4" w:rsidRDefault="00543D85" w:rsidP="005D7B61"/>
    <w:p w:rsidR="005D7B61" w:rsidRDefault="005D7B61" w:rsidP="005D7B61">
      <w:r>
        <w:br w:type="page"/>
      </w:r>
    </w:p>
    <w:p w:rsidR="005D7B61" w:rsidRPr="00B32150" w:rsidRDefault="005D7B61" w:rsidP="00211750">
      <w:pPr>
        <w:pStyle w:val="H3"/>
      </w:pPr>
      <w:bookmarkStart w:id="607" w:name="_Toc490218755"/>
      <w:r w:rsidRPr="00B32150">
        <w:lastRenderedPageBreak/>
        <w:t>Appendix</w:t>
      </w:r>
      <w:r>
        <w:t xml:space="preserve"> IV – Organisations met </w:t>
      </w:r>
      <w:r w:rsidR="001C2627">
        <w:t>by the</w:t>
      </w:r>
      <w:r>
        <w:t xml:space="preserve"> P</w:t>
      </w:r>
      <w:r w:rsidRPr="00B32150">
        <w:t>anel</w:t>
      </w:r>
      <w:bookmarkEnd w:id="607"/>
      <w:r w:rsidRPr="00B32150">
        <w:t xml:space="preserve"> </w:t>
      </w:r>
    </w:p>
    <w:p w:rsidR="005D7B61" w:rsidRDefault="0093373A" w:rsidP="0093373A">
      <w:pPr>
        <w:pStyle w:val="h4bold"/>
      </w:pPr>
      <w:r>
        <w:t>Queensland</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Aurukun Shire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Building and Asset Services</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Cape York Institute</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Cape York Land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Cathy Freeman Foundation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Department of Housing and Public Works</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Hope Vale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Kowanyama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Northern Peninsula Area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POD (People Oriented Design)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Torres Strait Island Regional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Torres Shire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Torres Strait Regional Authority</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Wujal Wujal Shire Council</w:t>
      </w:r>
    </w:p>
    <w:p w:rsidR="0093373A" w:rsidRDefault="0093373A" w:rsidP="00627AAC">
      <w:pPr>
        <w:pStyle w:val="h4bold"/>
        <w:numPr>
          <w:ilvl w:val="0"/>
          <w:numId w:val="32"/>
        </w:numPr>
        <w:spacing w:after="0" w:line="240" w:lineRule="auto"/>
        <w:ind w:left="714" w:hanging="357"/>
        <w:outlineLvl w:val="9"/>
        <w:rPr>
          <w:b w:val="0"/>
        </w:rPr>
      </w:pPr>
      <w:r w:rsidRPr="0093373A">
        <w:rPr>
          <w:b w:val="0"/>
        </w:rPr>
        <w:t>Yarrabah Council</w:t>
      </w:r>
    </w:p>
    <w:p w:rsidR="0093373A" w:rsidRDefault="0093373A" w:rsidP="0093373A">
      <w:pPr>
        <w:pStyle w:val="h4bold"/>
        <w:spacing w:before="120"/>
      </w:pPr>
      <w:r w:rsidRPr="0093373A">
        <w:t>Western Australia</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AMG Home Builders</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Ashburton Aboriginal Corporation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Broome Regional Aboriginal Medical Service</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Community Housing Limited</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Department of Aboriginal Affairs</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Emama Nguda Aboriginal Corporation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Halls Creek Shire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H&amp;M Tracey Construction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Junjuwa</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Kalari</w:t>
      </w:r>
    </w:p>
    <w:p w:rsidR="0093373A" w:rsidRDefault="0093373A" w:rsidP="00627AAC">
      <w:pPr>
        <w:pStyle w:val="h4bold"/>
        <w:numPr>
          <w:ilvl w:val="0"/>
          <w:numId w:val="32"/>
        </w:numPr>
        <w:spacing w:after="0" w:line="240" w:lineRule="auto"/>
        <w:ind w:left="714" w:hanging="357"/>
        <w:outlineLvl w:val="9"/>
        <w:rPr>
          <w:b w:val="0"/>
        </w:rPr>
      </w:pPr>
      <w:r w:rsidRPr="0093373A">
        <w:rPr>
          <w:b w:val="0"/>
        </w:rPr>
        <w:t>Kimberley Aboriginal Medical Services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Kimberley Development Commission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Kimberley Land Council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Kimberley Regional Service Providers</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KPP Business Development</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Kullarri Building</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Kullarri Regional Communities Incorporated</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Kununurra Shire</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Many Rivers Microfinance Ltd</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Marra Worra Worra Aboriginal Resource Agency</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Morrgul</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Nirrumbuk Aboriginal Corporation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b w:val="0"/>
        </w:rPr>
        <w:t>Nyamba Buru Yawuru Property</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Nyikina Mangala PBC</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Pilbara Development Commission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lastRenderedPageBreak/>
        <w:t>Pilbara Meta Maya Regional Aboriginal Corporation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Shire of Derby West Kimberley</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Wilinggin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Wirraka Maya Health Service</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Wunan Transitional Housing</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Wurreranginy Aboriginal Corporation</w:t>
      </w:r>
    </w:p>
    <w:p w:rsidR="0093373A" w:rsidRPr="0093373A" w:rsidRDefault="0093373A" w:rsidP="00627AAC">
      <w:pPr>
        <w:pStyle w:val="h4bold"/>
        <w:numPr>
          <w:ilvl w:val="0"/>
          <w:numId w:val="32"/>
        </w:numPr>
        <w:spacing w:after="0" w:line="240" w:lineRule="auto"/>
        <w:ind w:left="714" w:hanging="357"/>
        <w:outlineLvl w:val="9"/>
        <w:rPr>
          <w:b w:val="0"/>
        </w:rPr>
      </w:pPr>
      <w:r w:rsidRPr="0093373A">
        <w:rPr>
          <w:rFonts w:cstheme="minorHAnsi"/>
          <w:b w:val="0"/>
          <w:szCs w:val="20"/>
        </w:rPr>
        <w:t>Youth Involvement Council</w:t>
      </w:r>
    </w:p>
    <w:p w:rsidR="0093373A" w:rsidRPr="0093373A" w:rsidRDefault="0093373A" w:rsidP="0093373A">
      <w:pPr>
        <w:pStyle w:val="h4bold"/>
        <w:spacing w:before="240"/>
      </w:pPr>
      <w:r w:rsidRPr="0093373A">
        <w:t>South Australia</w:t>
      </w:r>
    </w:p>
    <w:p w:rsidR="0093373A" w:rsidRPr="0093373A" w:rsidRDefault="0093373A" w:rsidP="00627AAC">
      <w:pPr>
        <w:pStyle w:val="h4bold"/>
        <w:numPr>
          <w:ilvl w:val="0"/>
          <w:numId w:val="33"/>
        </w:numPr>
        <w:spacing w:after="0" w:line="240" w:lineRule="auto"/>
        <w:outlineLvl w:val="9"/>
        <w:rPr>
          <w:b w:val="0"/>
        </w:rPr>
      </w:pPr>
      <w:r w:rsidRPr="0093373A">
        <w:rPr>
          <w:rFonts w:cstheme="minorHAnsi"/>
          <w:b w:val="0"/>
          <w:szCs w:val="20"/>
        </w:rPr>
        <w:t>APY Executive Board</w:t>
      </w:r>
    </w:p>
    <w:p w:rsidR="0093373A" w:rsidRPr="0093373A" w:rsidRDefault="0093373A" w:rsidP="00627AAC">
      <w:pPr>
        <w:pStyle w:val="h4bold"/>
        <w:numPr>
          <w:ilvl w:val="0"/>
          <w:numId w:val="33"/>
        </w:numPr>
        <w:spacing w:after="0" w:line="240" w:lineRule="auto"/>
        <w:outlineLvl w:val="9"/>
        <w:rPr>
          <w:b w:val="0"/>
        </w:rPr>
      </w:pPr>
      <w:r w:rsidRPr="0093373A">
        <w:rPr>
          <w:rFonts w:cstheme="minorHAnsi"/>
          <w:b w:val="0"/>
          <w:szCs w:val="20"/>
        </w:rPr>
        <w:t>Ceduna Aboriginal Corporation</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Ceduna/Koonibba Aboriginal Health Service</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Department for Education and Child Development</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Housing SA</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Maralinga Tjarutja Administration</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Nganampa Health Council</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Port Lincoln Aboriginal Health Service</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Trade Training Centre</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Tullawon Health</w:t>
      </w:r>
    </w:p>
    <w:p w:rsidR="0093373A" w:rsidRPr="0093373A" w:rsidRDefault="0093373A" w:rsidP="00627AAC">
      <w:pPr>
        <w:pStyle w:val="h4bold"/>
        <w:numPr>
          <w:ilvl w:val="0"/>
          <w:numId w:val="33"/>
        </w:numPr>
        <w:spacing w:after="0" w:line="240" w:lineRule="auto"/>
        <w:outlineLvl w:val="9"/>
        <w:rPr>
          <w:rFonts w:cstheme="minorHAnsi"/>
          <w:b w:val="0"/>
          <w:szCs w:val="20"/>
        </w:rPr>
      </w:pPr>
      <w:r w:rsidRPr="0093373A">
        <w:rPr>
          <w:rFonts w:cstheme="minorHAnsi"/>
          <w:b w:val="0"/>
          <w:szCs w:val="20"/>
        </w:rPr>
        <w:t>Yalata Anangu Aboriginal Community</w:t>
      </w:r>
    </w:p>
    <w:p w:rsidR="0093373A" w:rsidRPr="0093373A" w:rsidRDefault="0093373A" w:rsidP="0093373A">
      <w:pPr>
        <w:pStyle w:val="h4bold"/>
        <w:spacing w:before="240"/>
      </w:pPr>
      <w:r>
        <w:t>Northern Territory</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Aboriginal Medical Services Alliance Northern Territory</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Aboriginal Peak Organisations Northern Territory</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Arnhem Land Progress Aboriginal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Central Desert Regional Council</w:t>
      </w:r>
    </w:p>
    <w:p w:rsidR="0093373A" w:rsidRPr="0093373A" w:rsidRDefault="0093373A" w:rsidP="00627AAC">
      <w:pPr>
        <w:pStyle w:val="h4bold"/>
        <w:numPr>
          <w:ilvl w:val="0"/>
          <w:numId w:val="34"/>
        </w:numPr>
        <w:spacing w:after="0" w:line="240" w:lineRule="auto"/>
        <w:ind w:left="714" w:hanging="357"/>
        <w:outlineLvl w:val="9"/>
        <w:rPr>
          <w:b w:val="0"/>
        </w:rPr>
      </w:pPr>
      <w:r w:rsidRPr="0093373A">
        <w:rPr>
          <w:b w:val="0"/>
        </w:rPr>
        <w:t>Central Land Council</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Chief Minister’s Department</w:t>
      </w:r>
    </w:p>
    <w:p w:rsidR="0093373A" w:rsidRPr="0093373A" w:rsidRDefault="0093373A" w:rsidP="00627AAC">
      <w:pPr>
        <w:pStyle w:val="h4bold"/>
        <w:numPr>
          <w:ilvl w:val="0"/>
          <w:numId w:val="34"/>
        </w:numPr>
        <w:spacing w:after="0" w:line="240" w:lineRule="auto"/>
        <w:ind w:left="714" w:hanging="357"/>
        <w:outlineLvl w:val="9"/>
        <w:rPr>
          <w:b w:val="0"/>
        </w:rPr>
      </w:pPr>
      <w:r w:rsidRPr="0093373A">
        <w:rPr>
          <w:b w:val="0"/>
        </w:rPr>
        <w:t>Gumatj Aboriginal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b w:val="0"/>
        </w:rPr>
        <w:t>IBN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b w:val="0"/>
        </w:rPr>
        <w:t>Laynhapuy Homelands Aboriginal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MacDonnell Regional Council</w:t>
      </w:r>
    </w:p>
    <w:p w:rsidR="0093373A" w:rsidRPr="0093373A" w:rsidRDefault="0093373A" w:rsidP="00627AAC">
      <w:pPr>
        <w:pStyle w:val="h4bold"/>
        <w:numPr>
          <w:ilvl w:val="0"/>
          <w:numId w:val="34"/>
        </w:numPr>
        <w:spacing w:after="0" w:line="240" w:lineRule="auto"/>
        <w:ind w:left="714" w:hanging="357"/>
        <w:outlineLvl w:val="9"/>
        <w:rPr>
          <w:b w:val="0"/>
        </w:rPr>
      </w:pPr>
      <w:r w:rsidRPr="0093373A">
        <w:rPr>
          <w:b w:val="0"/>
        </w:rPr>
        <w:t>Miwatj</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Northern Territory Treasury</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NT Housing</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NT Shelter</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Office of Township Leasing</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Power and Water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 xml:space="preserve">Safe House </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Save the Children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Stronger Communities for Children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Thamarrurr Development Corporation</w:t>
      </w:r>
    </w:p>
    <w:p w:rsidR="0093373A" w:rsidRPr="0093373A" w:rsidRDefault="0093373A" w:rsidP="00627AAC">
      <w:pPr>
        <w:pStyle w:val="h4bold"/>
        <w:numPr>
          <w:ilvl w:val="0"/>
          <w:numId w:val="34"/>
        </w:numPr>
        <w:spacing w:after="0" w:line="240" w:lineRule="auto"/>
        <w:ind w:left="714" w:hanging="357"/>
        <w:outlineLvl w:val="9"/>
        <w:rPr>
          <w:b w:val="0"/>
        </w:rPr>
      </w:pPr>
      <w:r w:rsidRPr="0093373A">
        <w:rPr>
          <w:rFonts w:cstheme="minorHAnsi"/>
          <w:b w:val="0"/>
          <w:szCs w:val="20"/>
        </w:rPr>
        <w:t>Tiwi Land Council</w:t>
      </w:r>
    </w:p>
    <w:p w:rsidR="0093373A" w:rsidRPr="00215B34" w:rsidRDefault="00215B34" w:rsidP="00627AAC">
      <w:pPr>
        <w:pStyle w:val="h4bold"/>
        <w:numPr>
          <w:ilvl w:val="0"/>
          <w:numId w:val="34"/>
        </w:numPr>
        <w:spacing w:after="0" w:line="240" w:lineRule="auto"/>
        <w:outlineLvl w:val="9"/>
        <w:rPr>
          <w:b w:val="0"/>
        </w:rPr>
      </w:pPr>
      <w:r w:rsidRPr="00215B34">
        <w:rPr>
          <w:rFonts w:cstheme="minorHAnsi"/>
          <w:b w:val="0"/>
          <w:szCs w:val="20"/>
        </w:rPr>
        <w:t>Top End Women’s Legal Service Inc.</w:t>
      </w:r>
    </w:p>
    <w:p w:rsidR="00215B34" w:rsidRPr="00215B34" w:rsidRDefault="00215B34" w:rsidP="00627AAC">
      <w:pPr>
        <w:pStyle w:val="h4bold"/>
        <w:numPr>
          <w:ilvl w:val="0"/>
          <w:numId w:val="34"/>
        </w:numPr>
        <w:spacing w:after="0" w:line="240" w:lineRule="auto"/>
        <w:outlineLvl w:val="9"/>
        <w:rPr>
          <w:b w:val="0"/>
        </w:rPr>
      </w:pPr>
      <w:r w:rsidRPr="00215B34">
        <w:rPr>
          <w:rFonts w:cstheme="minorHAnsi"/>
          <w:b w:val="0"/>
          <w:szCs w:val="20"/>
        </w:rPr>
        <w:t>Wadeye Housing Office</w:t>
      </w:r>
    </w:p>
    <w:p w:rsidR="00215B34" w:rsidRPr="00215B34" w:rsidRDefault="00215B34" w:rsidP="00627AAC">
      <w:pPr>
        <w:pStyle w:val="h4bold"/>
        <w:numPr>
          <w:ilvl w:val="0"/>
          <w:numId w:val="34"/>
        </w:numPr>
        <w:spacing w:after="0" w:line="240" w:lineRule="auto"/>
        <w:outlineLvl w:val="9"/>
        <w:rPr>
          <w:b w:val="0"/>
        </w:rPr>
      </w:pPr>
      <w:r w:rsidRPr="00215B34">
        <w:rPr>
          <w:rFonts w:cstheme="minorHAnsi"/>
          <w:b w:val="0"/>
          <w:szCs w:val="20"/>
        </w:rPr>
        <w:lastRenderedPageBreak/>
        <w:t>Wadeye Women’s Centre</w:t>
      </w:r>
    </w:p>
    <w:p w:rsidR="00215B34" w:rsidRPr="00215B34" w:rsidRDefault="00215B34" w:rsidP="00627AAC">
      <w:pPr>
        <w:pStyle w:val="h4bold"/>
        <w:numPr>
          <w:ilvl w:val="0"/>
          <w:numId w:val="34"/>
        </w:numPr>
        <w:spacing w:after="0" w:line="240" w:lineRule="auto"/>
        <w:outlineLvl w:val="9"/>
        <w:rPr>
          <w:b w:val="0"/>
        </w:rPr>
      </w:pPr>
      <w:r w:rsidRPr="00215B34">
        <w:rPr>
          <w:rFonts w:cstheme="minorHAnsi"/>
          <w:b w:val="0"/>
          <w:szCs w:val="20"/>
        </w:rPr>
        <w:t>Yili Housing</w:t>
      </w:r>
    </w:p>
    <w:p w:rsidR="00215B34" w:rsidRPr="00443DE9" w:rsidRDefault="00443DE9" w:rsidP="00443DE9">
      <w:pPr>
        <w:pStyle w:val="h4bold"/>
        <w:spacing w:before="240"/>
      </w:pPr>
      <w:r w:rsidRPr="00443DE9">
        <w:t>New South Wales</w:t>
      </w:r>
    </w:p>
    <w:p w:rsidR="00443DE9" w:rsidRPr="00443DE9" w:rsidRDefault="00443DE9" w:rsidP="00627AAC">
      <w:pPr>
        <w:pStyle w:val="h4bold"/>
        <w:numPr>
          <w:ilvl w:val="0"/>
          <w:numId w:val="35"/>
        </w:numPr>
        <w:spacing w:after="0" w:line="240" w:lineRule="auto"/>
        <w:outlineLvl w:val="9"/>
        <w:rPr>
          <w:rFonts w:cstheme="minorHAnsi"/>
          <w:b w:val="0"/>
          <w:szCs w:val="20"/>
        </w:rPr>
      </w:pPr>
      <w:r w:rsidRPr="00443DE9">
        <w:rPr>
          <w:rFonts w:cstheme="minorHAnsi"/>
          <w:b w:val="0"/>
          <w:szCs w:val="20"/>
        </w:rPr>
        <w:t>Aboriginal Housing Office</w:t>
      </w:r>
    </w:p>
    <w:p w:rsidR="00443DE9" w:rsidRPr="00443DE9" w:rsidRDefault="00443DE9" w:rsidP="00627AAC">
      <w:pPr>
        <w:pStyle w:val="h4bold"/>
        <w:numPr>
          <w:ilvl w:val="0"/>
          <w:numId w:val="35"/>
        </w:numPr>
        <w:spacing w:after="0" w:line="240" w:lineRule="auto"/>
        <w:outlineLvl w:val="9"/>
        <w:rPr>
          <w:b w:val="0"/>
        </w:rPr>
      </w:pPr>
      <w:r w:rsidRPr="00443DE9">
        <w:rPr>
          <w:rFonts w:cstheme="minorHAnsi"/>
          <w:b w:val="0"/>
          <w:szCs w:val="20"/>
        </w:rPr>
        <w:t>Murdi Paaki Regional Corporation</w:t>
      </w:r>
    </w:p>
    <w:p w:rsidR="00443DE9" w:rsidRPr="00443DE9" w:rsidRDefault="00443DE9" w:rsidP="00443DE9">
      <w:pPr>
        <w:pStyle w:val="h4bold"/>
        <w:spacing w:before="240"/>
      </w:pPr>
      <w:r w:rsidRPr="00443DE9">
        <w:t>National</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Australian Housing &amp; Urban Research Institute</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Commonwealth Bank Australia</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Department of Social Services</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Indigenous Business Australia</w:t>
      </w:r>
    </w:p>
    <w:p w:rsidR="00443DE9" w:rsidRPr="00443DE9" w:rsidRDefault="00443DE9" w:rsidP="00627AAC">
      <w:pPr>
        <w:pStyle w:val="h4bold"/>
        <w:numPr>
          <w:ilvl w:val="0"/>
          <w:numId w:val="36"/>
        </w:numPr>
        <w:spacing w:after="0" w:line="240" w:lineRule="auto"/>
        <w:outlineLvl w:val="9"/>
        <w:rPr>
          <w:b w:val="0"/>
        </w:rPr>
      </w:pPr>
      <w:r w:rsidRPr="00443DE9">
        <w:rPr>
          <w:rFonts w:cstheme="minorHAnsi"/>
          <w:b w:val="0"/>
          <w:szCs w:val="20"/>
        </w:rPr>
        <w:t>Mission Australia</w:t>
      </w:r>
    </w:p>
    <w:p w:rsidR="0093373A" w:rsidRDefault="0093373A" w:rsidP="005D7B61"/>
    <w:p w:rsidR="005D7B61" w:rsidRDefault="005D7B61" w:rsidP="005D7B61">
      <w:r>
        <w:br w:type="page"/>
      </w:r>
    </w:p>
    <w:p w:rsidR="005D7B61" w:rsidRPr="00A31473" w:rsidRDefault="005D7B61" w:rsidP="00211750">
      <w:pPr>
        <w:pStyle w:val="H3"/>
      </w:pPr>
      <w:bookmarkStart w:id="608" w:name="_Toc490218756"/>
      <w:r w:rsidRPr="00A31473">
        <w:lastRenderedPageBreak/>
        <w:t xml:space="preserve">Appendix V – </w:t>
      </w:r>
      <w:r w:rsidR="001C2627">
        <w:t>List of s</w:t>
      </w:r>
      <w:r w:rsidRPr="00A31473">
        <w:t xml:space="preserve">takeholder </w:t>
      </w:r>
      <w:r w:rsidR="001C2627">
        <w:t>s</w:t>
      </w:r>
      <w:r w:rsidRPr="00A31473">
        <w:t>ubmissions</w:t>
      </w:r>
      <w:bookmarkEnd w:id="608"/>
    </w:p>
    <w:p w:rsidR="00443DE9" w:rsidRDefault="00CD4A6C" w:rsidP="00CD4A6C">
      <w:pPr>
        <w:pStyle w:val="h4bold"/>
      </w:pPr>
      <w:r w:rsidRPr="00C5772C">
        <w:t>Organisations</w:t>
      </w:r>
    </w:p>
    <w:p w:rsidR="00CD4A6C" w:rsidRDefault="00CD4A6C" w:rsidP="00627AAC">
      <w:pPr>
        <w:pStyle w:val="ListParagraph"/>
        <w:numPr>
          <w:ilvl w:val="0"/>
          <w:numId w:val="37"/>
        </w:numPr>
      </w:pPr>
      <w:r>
        <w:t>Aboriginal Peak Organisations of the Northern Territory</w:t>
      </w:r>
    </w:p>
    <w:p w:rsidR="00CD4A6C" w:rsidRDefault="00CD4A6C" w:rsidP="00627AAC">
      <w:pPr>
        <w:pStyle w:val="ListParagraph"/>
        <w:numPr>
          <w:ilvl w:val="0"/>
          <w:numId w:val="37"/>
        </w:numPr>
      </w:pPr>
      <w:r>
        <w:t>Australian Housing and Urban Research Institute</w:t>
      </w:r>
    </w:p>
    <w:p w:rsidR="00CD4A6C" w:rsidRDefault="00CD4A6C" w:rsidP="00627AAC">
      <w:pPr>
        <w:pStyle w:val="ListParagraph"/>
        <w:numPr>
          <w:ilvl w:val="0"/>
          <w:numId w:val="37"/>
        </w:numPr>
      </w:pPr>
      <w:r>
        <w:t>Australian Local Government Association</w:t>
      </w:r>
    </w:p>
    <w:p w:rsidR="00CD4A6C" w:rsidRDefault="00CD4A6C" w:rsidP="00627AAC">
      <w:pPr>
        <w:pStyle w:val="ListParagraph"/>
        <w:numPr>
          <w:ilvl w:val="0"/>
          <w:numId w:val="37"/>
        </w:numPr>
      </w:pPr>
      <w:r>
        <w:t>Central Australian Aboriginal Congress</w:t>
      </w:r>
    </w:p>
    <w:p w:rsidR="00CD4A6C" w:rsidRDefault="00CD4A6C" w:rsidP="00627AAC">
      <w:pPr>
        <w:pStyle w:val="ListParagraph"/>
        <w:numPr>
          <w:ilvl w:val="0"/>
          <w:numId w:val="37"/>
        </w:numPr>
      </w:pPr>
      <w:r>
        <w:t>Danila Dilba Health Services</w:t>
      </w:r>
    </w:p>
    <w:p w:rsidR="00CD4A6C" w:rsidRDefault="00CD4A6C" w:rsidP="00627AAC">
      <w:pPr>
        <w:pStyle w:val="ListParagraph"/>
        <w:numPr>
          <w:ilvl w:val="0"/>
          <w:numId w:val="37"/>
        </w:numPr>
      </w:pPr>
      <w:r>
        <w:t>Indigenous Business Australia</w:t>
      </w:r>
    </w:p>
    <w:p w:rsidR="00CD4A6C" w:rsidRDefault="00CD4A6C" w:rsidP="00627AAC">
      <w:pPr>
        <w:pStyle w:val="ListParagraph"/>
        <w:numPr>
          <w:ilvl w:val="0"/>
          <w:numId w:val="37"/>
        </w:numPr>
      </w:pPr>
      <w:r>
        <w:t>Local Government Association of Queensland</w:t>
      </w:r>
    </w:p>
    <w:p w:rsidR="00CD4A6C" w:rsidRDefault="00CD4A6C" w:rsidP="00627AAC">
      <w:pPr>
        <w:pStyle w:val="ListParagraph"/>
        <w:numPr>
          <w:ilvl w:val="0"/>
          <w:numId w:val="37"/>
        </w:numPr>
      </w:pPr>
      <w:r>
        <w:t>Local Government Association of the Northern Territory</w:t>
      </w:r>
    </w:p>
    <w:p w:rsidR="00CD4A6C" w:rsidRDefault="00CD4A6C" w:rsidP="00627AAC">
      <w:pPr>
        <w:pStyle w:val="ListParagraph"/>
        <w:numPr>
          <w:ilvl w:val="0"/>
          <w:numId w:val="37"/>
        </w:numPr>
      </w:pPr>
      <w:r>
        <w:t>Marra Worra Worra Aboriginal Corporation</w:t>
      </w:r>
    </w:p>
    <w:p w:rsidR="00CD4A6C" w:rsidRDefault="00CD4A6C" w:rsidP="00627AAC">
      <w:pPr>
        <w:pStyle w:val="ListParagraph"/>
        <w:numPr>
          <w:ilvl w:val="0"/>
          <w:numId w:val="37"/>
        </w:numPr>
      </w:pPr>
      <w:r>
        <w:t>Murdi Paaki Regional Assembly</w:t>
      </w:r>
    </w:p>
    <w:p w:rsidR="00CD4A6C" w:rsidRDefault="00CD4A6C" w:rsidP="00627AAC">
      <w:pPr>
        <w:pStyle w:val="ListParagraph"/>
        <w:numPr>
          <w:ilvl w:val="0"/>
          <w:numId w:val="37"/>
        </w:numPr>
      </w:pPr>
      <w:r>
        <w:t>National Aboriginal Community Controlled Health Organisation</w:t>
      </w:r>
    </w:p>
    <w:p w:rsidR="00CD4A6C" w:rsidRDefault="00CD4A6C" w:rsidP="00627AAC">
      <w:pPr>
        <w:pStyle w:val="ListParagraph"/>
        <w:numPr>
          <w:ilvl w:val="0"/>
          <w:numId w:val="37"/>
        </w:numPr>
      </w:pPr>
      <w:r>
        <w:t>New South Wales Aboriginal Housing Office</w:t>
      </w:r>
    </w:p>
    <w:p w:rsidR="00CD4A6C" w:rsidRDefault="00CD4A6C" w:rsidP="00627AAC">
      <w:pPr>
        <w:pStyle w:val="ListParagraph"/>
        <w:numPr>
          <w:ilvl w:val="0"/>
          <w:numId w:val="37"/>
        </w:numPr>
      </w:pPr>
      <w:r>
        <w:t>Shire of Halls Creek</w:t>
      </w:r>
    </w:p>
    <w:p w:rsidR="00CD4A6C" w:rsidRDefault="00CD4A6C" w:rsidP="00627AAC">
      <w:pPr>
        <w:pStyle w:val="ListParagraph"/>
        <w:numPr>
          <w:ilvl w:val="0"/>
          <w:numId w:val="37"/>
        </w:numPr>
      </w:pPr>
      <w:r>
        <w:t>Thamarrurr Development Corporation Ltd</w:t>
      </w:r>
    </w:p>
    <w:p w:rsidR="00CD4A6C" w:rsidRDefault="00CD4A6C" w:rsidP="00627AAC">
      <w:pPr>
        <w:pStyle w:val="ListParagraph"/>
        <w:numPr>
          <w:ilvl w:val="0"/>
          <w:numId w:val="37"/>
        </w:numPr>
      </w:pPr>
      <w:r>
        <w:t>Torres Shire Council</w:t>
      </w:r>
    </w:p>
    <w:p w:rsidR="00CD4A6C" w:rsidRDefault="00CD4A6C" w:rsidP="00627AAC">
      <w:pPr>
        <w:pStyle w:val="ListParagraph"/>
        <w:numPr>
          <w:ilvl w:val="0"/>
          <w:numId w:val="37"/>
        </w:numPr>
      </w:pPr>
      <w:r>
        <w:t>Torres Strait Island Regional Council</w:t>
      </w:r>
    </w:p>
    <w:p w:rsidR="00CD4A6C" w:rsidRDefault="00CD4A6C" w:rsidP="00627AAC">
      <w:pPr>
        <w:pStyle w:val="ListParagraph"/>
        <w:numPr>
          <w:ilvl w:val="0"/>
          <w:numId w:val="37"/>
        </w:numPr>
      </w:pPr>
      <w:r>
        <w:t>Torres Strait Regional Authority</w:t>
      </w:r>
    </w:p>
    <w:p w:rsidR="00CD4A6C" w:rsidRDefault="00CD4A6C" w:rsidP="00627AAC">
      <w:pPr>
        <w:pStyle w:val="ListParagraph"/>
        <w:numPr>
          <w:ilvl w:val="0"/>
          <w:numId w:val="37"/>
        </w:numPr>
      </w:pPr>
      <w:r>
        <w:t>Yarrabah Aboriginal Shire Council</w:t>
      </w:r>
    </w:p>
    <w:p w:rsidR="00443DE9" w:rsidRDefault="00CD4A6C" w:rsidP="00627AAC">
      <w:pPr>
        <w:pStyle w:val="ListParagraph"/>
        <w:numPr>
          <w:ilvl w:val="0"/>
          <w:numId w:val="37"/>
        </w:numPr>
      </w:pPr>
      <w:r>
        <w:t>Yilli Housing</w:t>
      </w:r>
    </w:p>
    <w:p w:rsidR="00443DE9" w:rsidRDefault="00443DE9" w:rsidP="00443DE9">
      <w:pPr>
        <w:pStyle w:val="h4bold"/>
      </w:pPr>
      <w:r w:rsidRPr="00C5772C">
        <w:t>Individual Submissions</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Daphne Habibis, Rhonda Phillips and Peter Rhibbs</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Leonie Ramsay</w:t>
      </w:r>
    </w:p>
    <w:p w:rsidR="00443DE9" w:rsidRPr="00443DE9" w:rsidRDefault="00443DE9" w:rsidP="00627AAC">
      <w:pPr>
        <w:pStyle w:val="h4bold"/>
        <w:numPr>
          <w:ilvl w:val="0"/>
          <w:numId w:val="36"/>
        </w:numPr>
        <w:spacing w:after="0" w:line="240" w:lineRule="auto"/>
        <w:outlineLvl w:val="9"/>
        <w:rPr>
          <w:rFonts w:cstheme="minorHAnsi"/>
          <w:b w:val="0"/>
          <w:szCs w:val="20"/>
        </w:rPr>
      </w:pPr>
      <w:r w:rsidRPr="00443DE9">
        <w:rPr>
          <w:rFonts w:cstheme="minorHAnsi"/>
          <w:b w:val="0"/>
          <w:szCs w:val="20"/>
        </w:rPr>
        <w:t>Peter Burke</w:t>
      </w:r>
    </w:p>
    <w:p w:rsidR="005D7B61" w:rsidRDefault="005D7B61" w:rsidP="005D7B61">
      <w:r>
        <w:br w:type="page"/>
      </w:r>
    </w:p>
    <w:p w:rsidR="005D7B61" w:rsidRPr="00A31473" w:rsidRDefault="001C2627" w:rsidP="00211750">
      <w:pPr>
        <w:pStyle w:val="H3"/>
      </w:pPr>
      <w:bookmarkStart w:id="609" w:name="_Toc490218757"/>
      <w:r>
        <w:lastRenderedPageBreak/>
        <w:t>Appendix VI – Summary of s</w:t>
      </w:r>
      <w:r w:rsidR="005D7B61" w:rsidRPr="00A31473">
        <w:t xml:space="preserve">takeholder </w:t>
      </w:r>
      <w:r>
        <w:t>s</w:t>
      </w:r>
      <w:r w:rsidR="005D7B61" w:rsidRPr="00A31473">
        <w:t>ubmissions</w:t>
      </w:r>
      <w:bookmarkEnd w:id="609"/>
    </w:p>
    <w:p w:rsidR="00F466EE" w:rsidRPr="0093373A" w:rsidRDefault="00F466EE" w:rsidP="0093373A">
      <w:pPr>
        <w:pStyle w:val="h4bold"/>
      </w:pPr>
      <w:r w:rsidRPr="0093373A">
        <w:t>Overcrowding</w:t>
      </w:r>
    </w:p>
    <w:p w:rsidR="00F466EE" w:rsidRDefault="00F466EE" w:rsidP="00F466EE">
      <w:pPr>
        <w:rPr>
          <w:rStyle w:val="IntenseEmphasis"/>
          <w:b/>
          <w:i/>
        </w:rPr>
      </w:pPr>
      <w:r w:rsidRPr="005D7B61">
        <w:rPr>
          <w:rStyle w:val="IntenseEmphasis"/>
        </w:rPr>
        <w:t>Stakeholders reiterate the extent and complexity of overcrowding as a challenge for people living in community and policy makers. Some policies have made it difficult to measure and manage overcrowding. For example, tying rent to household income has led to households hiding levels of overcrowding. Some stakeholders suggest shifting the focus from the number of houses built to the design of the household and how it complements cultural practices and family structures to reduce the impacts of overcrowding.</w:t>
      </w:r>
    </w:p>
    <w:p w:rsidR="00F466EE" w:rsidRPr="0093373A" w:rsidRDefault="00F466EE" w:rsidP="0093373A">
      <w:pPr>
        <w:pStyle w:val="h4bold"/>
      </w:pPr>
      <w:r w:rsidRPr="0093373A">
        <w:t>Health</w:t>
      </w:r>
    </w:p>
    <w:p w:rsidR="00F466EE" w:rsidRPr="005D7B61" w:rsidRDefault="00F466EE" w:rsidP="00F466EE">
      <w:pPr>
        <w:rPr>
          <w:rStyle w:val="IntenseEmphasis"/>
        </w:rPr>
      </w:pPr>
      <w:r w:rsidRPr="005D7B61">
        <w:rPr>
          <w:rStyle w:val="IntenseEmphasis"/>
        </w:rPr>
        <w:t>Stakeholder feedback highlights the importance of well-maintained housing, including health hardware in addressing and preventing health and social issues in communities. Housing and facilities must also be culturally and environmentally appropriate.</w:t>
      </w:r>
    </w:p>
    <w:p w:rsidR="00F466EE" w:rsidRPr="0093373A" w:rsidRDefault="00F466EE" w:rsidP="0093373A">
      <w:pPr>
        <w:pStyle w:val="h4bold"/>
      </w:pPr>
      <w:r w:rsidRPr="0093373A">
        <w:t>Housing supply</w:t>
      </w:r>
    </w:p>
    <w:p w:rsidR="00F466EE" w:rsidRDefault="00F466EE" w:rsidP="00F466EE">
      <w:pPr>
        <w:rPr>
          <w:rStyle w:val="IntenseEmphasis"/>
          <w:b/>
          <w:i/>
        </w:rPr>
      </w:pPr>
      <w:r w:rsidRPr="005D7B61">
        <w:rPr>
          <w:rStyle w:val="IntenseEmphasis"/>
        </w:rPr>
        <w:t xml:space="preserve">Some stakeholders suggest the program has delivered significant benefits in terms of new builds and the refurbishment of existing dwellings, whilst others argue there has been little done under the Strategy to add to the overall housing stock. Stakeholders point to the need for consideration of young people and their transition from overcrowded households to independent living </w:t>
      </w:r>
      <w:r>
        <w:rPr>
          <w:rStyle w:val="IntenseEmphasis"/>
        </w:rPr>
        <w:t xml:space="preserve">in single </w:t>
      </w:r>
      <w:r w:rsidRPr="005D7B61">
        <w:rPr>
          <w:rStyle w:val="IntenseEmphasis"/>
        </w:rPr>
        <w:t xml:space="preserve">bedroom accommodation. Other comments relate to building depreciation, how future housing programs can align with changes in </w:t>
      </w:r>
      <w:r>
        <w:rPr>
          <w:rStyle w:val="IntenseEmphasis"/>
        </w:rPr>
        <w:t>r</w:t>
      </w:r>
      <w:r w:rsidRPr="005D7B61">
        <w:rPr>
          <w:rStyle w:val="IntenseEmphasis"/>
        </w:rPr>
        <w:t>emote Indigenous populations and living patterns, and the need for new homes and rebuilds will be needed for the next 50 years and beyond.</w:t>
      </w:r>
    </w:p>
    <w:p w:rsidR="00F466EE" w:rsidRPr="0093373A" w:rsidRDefault="00F466EE" w:rsidP="0093373A">
      <w:pPr>
        <w:pStyle w:val="h4bold"/>
      </w:pPr>
      <w:r w:rsidRPr="0093373A">
        <w:t>Municipal/ancillary services</w:t>
      </w:r>
    </w:p>
    <w:p w:rsidR="00F466EE" w:rsidRPr="005D7B61" w:rsidRDefault="00F466EE" w:rsidP="00F466EE">
      <w:pPr>
        <w:rPr>
          <w:rStyle w:val="IntenseEmphasis"/>
          <w:b/>
          <w:i/>
        </w:rPr>
      </w:pPr>
      <w:r w:rsidRPr="005D7B61">
        <w:rPr>
          <w:rStyle w:val="IntenseEmphasis"/>
        </w:rPr>
        <w:t xml:space="preserve">There is confusion over the roles and responsibilities of each government regarding essential infrastructure and municipal services. Stakeholders express concern at a lack of planning, which creates the risk that infrastructure needs will overwhelm communities in the future. </w:t>
      </w:r>
    </w:p>
    <w:p w:rsidR="00F466EE" w:rsidRPr="0093373A" w:rsidRDefault="00F466EE" w:rsidP="0093373A">
      <w:pPr>
        <w:pStyle w:val="h4bold"/>
      </w:pPr>
      <w:r w:rsidRPr="0093373A">
        <w:t>Land tenure</w:t>
      </w:r>
    </w:p>
    <w:p w:rsidR="00F466EE" w:rsidRPr="005D7B61" w:rsidRDefault="00F466EE" w:rsidP="00F466EE">
      <w:pPr>
        <w:rPr>
          <w:rStyle w:val="IntenseEmphasis"/>
        </w:rPr>
      </w:pPr>
      <w:r w:rsidRPr="005D7B61">
        <w:rPr>
          <w:rStyle w:val="IntenseEmphasis"/>
        </w:rPr>
        <w:t xml:space="preserve">Stakeholders have a range of perspectives on land tenure. There is agreement that communal title makes it difficult to support home ownership, making people more dependent upon social housing. One stakeholder believes that land tenure issues can be dealt with more effectively with an approach that includes all three levels of government (federal, </w:t>
      </w:r>
      <w:r w:rsidR="0004739C">
        <w:rPr>
          <w:rStyle w:val="IntenseEmphasis"/>
        </w:rPr>
        <w:t>state/territory</w:t>
      </w:r>
      <w:r w:rsidRPr="005D7B61">
        <w:rPr>
          <w:rStyle w:val="IntenseEmphasis"/>
        </w:rPr>
        <w:t>, and local), with traditional boundary mapping to ensure that the correct Traditional Owners are engaged.</w:t>
      </w:r>
    </w:p>
    <w:p w:rsidR="005D7B61" w:rsidRPr="0093373A" w:rsidRDefault="00F466EE" w:rsidP="0093373A">
      <w:pPr>
        <w:pStyle w:val="h4bold"/>
      </w:pPr>
      <w:r w:rsidRPr="0093373A">
        <w:t xml:space="preserve"> </w:t>
      </w:r>
      <w:r w:rsidR="005D7B61" w:rsidRPr="0093373A">
        <w:t xml:space="preserve">Property management and maintenance </w:t>
      </w:r>
    </w:p>
    <w:p w:rsidR="005D7B61" w:rsidRPr="005D7B61" w:rsidRDefault="005D7B61" w:rsidP="005D7B61">
      <w:pPr>
        <w:rPr>
          <w:rStyle w:val="IntenseEmphasis"/>
          <w:b/>
          <w:bCs/>
          <w:i/>
          <w:iCs/>
        </w:rPr>
      </w:pPr>
      <w:r w:rsidRPr="005D7B61">
        <w:rPr>
          <w:rStyle w:val="IntenseEmphasis"/>
        </w:rPr>
        <w:t xml:space="preserve">Stakeholders agree that property management and maintenance are important to housing. Most stakeholders convey a need for improvement in property management, reporting slow responses, a low standard of workmanship from contractors, and high costs. It is suggested that the maintenance program is improved by using a routine cycle of proactive maintenance, standardising </w:t>
      </w:r>
      <w:r w:rsidRPr="005D7B61">
        <w:rPr>
          <w:rStyle w:val="IntenseEmphasis"/>
        </w:rPr>
        <w:lastRenderedPageBreak/>
        <w:t xml:space="preserve">housing fixtures to facilitate easier maintenance, and better management of contracts for repairs and maintenance. Environmental health officers should work in conjunction with persons carrying out repairs and maintenance. Stakeholders also report that there are opportunities for local employment to be found in maintenance. </w:t>
      </w:r>
    </w:p>
    <w:p w:rsidR="005D7B61" w:rsidRPr="005A21C0" w:rsidRDefault="005D7B61" w:rsidP="0093373A">
      <w:pPr>
        <w:pStyle w:val="h4bold"/>
      </w:pPr>
      <w:r>
        <w:t>Tenancy m</w:t>
      </w:r>
      <w:r w:rsidRPr="005A21C0">
        <w:t>anagement</w:t>
      </w:r>
    </w:p>
    <w:p w:rsidR="005D7B61" w:rsidRPr="005D7B61" w:rsidRDefault="005D7B61" w:rsidP="005D7B61">
      <w:pPr>
        <w:rPr>
          <w:rStyle w:val="IntenseEmphasis"/>
          <w:b/>
          <w:i/>
        </w:rPr>
      </w:pPr>
      <w:r w:rsidRPr="005D7B61">
        <w:rPr>
          <w:rStyle w:val="IntenseEmphasis"/>
        </w:rPr>
        <w:t xml:space="preserve">Comments indicate </w:t>
      </w:r>
      <w:r w:rsidR="00326D8F">
        <w:rPr>
          <w:rStyle w:val="IntenseEmphasis"/>
        </w:rPr>
        <w:t xml:space="preserve">a </w:t>
      </w:r>
      <w:r w:rsidRPr="005D7B61">
        <w:rPr>
          <w:rStyle w:val="IntenseEmphasis"/>
        </w:rPr>
        <w:t>need for a broad training program to be made available to all people relating to life skills, environmental health, managing money, tenancy agreements</w:t>
      </w:r>
      <w:r w:rsidR="00F466EE">
        <w:rPr>
          <w:rStyle w:val="IntenseEmphasis"/>
        </w:rPr>
        <w:t>,</w:t>
      </w:r>
      <w:r w:rsidRPr="005D7B61">
        <w:rPr>
          <w:rStyle w:val="IntenseEmphasis"/>
        </w:rPr>
        <w:t xml:space="preserve"> and rights and responsibilities. </w:t>
      </w:r>
      <w:r w:rsidR="00F466EE">
        <w:rPr>
          <w:rStyle w:val="IntenseEmphasis"/>
        </w:rPr>
        <w:t>S</w:t>
      </w:r>
      <w:r w:rsidRPr="005D7B61">
        <w:rPr>
          <w:rStyle w:val="IntenseEmphasis"/>
        </w:rPr>
        <w:t xml:space="preserve">ubmissions suggest many Aboriginal </w:t>
      </w:r>
      <w:r w:rsidR="00F466EE">
        <w:rPr>
          <w:rStyle w:val="IntenseEmphasis"/>
        </w:rPr>
        <w:t xml:space="preserve">and Torres Strait Islander </w:t>
      </w:r>
      <w:r w:rsidRPr="005D7B61">
        <w:rPr>
          <w:rStyle w:val="IntenseEmphasis"/>
        </w:rPr>
        <w:t xml:space="preserve">people in remote areas do not understand what is required to manage their tenancies. Stakeholders suggest </w:t>
      </w:r>
      <w:r w:rsidR="0004739C">
        <w:rPr>
          <w:rStyle w:val="IntenseEmphasis"/>
        </w:rPr>
        <w:t>jurisdiction</w:t>
      </w:r>
      <w:r w:rsidRPr="005D7B61">
        <w:rPr>
          <w:rStyle w:val="IntenseEmphasis"/>
        </w:rPr>
        <w:t xml:space="preserve">s need a strengthened and more transparent contractual and reporting arrangement, outlining systems and responsibilities for tenancy management services. This system should include </w:t>
      </w:r>
      <w:r w:rsidR="0004739C">
        <w:rPr>
          <w:rStyle w:val="IntenseEmphasis"/>
        </w:rPr>
        <w:t>jurisdiction</w:t>
      </w:r>
      <w:r w:rsidRPr="005D7B61">
        <w:rPr>
          <w:rStyle w:val="IntenseEmphasis"/>
        </w:rPr>
        <w:t xml:space="preserve"> government, local governments and Indigenous housing service providers. Rent-setting practices need to be aligned with remote Indigenous cultural/geographic contexts. Stakeholders suggest an adaption of property-based rents, possibly with a safety net for small households on low incomes. </w:t>
      </w:r>
    </w:p>
    <w:p w:rsidR="005D7B61" w:rsidRDefault="005D7B61" w:rsidP="0093373A">
      <w:pPr>
        <w:pStyle w:val="h4bold"/>
      </w:pPr>
      <w:r>
        <w:t>Housing a</w:t>
      </w:r>
      <w:r w:rsidRPr="005A21C0">
        <w:t>llocation</w:t>
      </w:r>
    </w:p>
    <w:p w:rsidR="005D7B61" w:rsidRPr="005D7B61" w:rsidRDefault="005D7B61" w:rsidP="005D7B61">
      <w:pPr>
        <w:rPr>
          <w:rStyle w:val="IntenseEmphasis"/>
          <w:b/>
          <w:i/>
        </w:rPr>
      </w:pPr>
      <w:r w:rsidRPr="005D7B61">
        <w:rPr>
          <w:rStyle w:val="IntenseEmphasis"/>
        </w:rPr>
        <w:t xml:space="preserve">Stakeholders point out inconsistencies in the system where family size and needs are not considered when allocating houses, leading to people with perceived lower need receiving earlier allocation of housing. The issue of waiting times for housing has been highlighted multiple times with examples of families on a waiting list for up to seven years.  </w:t>
      </w:r>
    </w:p>
    <w:p w:rsidR="005D7B61" w:rsidRPr="005A21C0" w:rsidRDefault="005D7B61" w:rsidP="0093373A">
      <w:pPr>
        <w:pStyle w:val="h4bold"/>
      </w:pPr>
      <w:r>
        <w:t>E</w:t>
      </w:r>
      <w:r w:rsidRPr="005A21C0">
        <w:t>mployment</w:t>
      </w:r>
    </w:p>
    <w:p w:rsidR="005D7B61" w:rsidRPr="005D7B61" w:rsidRDefault="005D7B61" w:rsidP="005D7B61">
      <w:pPr>
        <w:rPr>
          <w:rStyle w:val="IntenseEmphasis"/>
          <w:b/>
          <w:i/>
        </w:rPr>
      </w:pPr>
      <w:r w:rsidRPr="005D7B61">
        <w:rPr>
          <w:rStyle w:val="IntenseEmphasis"/>
        </w:rPr>
        <w:t xml:space="preserve">There appears to be consensus from stakeholders about the need to create local employment to benefit the long term sustainability of housing in remote communities. </w:t>
      </w:r>
    </w:p>
    <w:p w:rsidR="005D7B61" w:rsidRPr="005D7B61" w:rsidRDefault="005D7B61" w:rsidP="005D7B61">
      <w:pPr>
        <w:rPr>
          <w:rStyle w:val="IntenseEmphasis"/>
          <w:b/>
          <w:i/>
        </w:rPr>
      </w:pPr>
      <w:r w:rsidRPr="005D7B61">
        <w:rPr>
          <w:rStyle w:val="IntenseEmphasis"/>
        </w:rPr>
        <w:t xml:space="preserve">Comments suggest ways of increasing employment opportunities for local people in housing, such as re-establishing ICHOs to manage new and existing housing. Accredited modules at the Certificate and Diploma levels could be developed to create a pool of skilled individuals to administer housing programs in their own communities. Other comments focus on the casual and short term nature of employment in the Strategy. Others suggest there are limited opportunities for local employment with no support from Government to ensure </w:t>
      </w:r>
      <w:r w:rsidR="00F466EE">
        <w:rPr>
          <w:rStyle w:val="IntenseEmphasis"/>
        </w:rPr>
        <w:t>Aboriginal and Torres Strait Islander</w:t>
      </w:r>
      <w:r w:rsidRPr="005D7B61">
        <w:rPr>
          <w:rStyle w:val="IntenseEmphasis"/>
        </w:rPr>
        <w:t xml:space="preserve"> people are mentored on the job and no local construction businesses, meaning there are no local workers.</w:t>
      </w:r>
    </w:p>
    <w:p w:rsidR="005D7B61" w:rsidRPr="005A21C0" w:rsidRDefault="005D7B61" w:rsidP="0093373A">
      <w:pPr>
        <w:pStyle w:val="h4bold"/>
      </w:pPr>
      <w:r w:rsidRPr="005A21C0">
        <w:t>Business</w:t>
      </w:r>
    </w:p>
    <w:p w:rsidR="005D7B61" w:rsidRDefault="005D7B61" w:rsidP="005D7B61">
      <w:r w:rsidRPr="005D7B61">
        <w:rPr>
          <w:rStyle w:val="IntenseEmphasis"/>
        </w:rPr>
        <w:t xml:space="preserve">Stakeholders agree that local business is necessary to a local economy. Stakeholders identified barriers to these businesses. For example, there is not enough accountability for service providers who did not fulfil their contracts. In future agreements, the criteria for procurement should include proximity, cultural awareness and local knowledge. Comments also state there are limited opportunities for capacity building for local and regional </w:t>
      </w:r>
      <w:r w:rsidR="00F466EE">
        <w:rPr>
          <w:rStyle w:val="IntenseEmphasis"/>
        </w:rPr>
        <w:t>Indigenous</w:t>
      </w:r>
      <w:r w:rsidRPr="005D7B61">
        <w:rPr>
          <w:rStyle w:val="IntenseEmphasis"/>
        </w:rPr>
        <w:t xml:space="preserve"> businesses and organisations. </w:t>
      </w:r>
      <w:r>
        <w:br w:type="page"/>
      </w:r>
    </w:p>
    <w:p w:rsidR="005D7B61" w:rsidRPr="00A31473" w:rsidRDefault="005D7B61" w:rsidP="00211750">
      <w:pPr>
        <w:pStyle w:val="H3"/>
      </w:pPr>
      <w:bookmarkStart w:id="610" w:name="_Toc490218758"/>
      <w:r w:rsidRPr="00A31473">
        <w:lastRenderedPageBreak/>
        <w:t xml:space="preserve">Appendix VII – Summary of </w:t>
      </w:r>
      <w:r>
        <w:t xml:space="preserve">New South Wales, </w:t>
      </w:r>
      <w:r w:rsidRPr="00A31473">
        <w:t>Victoria</w:t>
      </w:r>
      <w:r>
        <w:t xml:space="preserve"> and </w:t>
      </w:r>
      <w:r w:rsidRPr="00A31473">
        <w:t>Tasmania</w:t>
      </w:r>
      <w:r>
        <w:t>’s involvement in the Strategy</w:t>
      </w:r>
      <w:bookmarkEnd w:id="610"/>
      <w:r>
        <w:t xml:space="preserve"> </w:t>
      </w:r>
    </w:p>
    <w:p w:rsidR="005D7B61" w:rsidRPr="00FD6525" w:rsidRDefault="005D7B61" w:rsidP="005D7B61">
      <w:pPr>
        <w:spacing w:after="120"/>
      </w:pPr>
      <w:r w:rsidRPr="00FD6525">
        <w:t xml:space="preserve">The negotiated buy-out of </w:t>
      </w:r>
      <w:r w:rsidR="00F466EE">
        <w:t xml:space="preserve">New South Wales, </w:t>
      </w:r>
      <w:r w:rsidRPr="00FD6525">
        <w:t>Victoria</w:t>
      </w:r>
      <w:r w:rsidR="00F466EE">
        <w:t xml:space="preserve"> and</w:t>
      </w:r>
      <w:r w:rsidRPr="00FD6525">
        <w:t xml:space="preserve"> Tasmania from the </w:t>
      </w:r>
      <w:r>
        <w:t>Strategy</w:t>
      </w:r>
      <w:r w:rsidRPr="00FD6525">
        <w:t xml:space="preserve"> acknowledged the different circumstances and significant progress made in remote Indigenous housing in these </w:t>
      </w:r>
      <w:r w:rsidR="0004739C">
        <w:t>jurisdiction</w:t>
      </w:r>
      <w:r w:rsidRPr="00FD6525">
        <w:t>s, and mean they are no longer subject to the current arrangements under the Strategy.</w:t>
      </w:r>
    </w:p>
    <w:p w:rsidR="005D7B61" w:rsidRPr="0093373A" w:rsidRDefault="005D7B61" w:rsidP="0093373A">
      <w:pPr>
        <w:pStyle w:val="h4bold"/>
      </w:pPr>
      <w:r w:rsidRPr="0093373A">
        <w:t>Victoria</w:t>
      </w:r>
    </w:p>
    <w:p w:rsidR="005D7B61" w:rsidRPr="00FD6525" w:rsidRDefault="005D7B61" w:rsidP="005D7B61">
      <w:pPr>
        <w:spacing w:after="120"/>
      </w:pPr>
      <w:r w:rsidRPr="00FD6525">
        <w:t xml:space="preserve">Victoria was allocated a total of $30.351 million under </w:t>
      </w:r>
      <w:r>
        <w:t>the Strategy</w:t>
      </w:r>
      <w:r w:rsidRPr="00FD6525">
        <w:t xml:space="preserve"> for ICHO reform and PTM. As at 30 October 2014, a total of $6.514 million had been released for ICHO reforms. Victoria also received $13.837 million in PTM funding.</w:t>
      </w:r>
    </w:p>
    <w:p w:rsidR="005D7B61" w:rsidRPr="00FD6525" w:rsidRDefault="005D7B61" w:rsidP="005D7B61">
      <w:pPr>
        <w:spacing w:after="120"/>
      </w:pPr>
      <w:r w:rsidRPr="00FD6525">
        <w:t xml:space="preserve">The primary deliverable for Victoria under the </w:t>
      </w:r>
      <w:r>
        <w:t>Strategy</w:t>
      </w:r>
      <w:r w:rsidRPr="00FD6525">
        <w:t xml:space="preserve"> was to transition ICHOs, which managed and owned around 470 properties, previously administered by the Commonwealth Government under CHIP, to Victoria’s state housing system.  </w:t>
      </w:r>
    </w:p>
    <w:p w:rsidR="005D7B61" w:rsidRPr="00FD6525" w:rsidRDefault="005D7B61" w:rsidP="005D7B61">
      <w:pPr>
        <w:spacing w:after="120"/>
      </w:pPr>
      <w:r w:rsidRPr="00FD6525">
        <w:t xml:space="preserve">As there are no remote communities in Victoria there were no capital works targets under </w:t>
      </w:r>
      <w:r>
        <w:t>the Strategy</w:t>
      </w:r>
      <w:r w:rsidRPr="00FD6525">
        <w:t xml:space="preserve"> for this state. However Victoria does have two small and isolated Aboriginal settlements at Lake Tyers (45 houses) and Framlingham (20 houses), which received repairs and maintenance under the </w:t>
      </w:r>
      <w:r>
        <w:t>Strategy</w:t>
      </w:r>
      <w:r w:rsidRPr="00FD6525">
        <w:t xml:space="preserve">. </w:t>
      </w:r>
    </w:p>
    <w:p w:rsidR="005D7B61" w:rsidRPr="00FD6525" w:rsidRDefault="005D7B61" w:rsidP="005D7B61">
      <w:r w:rsidRPr="00FD6525">
        <w:t xml:space="preserve">In 2014 the Victorian Government agreed to the end of </w:t>
      </w:r>
      <w:r w:rsidR="00A5118C">
        <w:t>its</w:t>
      </w:r>
      <w:r w:rsidRPr="00FD6525">
        <w:t xml:space="preserve"> involvement in the </w:t>
      </w:r>
      <w:r>
        <w:t>Strategy</w:t>
      </w:r>
      <w:r w:rsidRPr="00FD6525">
        <w:t xml:space="preserve"> and received a one off payment of $15 million to assume responsibility for housing services</w:t>
      </w:r>
      <w:r w:rsidR="00F466EE">
        <w:t>,</w:t>
      </w:r>
      <w:r w:rsidRPr="00FD6525">
        <w:t xml:space="preserve"> and funding and providing municipal and essential services to the communities of Lake Tyres and Framlingham. This payment was made up of $7.5 million from the municipal and essential services transitional fund (non-</w:t>
      </w:r>
      <w:r>
        <w:t>Strategy</w:t>
      </w:r>
      <w:r w:rsidRPr="00FD6525">
        <w:t xml:space="preserve"> funding), with the remaining $7.5 million being the balance of funds allocated to Victoria under </w:t>
      </w:r>
      <w:r>
        <w:t>the Strategy</w:t>
      </w:r>
      <w:r w:rsidRPr="00FD6525">
        <w:t xml:space="preserve"> to 30 June 2018.</w:t>
      </w:r>
    </w:p>
    <w:p w:rsidR="005D7B61" w:rsidRPr="00FD6525" w:rsidRDefault="005D7B61" w:rsidP="005D7B61">
      <w:pPr>
        <w:spacing w:after="120"/>
        <w:rPr>
          <w:b/>
        </w:rPr>
      </w:pPr>
      <w:r w:rsidRPr="00FD6525">
        <w:rPr>
          <w:b/>
        </w:rPr>
        <w:t>Tasmania</w:t>
      </w:r>
    </w:p>
    <w:p w:rsidR="005D7B61" w:rsidRPr="00FD6525" w:rsidRDefault="005D7B61" w:rsidP="005D7B61">
      <w:pPr>
        <w:spacing w:after="120"/>
      </w:pPr>
      <w:r w:rsidRPr="00FD6525">
        <w:t>Tasmania was allocated a total of $27.966 million for capital works, PTM and ICHO reform under the</w:t>
      </w:r>
      <w:r>
        <w:t xml:space="preserve"> Strategy. As at 30 June 2014</w:t>
      </w:r>
      <w:r w:rsidRPr="00FD6525">
        <w:t xml:space="preserve"> when Tasmania exited the </w:t>
      </w:r>
      <w:r>
        <w:t>Strategy</w:t>
      </w:r>
      <w:r w:rsidRPr="00FD6525">
        <w:t>, a total of $16.861 million had been released.</w:t>
      </w:r>
    </w:p>
    <w:p w:rsidR="005D7B61" w:rsidRPr="00FD6525" w:rsidRDefault="005D7B61" w:rsidP="005D7B61">
      <w:pPr>
        <w:spacing w:after="120"/>
      </w:pPr>
      <w:r w:rsidRPr="00FD6525">
        <w:t xml:space="preserve">Under </w:t>
      </w:r>
      <w:r>
        <w:t>the Strategy,</w:t>
      </w:r>
      <w:r w:rsidRPr="00FD6525">
        <w:t xml:space="preserve"> the Tasmanian Government agreed to deliver a total of 18 new houses and refurbish a further 51 houses in the two remote communities located on Cape Barren Island and Flinders Island. By 30 June 2014 a total of 12 new builds and 57 refurbishments had been completed. </w:t>
      </w:r>
    </w:p>
    <w:p w:rsidR="005D7B61" w:rsidRPr="00FD6525" w:rsidRDefault="005D7B61" w:rsidP="005D7B61">
      <w:r w:rsidRPr="00FD6525">
        <w:t xml:space="preserve">In 2014 the Tasmanian Government advised the housing need had been addressed in </w:t>
      </w:r>
      <w:r w:rsidR="00F466EE">
        <w:t>its</w:t>
      </w:r>
      <w:r w:rsidRPr="00FD6525">
        <w:t xml:space="preserve"> two remote communities and the </w:t>
      </w:r>
      <w:r>
        <w:t>Strategy</w:t>
      </w:r>
      <w:r w:rsidRPr="00FD6525">
        <w:t xml:space="preserve"> outcomes had been met. The Tasmanian Government therefore agreed to the end of </w:t>
      </w:r>
      <w:r w:rsidR="00F466EE">
        <w:t>its</w:t>
      </w:r>
      <w:r w:rsidRPr="00FD6525">
        <w:t xml:space="preserve"> involvement in the </w:t>
      </w:r>
      <w:r>
        <w:t>Strategy</w:t>
      </w:r>
      <w:r w:rsidRPr="00FD6525">
        <w:t xml:space="preserve"> and received a one off payment of $15.835 million to assume responsibility for funding</w:t>
      </w:r>
      <w:r w:rsidR="00F466EE">
        <w:t>,</w:t>
      </w:r>
      <w:r w:rsidRPr="00FD6525">
        <w:t xml:space="preserve"> and providing housing and municipal and essential services to these communities. This payment was made up of $7.818 million from the </w:t>
      </w:r>
      <w:r w:rsidRPr="00FD6525">
        <w:lastRenderedPageBreak/>
        <w:t>municipal and essential services transitional fund (non-</w:t>
      </w:r>
      <w:r>
        <w:t>Strategy</w:t>
      </w:r>
      <w:r w:rsidRPr="00FD6525">
        <w:t xml:space="preserve"> funding), with the remaining </w:t>
      </w:r>
      <w:r w:rsidR="0039151A">
        <w:t>$8.017 </w:t>
      </w:r>
      <w:r w:rsidRPr="00FD6525">
        <w:t xml:space="preserve">million being the balance of funds allocated to Tasmania under </w:t>
      </w:r>
      <w:r>
        <w:t>the Strategy</w:t>
      </w:r>
      <w:r w:rsidRPr="00FD6525">
        <w:t xml:space="preserve"> to 30 June 2018.</w:t>
      </w:r>
    </w:p>
    <w:p w:rsidR="005D7B61" w:rsidRPr="00FD6525" w:rsidRDefault="005D7B61" w:rsidP="005D7B61">
      <w:pPr>
        <w:keepNext/>
        <w:spacing w:after="120"/>
        <w:rPr>
          <w:b/>
        </w:rPr>
      </w:pPr>
      <w:r w:rsidRPr="00FD6525">
        <w:rPr>
          <w:b/>
        </w:rPr>
        <w:t xml:space="preserve">New South Wales </w:t>
      </w:r>
    </w:p>
    <w:p w:rsidR="005D7B61" w:rsidRPr="00FD6525" w:rsidRDefault="005D7B61" w:rsidP="005D7B61">
      <w:pPr>
        <w:spacing w:after="120"/>
      </w:pPr>
      <w:r>
        <w:t>New South Wales</w:t>
      </w:r>
      <w:r w:rsidRPr="00FD6525">
        <w:t xml:space="preserve"> was allocated a total of $393.279 million for capital works, PTM and ICHO reform under </w:t>
      </w:r>
      <w:r>
        <w:t>the Strategy</w:t>
      </w:r>
      <w:r w:rsidRPr="00FD6525">
        <w:t xml:space="preserve">. As at 30 June 2016 when </w:t>
      </w:r>
      <w:r>
        <w:t>New South Wales</w:t>
      </w:r>
      <w:r w:rsidRPr="00FD6525">
        <w:t xml:space="preserve"> exited </w:t>
      </w:r>
      <w:r>
        <w:t>the Strategy</w:t>
      </w:r>
      <w:r w:rsidRPr="00FD6525">
        <w:t xml:space="preserve">, a total of $345.236 million had been released. </w:t>
      </w:r>
    </w:p>
    <w:p w:rsidR="005D7B61" w:rsidRPr="00FD6525" w:rsidRDefault="005D7B61" w:rsidP="005D7B61">
      <w:pPr>
        <w:spacing w:after="120"/>
      </w:pPr>
      <w:r w:rsidRPr="00FD6525">
        <w:t xml:space="preserve">Under </w:t>
      </w:r>
      <w:r>
        <w:t>the Strategy</w:t>
      </w:r>
      <w:r w:rsidRPr="00FD6525">
        <w:t xml:space="preserve"> </w:t>
      </w:r>
      <w:r>
        <w:t>New South Wales</w:t>
      </w:r>
      <w:r w:rsidRPr="00FD6525">
        <w:t xml:space="preserve"> agreed to deliver 310 new houses and 101 refurbishments.</w:t>
      </w:r>
      <w:r w:rsidRPr="00FD6525">
        <w:rPr>
          <w:iCs/>
        </w:rPr>
        <w:t xml:space="preserve"> </w:t>
      </w:r>
      <w:r w:rsidR="0039151A">
        <w:t>By </w:t>
      </w:r>
      <w:r w:rsidRPr="00FD6525">
        <w:t xml:space="preserve">30 June 2016 </w:t>
      </w:r>
      <w:r>
        <w:t>New South Wales</w:t>
      </w:r>
      <w:r w:rsidRPr="00FD6525">
        <w:t xml:space="preserve"> had delivered 263 new houses and 1</w:t>
      </w:r>
      <w:r w:rsidR="00F466EE">
        <w:t>,</w:t>
      </w:r>
      <w:r w:rsidRPr="00FD6525">
        <w:t xml:space="preserve">009 refurbishments.  </w:t>
      </w:r>
    </w:p>
    <w:p w:rsidR="005D7B61" w:rsidRPr="00FD6525" w:rsidRDefault="005D7B61" w:rsidP="005D7B61">
      <w:pPr>
        <w:spacing w:after="120"/>
      </w:pPr>
      <w:r>
        <w:t>Under the Strategy</w:t>
      </w:r>
      <w:r w:rsidRPr="00FD6525">
        <w:t xml:space="preserve"> capital works in </w:t>
      </w:r>
      <w:r>
        <w:t>New South Wales</w:t>
      </w:r>
      <w:r w:rsidRPr="00FD6525">
        <w:t xml:space="preserve"> were delivered on freehold land, mainly in remote towns. In some instances, old houses were acquired with significant upgrade works necessary, which did not add to the total number of houses available in the towns.</w:t>
      </w:r>
    </w:p>
    <w:p w:rsidR="005D7B61" w:rsidRPr="00FD6525" w:rsidRDefault="005D7B61" w:rsidP="005D7B61">
      <w:pPr>
        <w:spacing w:after="120"/>
      </w:pPr>
      <w:r w:rsidRPr="00FD6525">
        <w:t>Where freehold land did not exist, land councils held Aboriginal titled land and often only agree</w:t>
      </w:r>
      <w:r w:rsidR="00F466EE">
        <w:t>d</w:t>
      </w:r>
      <w:r w:rsidRPr="00FD6525">
        <w:t xml:space="preserve"> to 10 year leases. </w:t>
      </w:r>
      <w:r>
        <w:t>New South Wales</w:t>
      </w:r>
      <w:r w:rsidRPr="00FD6525">
        <w:t xml:space="preserve"> was approved to undertake ‘light touch’ work on houses with 10 year leases, paid at $50,000 up to $85,000 (less than half the cost of refurbishments in other </w:t>
      </w:r>
      <w:r w:rsidR="0004739C">
        <w:t>jurisdiction</w:t>
      </w:r>
      <w:r w:rsidRPr="00FD6525">
        <w:t xml:space="preserve">s). This enabled </w:t>
      </w:r>
      <w:r>
        <w:t>New South Wales</w:t>
      </w:r>
      <w:r w:rsidRPr="00FD6525">
        <w:t xml:space="preserve"> to ‘fix and make safe’ more than 95 per cent of its remote housing, but did not include major upgrades or significant improvement to amenity. As a consequence, there has been a lot of public criticism about the quality of works carried out in </w:t>
      </w:r>
      <w:r w:rsidR="00F466EE">
        <w:t>New </w:t>
      </w:r>
      <w:r>
        <w:t>South Wales</w:t>
      </w:r>
      <w:r w:rsidRPr="00FD6525">
        <w:t>.</w:t>
      </w:r>
    </w:p>
    <w:p w:rsidR="005D7B61" w:rsidRPr="00FD6525" w:rsidRDefault="005D7B61" w:rsidP="005D7B61">
      <w:pPr>
        <w:spacing w:after="120"/>
      </w:pPr>
      <w:r w:rsidRPr="00FD6525">
        <w:rPr>
          <w:iCs/>
        </w:rPr>
        <w:t xml:space="preserve">The PTM delivered under the </w:t>
      </w:r>
      <w:r>
        <w:rPr>
          <w:iCs/>
        </w:rPr>
        <w:t>Strategy</w:t>
      </w:r>
      <w:r w:rsidRPr="00FD6525">
        <w:rPr>
          <w:iCs/>
        </w:rPr>
        <w:t xml:space="preserve"> in </w:t>
      </w:r>
      <w:r>
        <w:rPr>
          <w:iCs/>
        </w:rPr>
        <w:t>New South Wales</w:t>
      </w:r>
      <w:r w:rsidRPr="00FD6525">
        <w:rPr>
          <w:iCs/>
        </w:rPr>
        <w:t xml:space="preserve"> differed from other </w:t>
      </w:r>
      <w:r w:rsidR="0004739C">
        <w:rPr>
          <w:iCs/>
        </w:rPr>
        <w:t>jurisdiction</w:t>
      </w:r>
      <w:r w:rsidRPr="00FD6525">
        <w:rPr>
          <w:iCs/>
        </w:rPr>
        <w:t xml:space="preserve">s, as it did not directly take over housing management. Instead, </w:t>
      </w:r>
      <w:r>
        <w:rPr>
          <w:iCs/>
        </w:rPr>
        <w:t>New South Wales</w:t>
      </w:r>
      <w:r w:rsidRPr="00FD6525">
        <w:rPr>
          <w:iCs/>
        </w:rPr>
        <w:t xml:space="preserve"> focussed on supporting and building the capacity of its ICHOs </w:t>
      </w:r>
      <w:r w:rsidRPr="00FD6525">
        <w:t>to deliver a higher standard of</w:t>
      </w:r>
      <w:r w:rsidRPr="00FD6525">
        <w:rPr>
          <w:iCs/>
        </w:rPr>
        <w:t xml:space="preserve"> PTM. These reforms were based on the implementation of the </w:t>
      </w:r>
      <w:r>
        <w:rPr>
          <w:iCs/>
        </w:rPr>
        <w:t>New South Wales</w:t>
      </w:r>
      <w:r w:rsidRPr="00FD6525">
        <w:rPr>
          <w:iCs/>
        </w:rPr>
        <w:t xml:space="preserve"> Build and Grow Aboriginal Community Housing Strategy.</w:t>
      </w:r>
    </w:p>
    <w:p w:rsidR="005D7B61" w:rsidRPr="00FD6525" w:rsidRDefault="005D7B61" w:rsidP="005D7B61">
      <w:pPr>
        <w:spacing w:after="120"/>
      </w:pPr>
      <w:r w:rsidRPr="00FD6525">
        <w:rPr>
          <w:iCs/>
        </w:rPr>
        <w:t xml:space="preserve">The Build and Grow reforms supported the Aboriginal community housing sector to meet the housing needs of Aboriginal communities. It was underpinned by the introduction of the new Provider Assessment and Registration System and a new rent policy.  </w:t>
      </w:r>
    </w:p>
    <w:p w:rsidR="005D7B61" w:rsidRPr="00FD6525" w:rsidRDefault="005D7B61" w:rsidP="005D7B61">
      <w:pPr>
        <w:spacing w:after="120"/>
        <w:rPr>
          <w:iCs/>
        </w:rPr>
      </w:pPr>
      <w:r w:rsidRPr="00FD6525">
        <w:rPr>
          <w:iCs/>
        </w:rPr>
        <w:t xml:space="preserve">The Provider Assessment and Registration System aimed to consolidate and strengthen the community housing sector and to improve longer term sustainability. Only those ICHOs which achieved approved provider status, or agreed to head lease their housing stock to the </w:t>
      </w:r>
      <w:r>
        <w:rPr>
          <w:iCs/>
        </w:rPr>
        <w:t>New South Wales</w:t>
      </w:r>
      <w:r w:rsidRPr="00FD6525">
        <w:rPr>
          <w:iCs/>
        </w:rPr>
        <w:t xml:space="preserve"> Aboriginal Housing Office for sub-lease to an approved provider, could gain access to </w:t>
      </w:r>
      <w:r>
        <w:rPr>
          <w:iCs/>
        </w:rPr>
        <w:t>Strategy</w:t>
      </w:r>
      <w:r w:rsidRPr="00FD6525">
        <w:rPr>
          <w:iCs/>
        </w:rPr>
        <w:t xml:space="preserve"> funding for backlog repairs and maintenance (non-remote) and refurbishments (remote).</w:t>
      </w:r>
    </w:p>
    <w:p w:rsidR="005D7B61" w:rsidRPr="00FD6525" w:rsidRDefault="005D7B61" w:rsidP="005D7B61">
      <w:pPr>
        <w:spacing w:after="120"/>
        <w:rPr>
          <w:iCs/>
        </w:rPr>
      </w:pPr>
      <w:r w:rsidRPr="00FD6525">
        <w:rPr>
          <w:iCs/>
        </w:rPr>
        <w:t xml:space="preserve">Around five per cent of remote housing stock is managed by providers who were not willing to sign up to </w:t>
      </w:r>
      <w:r>
        <w:rPr>
          <w:iCs/>
        </w:rPr>
        <w:t>New South Wales</w:t>
      </w:r>
      <w:r w:rsidRPr="00FD6525">
        <w:rPr>
          <w:iCs/>
        </w:rPr>
        <w:t>’s Build and Grow reforms and this untouched housing stock was not eligible for investment</w:t>
      </w:r>
      <w:r>
        <w:rPr>
          <w:iCs/>
        </w:rPr>
        <w:t xml:space="preserve"> under the Strategy</w:t>
      </w:r>
      <w:r w:rsidRPr="00FD6525">
        <w:rPr>
          <w:iCs/>
        </w:rPr>
        <w:t>.</w:t>
      </w:r>
    </w:p>
    <w:p w:rsidR="005D7B61" w:rsidRPr="00FD6525" w:rsidRDefault="005D7B61" w:rsidP="005D7B61">
      <w:pPr>
        <w:spacing w:after="120"/>
      </w:pPr>
      <w:r w:rsidRPr="00FD6525">
        <w:rPr>
          <w:iCs/>
        </w:rPr>
        <w:t xml:space="preserve">Remote Indigenous housing needs changed in </w:t>
      </w:r>
      <w:r>
        <w:rPr>
          <w:iCs/>
        </w:rPr>
        <w:t>New South Wales</w:t>
      </w:r>
      <w:r w:rsidRPr="00FD6525">
        <w:rPr>
          <w:iCs/>
        </w:rPr>
        <w:t xml:space="preserve"> during the </w:t>
      </w:r>
      <w:r>
        <w:rPr>
          <w:iCs/>
        </w:rPr>
        <w:t>Strategy</w:t>
      </w:r>
      <w:r w:rsidRPr="00FD6525">
        <w:rPr>
          <w:iCs/>
        </w:rPr>
        <w:t xml:space="preserve">, in part due to the significant over achievement of refurbishments. </w:t>
      </w:r>
      <w:r w:rsidRPr="00FD6525">
        <w:t xml:space="preserve">Prior to exiting the </w:t>
      </w:r>
      <w:r>
        <w:t>Strategy</w:t>
      </w:r>
      <w:r w:rsidRPr="00FD6525">
        <w:t xml:space="preserve"> in 2016, </w:t>
      </w:r>
      <w:r>
        <w:t>New</w:t>
      </w:r>
      <w:r w:rsidR="00F466EE">
        <w:t> South </w:t>
      </w:r>
      <w:r>
        <w:t>Wales</w:t>
      </w:r>
      <w:r w:rsidRPr="00FD6525">
        <w:t xml:space="preserve"> demonstrated that a much higher housing need existed for Aboriginal and Torres Strait Islander people in outer regional locations, and that there was an increasing migration of </w:t>
      </w:r>
      <w:r w:rsidRPr="00FD6525">
        <w:lastRenderedPageBreak/>
        <w:t xml:space="preserve">Aboriginal and Torres Strait Islander people from very remote areas to access services, employment and training. </w:t>
      </w:r>
    </w:p>
    <w:p w:rsidR="005D7B61" w:rsidRPr="00FD6525" w:rsidRDefault="005D7B61" w:rsidP="005D7B61">
      <w:pPr>
        <w:spacing w:after="120"/>
        <w:rPr>
          <w:iCs/>
        </w:rPr>
      </w:pPr>
      <w:r w:rsidRPr="00FD6525">
        <w:rPr>
          <w:iCs/>
        </w:rPr>
        <w:t xml:space="preserve">The Commonwealth decided </w:t>
      </w:r>
      <w:r>
        <w:rPr>
          <w:iCs/>
        </w:rPr>
        <w:t>New South Wales</w:t>
      </w:r>
      <w:r w:rsidRPr="00FD6525">
        <w:rPr>
          <w:iCs/>
        </w:rPr>
        <w:t xml:space="preserve"> was in the best position to design and deliver any further capital projects required to meet future demand, and both governments agreed </w:t>
      </w:r>
      <w:r w:rsidR="00F466EE">
        <w:rPr>
          <w:iCs/>
        </w:rPr>
        <w:t>New South </w:t>
      </w:r>
      <w:r>
        <w:rPr>
          <w:iCs/>
        </w:rPr>
        <w:t>Wales</w:t>
      </w:r>
      <w:r w:rsidRPr="00FD6525">
        <w:rPr>
          <w:iCs/>
        </w:rPr>
        <w:t xml:space="preserve"> would exit the </w:t>
      </w:r>
      <w:r>
        <w:rPr>
          <w:iCs/>
        </w:rPr>
        <w:t>Strategy</w:t>
      </w:r>
      <w:r w:rsidRPr="00FD6525">
        <w:rPr>
          <w:iCs/>
        </w:rPr>
        <w:t xml:space="preserve"> by June 2016. </w:t>
      </w:r>
    </w:p>
    <w:p w:rsidR="005D7B61" w:rsidRPr="00FD6525" w:rsidRDefault="005D7B61" w:rsidP="005D7B61">
      <w:pPr>
        <w:spacing w:after="120"/>
        <w:rPr>
          <w:iCs/>
        </w:rPr>
      </w:pPr>
      <w:r w:rsidRPr="00FD6525">
        <w:rPr>
          <w:iCs/>
        </w:rPr>
        <w:t xml:space="preserve">The early exit arrangement included a one-off payment of $48.043 million to </w:t>
      </w:r>
      <w:r>
        <w:rPr>
          <w:iCs/>
        </w:rPr>
        <w:t>New South Wales</w:t>
      </w:r>
      <w:r w:rsidRPr="00FD6525">
        <w:rPr>
          <w:iCs/>
        </w:rPr>
        <w:t xml:space="preserve"> as recognition of the overachievement of </w:t>
      </w:r>
      <w:r>
        <w:rPr>
          <w:iCs/>
        </w:rPr>
        <w:t>the Strategy’s</w:t>
      </w:r>
      <w:r w:rsidRPr="00FD6525">
        <w:rPr>
          <w:iCs/>
        </w:rPr>
        <w:t xml:space="preserve"> objectives, which was the remaining funds allocated to </w:t>
      </w:r>
      <w:r>
        <w:rPr>
          <w:iCs/>
        </w:rPr>
        <w:t>New South Wales</w:t>
      </w:r>
      <w:r w:rsidRPr="00FD6525">
        <w:rPr>
          <w:iCs/>
        </w:rPr>
        <w:t xml:space="preserve"> from 2015-16 to 2017-18. On acceptance of this payment </w:t>
      </w:r>
      <w:r w:rsidR="00F466EE">
        <w:rPr>
          <w:iCs/>
        </w:rPr>
        <w:t>New South </w:t>
      </w:r>
      <w:r>
        <w:rPr>
          <w:iCs/>
        </w:rPr>
        <w:t>Wales</w:t>
      </w:r>
      <w:r w:rsidRPr="00FD6525">
        <w:rPr>
          <w:iCs/>
        </w:rPr>
        <w:t xml:space="preserve"> Government would be considered to be fully responsible for remote Indigenous housing within </w:t>
      </w:r>
      <w:r>
        <w:rPr>
          <w:iCs/>
        </w:rPr>
        <w:t>New South Wales</w:t>
      </w:r>
      <w:r w:rsidRPr="00FD6525">
        <w:rPr>
          <w:iCs/>
        </w:rPr>
        <w:t xml:space="preserve">.  </w:t>
      </w:r>
    </w:p>
    <w:p w:rsidR="00052D04" w:rsidRDefault="005D7B61" w:rsidP="005D7B61">
      <w:pPr>
        <w:spacing w:after="120"/>
      </w:pPr>
      <w:r w:rsidRPr="00FD6525">
        <w:rPr>
          <w:iCs/>
        </w:rPr>
        <w:t xml:space="preserve">As part of this arrangement the Commonwealth Government required </w:t>
      </w:r>
      <w:r>
        <w:rPr>
          <w:iCs/>
        </w:rPr>
        <w:t>New South Wales</w:t>
      </w:r>
      <w:r w:rsidRPr="00FD6525">
        <w:t xml:space="preserve"> to deliver $15 million of this payment in the Murdi Paaki region, delivered through the Local Decision Making Accord with the Murdi Paaki Regional Assembly, over three years. This condition was applied to ensure </w:t>
      </w:r>
      <w:r>
        <w:t>the Strategy’s</w:t>
      </w:r>
      <w:r w:rsidRPr="00FD6525">
        <w:t xml:space="preserve"> investment would be protected in the long</w:t>
      </w:r>
      <w:r w:rsidR="00370896">
        <w:t>-</w:t>
      </w:r>
      <w:r w:rsidRPr="00FD6525">
        <w:t>term and housing providers would be supported to become more sustainable. This payment was also conditional upon all new remote Indigenous housing management contracts either being awarded to Indigenous providers or containing Indigenous employment targets for non-Indigenous providers who successfully tendered for contracts.</w:t>
      </w:r>
    </w:p>
    <w:p w:rsidR="00052D04" w:rsidRDefault="00052D04">
      <w:r>
        <w:br w:type="page"/>
      </w:r>
    </w:p>
    <w:p w:rsidR="00052D04" w:rsidRPr="00A31473" w:rsidRDefault="00052D04" w:rsidP="00052D04">
      <w:pPr>
        <w:pStyle w:val="H3"/>
      </w:pPr>
      <w:bookmarkStart w:id="611" w:name="_Toc490218759"/>
      <w:r w:rsidRPr="00A31473">
        <w:lastRenderedPageBreak/>
        <w:t xml:space="preserve">Appendix VII – </w:t>
      </w:r>
      <w:r>
        <w:t>Extended text version of images and graphs</w:t>
      </w:r>
      <w:bookmarkEnd w:id="611"/>
    </w:p>
    <w:p w:rsidR="00052D04" w:rsidRDefault="00052D04" w:rsidP="00DB288F">
      <w:pPr>
        <w:pStyle w:val="h4bold"/>
      </w:pPr>
      <w:bookmarkStart w:id="612" w:name="fig12"/>
      <w:bookmarkEnd w:id="612"/>
      <w:r w:rsidRPr="00052D04">
        <w:t>Figure 1.2: Location of Strategy delivery locations</w:t>
      </w:r>
    </w:p>
    <w:p w:rsidR="00052D04" w:rsidRDefault="00052D04" w:rsidP="00052D04">
      <w:r>
        <w:t>Map of Australia showing distribution of NPARIH and Strategy to 208 sites since 2008.</w:t>
      </w:r>
    </w:p>
    <w:p w:rsidR="00DB288F" w:rsidRDefault="00052D04" w:rsidP="00052D04">
      <w:pPr>
        <w:spacing w:before="120" w:after="120"/>
        <w:rPr>
          <w:sz w:val="20"/>
          <w:szCs w:val="20"/>
        </w:rPr>
      </w:pPr>
      <w:r>
        <w:rPr>
          <w:sz w:val="20"/>
          <w:szCs w:val="20"/>
        </w:rPr>
        <w:t xml:space="preserve">Go back to </w:t>
      </w:r>
      <w:hyperlink w:anchor="figure12" w:history="1">
        <w:r w:rsidRPr="00667862">
          <w:rPr>
            <w:rStyle w:val="Hyperlink"/>
            <w:color w:val="0B84FF" w:themeColor="text2" w:themeTint="99"/>
            <w:sz w:val="20"/>
            <w:szCs w:val="20"/>
          </w:rPr>
          <w:t>Figure 1.2</w:t>
        </w:r>
      </w:hyperlink>
    </w:p>
    <w:p w:rsidR="00052D04" w:rsidRDefault="00052D04" w:rsidP="00DB288F">
      <w:pPr>
        <w:pStyle w:val="h4bold"/>
      </w:pPr>
      <w:bookmarkStart w:id="613" w:name="fig22"/>
      <w:bookmarkEnd w:id="613"/>
      <w:r>
        <w:t>Figure 2.2</w:t>
      </w:r>
      <w:r w:rsidRPr="00237C7E">
        <w:t xml:space="preserve">: Before and after rate ratios for disease conditions in populations exposed to Housing for Health (intervention group) versus rural </w:t>
      </w:r>
      <w:r>
        <w:t>New South Wales</w:t>
      </w:r>
      <w:r w:rsidRPr="00237C7E">
        <w:t xml:space="preserve"> Aboriginal control population (non-intervention group)</w:t>
      </w:r>
      <w:r>
        <w:t>.</w:t>
      </w:r>
    </w:p>
    <w:p w:rsidR="00052D04" w:rsidRPr="00B67094" w:rsidRDefault="003F3942" w:rsidP="00052D04">
      <w:pPr>
        <w:spacing w:before="120" w:after="120"/>
      </w:pPr>
      <w:r w:rsidRPr="00B67094">
        <w:t xml:space="preserve">Chart comparing before and after rate ratio for disease conditions - respiratory, skin infection, intestinal infection and otitis media – in populations exposed to Housing for Health interventions versus rural New South Wales Aboriginal populations without the intervention. </w:t>
      </w:r>
    </w:p>
    <w:p w:rsidR="00052D04" w:rsidRDefault="00052D04" w:rsidP="00052D04">
      <w:pPr>
        <w:spacing w:before="120" w:after="120"/>
        <w:rPr>
          <w:sz w:val="20"/>
          <w:szCs w:val="20"/>
        </w:rPr>
      </w:pPr>
      <w:r>
        <w:rPr>
          <w:sz w:val="20"/>
          <w:szCs w:val="20"/>
        </w:rPr>
        <w:t xml:space="preserve">Go back to </w:t>
      </w:r>
      <w:hyperlink w:anchor="figure22" w:history="1">
        <w:r w:rsidRPr="00667862">
          <w:rPr>
            <w:rStyle w:val="Hyperlink"/>
            <w:color w:val="0B84FF" w:themeColor="text2" w:themeTint="99"/>
            <w:sz w:val="20"/>
            <w:szCs w:val="20"/>
          </w:rPr>
          <w:t>Figure 2.2</w:t>
        </w:r>
      </w:hyperlink>
    </w:p>
    <w:p w:rsidR="005D7B61" w:rsidRDefault="00052D04" w:rsidP="00DB288F">
      <w:pPr>
        <w:pStyle w:val="h4bold"/>
      </w:pPr>
      <w:bookmarkStart w:id="614" w:name="fig31"/>
      <w:bookmarkEnd w:id="614"/>
      <w:r w:rsidRPr="00052D04">
        <w:t>Figure 3.1: Overcrowding by remoteness, NATSISS 2008 – 2014-15</w:t>
      </w:r>
    </w:p>
    <w:p w:rsidR="00052D04" w:rsidRDefault="00052D04" w:rsidP="00052D04">
      <w:pPr>
        <w:spacing w:after="120"/>
      </w:pPr>
      <w:r w:rsidRPr="00052D04">
        <w:t>The graph shows that there has been a reduction in overcrowding from 2008 - 2014-15. It also shows that overcrowding levels become higher the more remote the location.</w:t>
      </w:r>
    </w:p>
    <w:p w:rsidR="00052D04" w:rsidRDefault="00052D04" w:rsidP="00052D04">
      <w:pPr>
        <w:spacing w:before="120" w:after="120"/>
        <w:rPr>
          <w:sz w:val="20"/>
          <w:szCs w:val="20"/>
        </w:rPr>
      </w:pPr>
      <w:r>
        <w:rPr>
          <w:sz w:val="20"/>
          <w:szCs w:val="20"/>
        </w:rPr>
        <w:t xml:space="preserve">Go back to </w:t>
      </w:r>
      <w:hyperlink w:anchor="figure31" w:history="1">
        <w:r w:rsidRPr="00667862">
          <w:rPr>
            <w:rStyle w:val="Hyperlink"/>
            <w:color w:val="0B84FF" w:themeColor="text2" w:themeTint="99"/>
            <w:sz w:val="20"/>
            <w:szCs w:val="20"/>
          </w:rPr>
          <w:t>Figure 3.1</w:t>
        </w:r>
      </w:hyperlink>
    </w:p>
    <w:p w:rsidR="00052D04" w:rsidRDefault="00052D04" w:rsidP="00DB288F">
      <w:pPr>
        <w:pStyle w:val="h4bold"/>
      </w:pPr>
      <w:bookmarkStart w:id="615" w:name="fig33"/>
      <w:bookmarkEnd w:id="615"/>
      <w:r w:rsidRPr="00052D04">
        <w:t>Figure 3.3: Estimated number of dwellings required for all remote areas to 2028</w:t>
      </w:r>
    </w:p>
    <w:p w:rsidR="00052D04" w:rsidRDefault="00052D04" w:rsidP="00052D04">
      <w:pPr>
        <w:spacing w:after="120"/>
      </w:pPr>
      <w:r w:rsidRPr="00052D04">
        <w:t>Graph shows 2,7</w:t>
      </w:r>
      <w:r w:rsidR="001D1C8A">
        <w:t>50</w:t>
      </w:r>
      <w:r w:rsidRPr="00052D04">
        <w:t>properties are required in the Northern Territory, 1,100 in Queensland, 1,3</w:t>
      </w:r>
      <w:r w:rsidR="001D1C8A">
        <w:t>50</w:t>
      </w:r>
      <w:r w:rsidRPr="00052D04">
        <w:t xml:space="preserve"> in Western Australia, and 300 in South Australia by 2028 to address overcrowding.</w:t>
      </w:r>
      <w:r w:rsidR="00DB288F">
        <w:t xml:space="preserve"> </w:t>
      </w:r>
      <w:r w:rsidRPr="00052D04">
        <w:t xml:space="preserve">Half of the need for additional dwellings required by 2028 is in the Northern Territory alone. </w:t>
      </w:r>
    </w:p>
    <w:p w:rsidR="00052D04" w:rsidRDefault="00052D04" w:rsidP="00052D04">
      <w:pPr>
        <w:spacing w:before="120" w:after="120"/>
        <w:rPr>
          <w:sz w:val="20"/>
          <w:szCs w:val="20"/>
        </w:rPr>
      </w:pPr>
      <w:r>
        <w:rPr>
          <w:sz w:val="20"/>
          <w:szCs w:val="20"/>
        </w:rPr>
        <w:t xml:space="preserve">Go back to </w:t>
      </w:r>
      <w:hyperlink w:anchor="figure33" w:history="1">
        <w:r w:rsidRPr="00667862">
          <w:rPr>
            <w:rStyle w:val="Hyperlink"/>
            <w:color w:val="0B84FF" w:themeColor="text2" w:themeTint="99"/>
            <w:sz w:val="20"/>
            <w:szCs w:val="20"/>
          </w:rPr>
          <w:t>Figure 3.3</w:t>
        </w:r>
      </w:hyperlink>
    </w:p>
    <w:p w:rsidR="00052D04" w:rsidRDefault="00052D04" w:rsidP="00DB288F">
      <w:pPr>
        <w:pStyle w:val="h4bold"/>
      </w:pPr>
      <w:bookmarkStart w:id="616" w:name="fig81"/>
      <w:bookmarkEnd w:id="616"/>
      <w:r w:rsidRPr="00052D04">
        <w:t xml:space="preserve">Figure 8.1: Rental income as a proportion of annual ongoing cost, by per cent (2017-18 </w:t>
      </w:r>
      <w:r w:rsidR="00647F22">
        <w:t>B</w:t>
      </w:r>
      <w:r w:rsidRPr="00052D04">
        <w:t>udget)</w:t>
      </w:r>
    </w:p>
    <w:p w:rsidR="009E2B79" w:rsidRDefault="009E2B79" w:rsidP="009E2B79">
      <w:pPr>
        <w:spacing w:after="120"/>
      </w:pPr>
      <w:r w:rsidRPr="009E2B79">
        <w:t xml:space="preserve">Graph shows rental income as proportion of </w:t>
      </w:r>
      <w:r w:rsidR="00647F22">
        <w:t xml:space="preserve">annual ongoing </w:t>
      </w:r>
      <w:r w:rsidRPr="009E2B79">
        <w:t>cost</w:t>
      </w:r>
      <w:r w:rsidR="00647F22">
        <w:t>s of providing housing</w:t>
      </w:r>
      <w:r w:rsidRPr="009E2B79">
        <w:t xml:space="preserve"> by </w:t>
      </w:r>
      <w:r w:rsidR="00647F22">
        <w:t>the 2017-18 Budget</w:t>
      </w:r>
      <w:r w:rsidRPr="009E2B79">
        <w:t xml:space="preserve">. </w:t>
      </w:r>
      <w:r w:rsidR="00647F22">
        <w:t>The w</w:t>
      </w:r>
      <w:r w:rsidRPr="009E2B79">
        <w:t xml:space="preserve">eighted average </w:t>
      </w:r>
      <w:r w:rsidR="00647F22">
        <w:t xml:space="preserve">for all </w:t>
      </w:r>
      <w:r w:rsidRPr="009E2B79">
        <w:t xml:space="preserve">jurisdictions </w:t>
      </w:r>
      <w:r w:rsidR="00647F22">
        <w:t xml:space="preserve">is </w:t>
      </w:r>
      <w:r w:rsidRPr="009E2B79">
        <w:t>16%.</w:t>
      </w:r>
    </w:p>
    <w:p w:rsidR="00052D04" w:rsidRPr="00DB288F" w:rsidRDefault="00052D04" w:rsidP="00DB288F">
      <w:pPr>
        <w:spacing w:before="120" w:after="120"/>
        <w:rPr>
          <w:sz w:val="20"/>
          <w:szCs w:val="20"/>
        </w:rPr>
      </w:pPr>
      <w:r>
        <w:rPr>
          <w:sz w:val="20"/>
          <w:szCs w:val="20"/>
        </w:rPr>
        <w:t xml:space="preserve">Go back to </w:t>
      </w:r>
      <w:hyperlink w:anchor="figure81" w:history="1">
        <w:r w:rsidRPr="00667862">
          <w:rPr>
            <w:rStyle w:val="Hyperlink"/>
            <w:color w:val="0B84FF" w:themeColor="text2" w:themeTint="99"/>
            <w:sz w:val="20"/>
            <w:szCs w:val="20"/>
          </w:rPr>
          <w:t>Figure 8.1</w:t>
        </w:r>
      </w:hyperlink>
    </w:p>
    <w:p w:rsidR="008B2FDF" w:rsidRPr="008B2FDF" w:rsidRDefault="008B2FDF" w:rsidP="008B2FDF"/>
    <w:p w:rsidR="00A148A6" w:rsidRDefault="00A148A6" w:rsidP="00E60869">
      <w:pPr>
        <w:pStyle w:val="Bullet"/>
        <w:numPr>
          <w:ilvl w:val="0"/>
          <w:numId w:val="0"/>
        </w:numPr>
        <w:spacing w:before="120" w:after="120" w:line="240" w:lineRule="auto"/>
        <w:sectPr w:rsidR="00A148A6" w:rsidSect="008D5C7E">
          <w:pgSz w:w="11906" w:h="16838" w:code="9"/>
          <w:pgMar w:top="1985" w:right="1418" w:bottom="1843" w:left="1531" w:header="567" w:footer="567" w:gutter="0"/>
          <w:cols w:space="708"/>
          <w:docGrid w:linePitch="360"/>
        </w:sectPr>
      </w:pPr>
    </w:p>
    <w:p w:rsidR="00F24D98" w:rsidRPr="002726A9" w:rsidRDefault="00A148A6" w:rsidP="00E60869">
      <w:pPr>
        <w:pStyle w:val="Bullet"/>
        <w:numPr>
          <w:ilvl w:val="0"/>
          <w:numId w:val="0"/>
        </w:numPr>
        <w:spacing w:before="120" w:after="120" w:line="240" w:lineRule="auto"/>
      </w:pPr>
      <w:r>
        <w:rPr>
          <w:noProof/>
          <w:lang w:eastAsia="en-AU"/>
        </w:rPr>
        <w:lastRenderedPageBreak/>
        <w:drawing>
          <wp:anchor distT="0" distB="0" distL="114300" distR="114300" simplePos="0" relativeHeight="251658241" behindDoc="1" locked="0" layoutInCell="1" allowOverlap="1" wp14:anchorId="7A1AE0DE" wp14:editId="7A1AE0DF">
            <wp:simplePos x="0" y="0"/>
            <wp:positionH relativeFrom="page">
              <wp:posOffset>0</wp:posOffset>
            </wp:positionH>
            <wp:positionV relativeFrom="page">
              <wp:posOffset>0</wp:posOffset>
            </wp:positionV>
            <wp:extent cx="7560000" cy="1069200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3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sectPr w:rsidR="00F24D98" w:rsidRPr="002726A9" w:rsidSect="008D5C7E">
      <w:footerReference w:type="even" r:id="rId37"/>
      <w:pgSz w:w="11906" w:h="16838" w:code="9"/>
      <w:pgMar w:top="1985" w:right="1418" w:bottom="1843" w:left="153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E6B" w:rsidRDefault="00544E6B" w:rsidP="003C0817">
      <w:pPr>
        <w:spacing w:after="0"/>
      </w:pPr>
      <w:r>
        <w:separator/>
      </w:r>
    </w:p>
  </w:endnote>
  <w:endnote w:type="continuationSeparator" w:id="0">
    <w:p w:rsidR="00544E6B" w:rsidRDefault="00544E6B" w:rsidP="003C0817">
      <w:pPr>
        <w:spacing w:after="0"/>
      </w:pPr>
      <w:r>
        <w:continuationSeparator/>
      </w:r>
    </w:p>
  </w:endnote>
  <w:endnote w:type="continuationNotice" w:id="1">
    <w:p w:rsidR="00544E6B" w:rsidRDefault="00544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Pr="00194AE8" w:rsidRDefault="009C713A" w:rsidP="00E25A5D">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Default="009C713A" w:rsidP="008F7192">
    <w:pPr>
      <w:pStyle w:val="Footer"/>
      <w:jc w:val="left"/>
    </w:pPr>
    <w:r>
      <w:t xml:space="preserve">| </w:t>
    </w:r>
    <w:r>
      <w:fldChar w:fldCharType="begin"/>
    </w:r>
    <w:r>
      <w:instrText xml:space="preserve"> PAGE  \* Arabic  \* MERGEFORMAT </w:instrText>
    </w:r>
    <w:r>
      <w:fldChar w:fldCharType="separate"/>
    </w:r>
    <w:r w:rsidR="00191C11">
      <w:rPr>
        <w:noProof/>
      </w:rPr>
      <w:t>94</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Pr="00194AE8" w:rsidRDefault="009C713A" w:rsidP="00E25A5D">
    <w:pPr>
      <w:pStyle w:val="Footer"/>
    </w:pPr>
    <w:r>
      <w:ptab w:relativeTo="margin" w:alignment="right" w:leader="none"/>
    </w:r>
    <w:r>
      <w:t xml:space="preserve">| </w:t>
    </w:r>
    <w:r>
      <w:fldChar w:fldCharType="begin"/>
    </w:r>
    <w:r>
      <w:instrText xml:space="preserve"> PAGE  \* Arabic  \* MERGEFORMAT </w:instrText>
    </w:r>
    <w:r>
      <w:fldChar w:fldCharType="separate"/>
    </w:r>
    <w:r w:rsidR="00191C11">
      <w:rPr>
        <w:noProof/>
      </w:rPr>
      <w:t>95</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Default="009C713A" w:rsidP="008F719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E6B" w:rsidRDefault="00544E6B" w:rsidP="003C0817">
      <w:pPr>
        <w:spacing w:after="0"/>
      </w:pPr>
      <w:r>
        <w:separator/>
      </w:r>
    </w:p>
  </w:footnote>
  <w:footnote w:type="continuationSeparator" w:id="0">
    <w:p w:rsidR="00544E6B" w:rsidRDefault="00544E6B" w:rsidP="003C0817">
      <w:pPr>
        <w:spacing w:after="0"/>
      </w:pPr>
      <w:r>
        <w:continuationSeparator/>
      </w:r>
    </w:p>
  </w:footnote>
  <w:footnote w:type="continuationNotice" w:id="1">
    <w:p w:rsidR="00544E6B" w:rsidRDefault="00544E6B">
      <w:pPr>
        <w:spacing w:after="0" w:line="240" w:lineRule="auto"/>
      </w:pPr>
    </w:p>
  </w:footnote>
  <w:footnote w:id="2">
    <w:p w:rsidR="009C713A" w:rsidRPr="00995285" w:rsidRDefault="009C713A" w:rsidP="00292380">
      <w:pPr>
        <w:pStyle w:val="FootnoteText"/>
        <w:rPr>
          <w:color w:val="auto"/>
        </w:rPr>
      </w:pPr>
      <w:r w:rsidRPr="00995285">
        <w:rPr>
          <w:rStyle w:val="FootnoteReference"/>
          <w:color w:val="auto"/>
        </w:rPr>
        <w:footnoteRef/>
      </w:r>
      <w:r w:rsidRPr="00995285">
        <w:rPr>
          <w:rFonts w:cstheme="minorHAnsi"/>
          <w:color w:val="auto"/>
        </w:rPr>
        <w:t xml:space="preserve"> Australian Bureau of Statistics, National Aboriginal and Torres Strait Islander Social Survey, 2014-15</w:t>
      </w:r>
    </w:p>
  </w:footnote>
  <w:footnote w:id="3">
    <w:p w:rsidR="009C713A" w:rsidRPr="00995285" w:rsidRDefault="009C713A" w:rsidP="00292380">
      <w:pPr>
        <w:pStyle w:val="FootnoteText"/>
        <w:rPr>
          <w:color w:val="auto"/>
        </w:rPr>
      </w:pPr>
      <w:r w:rsidRPr="00995285">
        <w:rPr>
          <w:rStyle w:val="FootnoteReference"/>
          <w:color w:val="auto"/>
        </w:rPr>
        <w:footnoteRef/>
      </w:r>
      <w:r w:rsidRPr="00995285">
        <w:rPr>
          <w:color w:val="auto"/>
        </w:rPr>
        <w:t xml:space="preserve"> PricewaterhouseCoopers (2007), </w:t>
      </w:r>
      <w:r w:rsidRPr="00995285">
        <w:rPr>
          <w:i/>
          <w:color w:val="auto"/>
        </w:rPr>
        <w:t>Living in the Sunburn Country: Findings of the Review of the Community Housing and Infrastructure Programme</w:t>
      </w:r>
      <w:r w:rsidRPr="00995285">
        <w:rPr>
          <w:color w:val="auto"/>
        </w:rPr>
        <w:t xml:space="preserve">, PWC, </w:t>
      </w:r>
      <w:hyperlink r:id="rId1" w:history="1">
        <w:r w:rsidRPr="00995285">
          <w:rPr>
            <w:rStyle w:val="Hyperlink"/>
          </w:rPr>
          <w:t>https://www.dss.gov.au/sites/default/files/documents/05_2012/livingsunburntcountry.pdf</w:t>
        </w:r>
      </w:hyperlink>
      <w:r w:rsidRPr="00995285">
        <w:rPr>
          <w:color w:val="auto"/>
        </w:rPr>
        <w:t>, page 41</w:t>
      </w:r>
    </w:p>
  </w:footnote>
  <w:footnote w:id="4">
    <w:p w:rsidR="009C713A" w:rsidRPr="00995285" w:rsidRDefault="009C713A" w:rsidP="00E02055">
      <w:pPr>
        <w:pStyle w:val="FootnoteText"/>
        <w:rPr>
          <w:color w:val="auto"/>
        </w:rPr>
      </w:pPr>
      <w:r w:rsidRPr="00995285">
        <w:rPr>
          <w:rStyle w:val="FootnoteReference"/>
          <w:color w:val="auto"/>
        </w:rPr>
        <w:footnoteRef/>
      </w:r>
      <w:r w:rsidRPr="00995285">
        <w:rPr>
          <w:color w:val="auto"/>
        </w:rPr>
        <w:t xml:space="preserve"> PricewaterhouseCoopers (2007), </w:t>
      </w:r>
      <w:r w:rsidRPr="00995285">
        <w:rPr>
          <w:i/>
          <w:color w:val="auto"/>
        </w:rPr>
        <w:t>Living in the Sunburn Country: Findings of the Review of the Community Housing and Infrastructure Programme</w:t>
      </w:r>
      <w:r w:rsidRPr="00995285">
        <w:rPr>
          <w:color w:val="auto"/>
        </w:rPr>
        <w:t xml:space="preserve">, PWC, </w:t>
      </w:r>
      <w:hyperlink r:id="rId2" w:history="1">
        <w:r w:rsidRPr="00995285">
          <w:rPr>
            <w:rStyle w:val="Hyperlink"/>
          </w:rPr>
          <w:t>https://www.dss.gov.au/sites/default/files/documents/05_2012/livingsunburntcountry.pdf</w:t>
        </w:r>
      </w:hyperlink>
      <w:r w:rsidRPr="00995285">
        <w:rPr>
          <w:color w:val="auto"/>
        </w:rPr>
        <w:t xml:space="preserve"> </w:t>
      </w:r>
      <w:r w:rsidRPr="00995285" w:rsidDel="00F702E6">
        <w:rPr>
          <w:color w:val="auto"/>
        </w:rPr>
        <w:t xml:space="preserve"> </w:t>
      </w:r>
    </w:p>
  </w:footnote>
  <w:footnote w:id="5">
    <w:p w:rsidR="009C713A" w:rsidRPr="00995285" w:rsidRDefault="009C713A" w:rsidP="00E02055">
      <w:pPr>
        <w:pStyle w:val="NormalWeb"/>
        <w:spacing w:after="0"/>
        <w:rPr>
          <w:rFonts w:asciiTheme="minorHAnsi" w:hAnsiTheme="minorHAnsi"/>
          <w:sz w:val="16"/>
        </w:rPr>
      </w:pPr>
      <w:r w:rsidRPr="00995285">
        <w:rPr>
          <w:rStyle w:val="FootnoteReference"/>
          <w:rFonts w:asciiTheme="minorHAnsi" w:hAnsiTheme="minorHAnsi"/>
          <w:color w:val="auto"/>
        </w:rPr>
        <w:footnoteRef/>
      </w:r>
      <w:r w:rsidRPr="00995285">
        <w:rPr>
          <w:rFonts w:asciiTheme="minorHAnsi" w:hAnsiTheme="minorHAnsi"/>
        </w:rPr>
        <w:t xml:space="preserve"> </w:t>
      </w:r>
      <w:r w:rsidRPr="00995285">
        <w:rPr>
          <w:rFonts w:asciiTheme="minorHAnsi" w:hAnsiTheme="minorHAnsi"/>
          <w:sz w:val="16"/>
        </w:rPr>
        <w:t xml:space="preserve">T McPeake &amp; P Pholeros, Fixing houses for better health in remote communities, National Housing Conference, 2005 </w:t>
      </w:r>
    </w:p>
    <w:p w:rsidR="009C713A" w:rsidRPr="00995285" w:rsidRDefault="009C713A" w:rsidP="00E02055">
      <w:pPr>
        <w:pStyle w:val="FootnoteText"/>
        <w:rPr>
          <w:color w:val="auto"/>
        </w:rPr>
      </w:pPr>
    </w:p>
  </w:footnote>
  <w:footnote w:id="6">
    <w:p w:rsidR="009C713A" w:rsidRPr="00995285" w:rsidRDefault="009C713A" w:rsidP="00E02055">
      <w:pPr>
        <w:pStyle w:val="FootnoteText"/>
        <w:rPr>
          <w:color w:val="auto"/>
        </w:rPr>
      </w:pPr>
      <w:r w:rsidRPr="00995285">
        <w:rPr>
          <w:rStyle w:val="FootnoteReference"/>
          <w:color w:val="auto"/>
        </w:rPr>
        <w:footnoteRef/>
      </w:r>
      <w:r w:rsidRPr="00995285">
        <w:rPr>
          <w:color w:val="auto"/>
        </w:rPr>
        <w:t xml:space="preserve"> Department of Families, Housing, Community Services and Indigenous Affairs (2009) </w:t>
      </w:r>
      <w:r w:rsidRPr="00995285">
        <w:rPr>
          <w:i/>
          <w:color w:val="auto"/>
        </w:rPr>
        <w:t>Strategic Indigenous Housing and Infrastructure Program: Review of Program Performance</w:t>
      </w:r>
      <w:r w:rsidRPr="00995285">
        <w:rPr>
          <w:color w:val="auto"/>
        </w:rPr>
        <w:t xml:space="preserve">, Commonwealth of Australia, Canberra </w:t>
      </w:r>
      <w:hyperlink r:id="rId3" w:history="1">
        <w:r w:rsidRPr="00995285">
          <w:rPr>
            <w:rStyle w:val="Hyperlink"/>
          </w:rPr>
          <w:t>https://www.dss.gov.au/sites/default/files/documents/05_2012/sihip_review.pdf</w:t>
        </w:r>
      </w:hyperlink>
      <w:r w:rsidRPr="00995285">
        <w:rPr>
          <w:color w:val="auto"/>
        </w:rPr>
        <w:t xml:space="preserve"> </w:t>
      </w:r>
    </w:p>
  </w:footnote>
  <w:footnote w:id="7">
    <w:p w:rsidR="009C713A" w:rsidRPr="00995285" w:rsidRDefault="009C713A">
      <w:pPr>
        <w:pStyle w:val="FootnoteText"/>
        <w:rPr>
          <w:color w:val="auto"/>
        </w:rPr>
      </w:pPr>
      <w:r w:rsidRPr="00995285">
        <w:rPr>
          <w:rStyle w:val="FootnoteReference"/>
          <w:color w:val="auto"/>
        </w:rPr>
        <w:footnoteRef/>
      </w:r>
      <w:r w:rsidRPr="00995285">
        <w:rPr>
          <w:color w:val="auto"/>
        </w:rPr>
        <w:t xml:space="preserve"> Australian National Audit Office (2011) Implementation of the National Partnership Agreement on Remote Indigenous Housing in the Northern Territory,  page 22</w:t>
      </w:r>
    </w:p>
  </w:footnote>
  <w:footnote w:id="8">
    <w:p w:rsidR="009C713A" w:rsidRPr="00995285" w:rsidRDefault="009C713A" w:rsidP="00B02D35">
      <w:pPr>
        <w:pStyle w:val="FootnoteText"/>
        <w:rPr>
          <w:color w:val="auto"/>
        </w:rPr>
      </w:pPr>
      <w:r w:rsidRPr="00995285">
        <w:rPr>
          <w:rStyle w:val="FootnoteReference"/>
          <w:color w:val="auto"/>
        </w:rPr>
        <w:footnoteRef/>
      </w:r>
      <w:r w:rsidRPr="00995285">
        <w:rPr>
          <w:color w:val="auto"/>
        </w:rPr>
        <w:t xml:space="preserve"> Di Hawgood, </w:t>
      </w:r>
      <w:r w:rsidRPr="00995285">
        <w:rPr>
          <w:i/>
          <w:color w:val="auto"/>
        </w:rPr>
        <w:t>National Partnership Agreement on Remote Indigenous Housing, Review of Progress (2008-2013)</w:t>
      </w:r>
    </w:p>
  </w:footnote>
  <w:footnote w:id="9">
    <w:p w:rsidR="009C713A" w:rsidRPr="00B02026" w:rsidRDefault="009C713A" w:rsidP="00162DDD">
      <w:pPr>
        <w:pStyle w:val="FootnoteText"/>
        <w:rPr>
          <w:color w:val="auto"/>
        </w:rPr>
      </w:pPr>
      <w:r w:rsidRPr="00B02026">
        <w:rPr>
          <w:rStyle w:val="FootnoteReference"/>
          <w:color w:val="auto"/>
        </w:rPr>
        <w:footnoteRef/>
      </w:r>
      <w:r w:rsidRPr="00B02026">
        <w:rPr>
          <w:color w:val="auto"/>
        </w:rPr>
        <w:t xml:space="preserve"> Department of Prime Minister and Cabinet, Closing the Gap: Prime Minister’s Report 2017, </w:t>
      </w:r>
      <w:hyperlink r:id="rId4" w:history="1">
        <w:r w:rsidRPr="00B02026">
          <w:rPr>
            <w:color w:val="auto"/>
          </w:rPr>
          <w:t>http://closingthegap.pmc.gov.au/sites/default/files/ctg-report-2017.pdf</w:t>
        </w:r>
      </w:hyperlink>
      <w:r w:rsidRPr="00B02026">
        <w:rPr>
          <w:color w:val="auto"/>
        </w:rPr>
        <w:t xml:space="preserve"> </w:t>
      </w:r>
    </w:p>
  </w:footnote>
  <w:footnote w:id="10">
    <w:p w:rsidR="009C713A" w:rsidRPr="00B02026" w:rsidRDefault="009C713A" w:rsidP="00162DDD">
      <w:pPr>
        <w:pStyle w:val="FootnoteText"/>
        <w:rPr>
          <w:color w:val="auto"/>
        </w:rPr>
      </w:pPr>
      <w:r w:rsidRPr="00B02026">
        <w:rPr>
          <w:color w:val="auto"/>
        </w:rPr>
        <w:footnoteRef/>
      </w:r>
      <w:r w:rsidRPr="00B02026">
        <w:rPr>
          <w:color w:val="auto"/>
        </w:rPr>
        <w:t xml:space="preserve"> Australian Housing and Urban Research Institute (2017) Research Synthesis of social and economic outcomes of good housing for Aboriginal and Torres Strait Islander People, Dr N Brackertz &amp; A Wilkinson</w:t>
      </w:r>
    </w:p>
  </w:footnote>
  <w:footnote w:id="11">
    <w:p w:rsidR="009C713A" w:rsidRPr="00995285" w:rsidRDefault="009C713A" w:rsidP="00237C7E">
      <w:pPr>
        <w:pStyle w:val="FootnoteText"/>
        <w:rPr>
          <w:color w:val="auto"/>
        </w:rPr>
      </w:pPr>
      <w:r w:rsidRPr="00995285">
        <w:rPr>
          <w:rStyle w:val="FootnoteReference"/>
          <w:color w:val="auto"/>
        </w:rPr>
        <w:footnoteRef/>
      </w:r>
      <w:r w:rsidRPr="00995285">
        <w:rPr>
          <w:color w:val="auto"/>
        </w:rPr>
        <w:t xml:space="preserve"> Foster, G., Gronda, H., Mallet, S. and Bentley, R. (2011) </w:t>
      </w:r>
      <w:r w:rsidRPr="00995285">
        <w:rPr>
          <w:i/>
          <w:color w:val="auto"/>
        </w:rPr>
        <w:t>Precarious housing and health: Research Synthesis</w:t>
      </w:r>
      <w:r w:rsidRPr="00995285">
        <w:rPr>
          <w:color w:val="auto"/>
        </w:rPr>
        <w:t>, Australian Housing and Urban Research Institute, Hanover Welfare Services, University of Melbourne, University of Adelaide, Melbourne Citymission, Australia</w:t>
      </w:r>
    </w:p>
  </w:footnote>
  <w:footnote w:id="12">
    <w:p w:rsidR="009C713A" w:rsidRPr="00B02026" w:rsidRDefault="009C713A" w:rsidP="00162DDD">
      <w:pPr>
        <w:pStyle w:val="FootnoteText"/>
        <w:rPr>
          <w:color w:val="auto"/>
        </w:rPr>
      </w:pPr>
      <w:r w:rsidRPr="00B02026">
        <w:rPr>
          <w:color w:val="auto"/>
        </w:rPr>
        <w:footnoteRef/>
      </w:r>
      <w:r w:rsidRPr="00B02026">
        <w:rPr>
          <w:color w:val="auto"/>
        </w:rPr>
        <w:t xml:space="preserve"> Shire of Halls Creek (2016) Response to the Remote Housing Review</w:t>
      </w:r>
    </w:p>
  </w:footnote>
  <w:footnote w:id="13">
    <w:p w:rsidR="009C713A" w:rsidRPr="00B02026" w:rsidRDefault="009C713A" w:rsidP="00162DDD">
      <w:pPr>
        <w:pStyle w:val="FootnoteText"/>
        <w:rPr>
          <w:color w:val="auto"/>
        </w:rPr>
      </w:pPr>
      <w:r w:rsidRPr="00B02026">
        <w:rPr>
          <w:color w:val="auto"/>
        </w:rPr>
        <w:footnoteRef/>
      </w:r>
      <w:r w:rsidRPr="00B02026">
        <w:rPr>
          <w:color w:val="auto"/>
        </w:rPr>
        <w:t xml:space="preserve"> Barry, C., Konstantinos, A. and the National Tuberculosis Advisory Committee (2009) Tuberculosis Notifications in Australia 2007, Department of Health and Ageing, Canberra, </w:t>
      </w:r>
      <w:hyperlink r:id="rId5" w:history="1">
        <w:r w:rsidRPr="00B02026">
          <w:rPr>
            <w:color w:val="auto"/>
          </w:rPr>
          <w:t>http://www.health.gov.au/internet/main/publishing.nsf/Content/cda-cdi3303-pdf-cnt.htm/$FILE/cdi3303f.pdf</w:t>
        </w:r>
      </w:hyperlink>
      <w:r w:rsidRPr="00B02026">
        <w:rPr>
          <w:color w:val="auto"/>
        </w:rPr>
        <w:t xml:space="preserve"> </w:t>
      </w:r>
    </w:p>
  </w:footnote>
  <w:footnote w:id="14">
    <w:p w:rsidR="009C713A" w:rsidRPr="00995285" w:rsidRDefault="009C713A" w:rsidP="00237C7E">
      <w:pPr>
        <w:pStyle w:val="CommentText"/>
        <w:spacing w:after="0"/>
      </w:pPr>
      <w:r w:rsidRPr="00995285">
        <w:rPr>
          <w:rStyle w:val="FootnoteReference"/>
          <w:color w:val="auto"/>
        </w:rPr>
        <w:footnoteRef/>
      </w:r>
      <w:r w:rsidRPr="00995285">
        <w:t xml:space="preserve"> </w:t>
      </w:r>
      <w:r w:rsidRPr="00995285">
        <w:rPr>
          <w:sz w:val="16"/>
        </w:rPr>
        <w:t xml:space="preserve">Roche, P. </w:t>
      </w:r>
      <w:r w:rsidRPr="00995285">
        <w:rPr>
          <w:i/>
          <w:sz w:val="16"/>
        </w:rPr>
        <w:t xml:space="preserve">et al </w:t>
      </w:r>
      <w:r w:rsidRPr="00995285">
        <w:rPr>
          <w:sz w:val="16"/>
        </w:rPr>
        <w:t xml:space="preserve">(2008) </w:t>
      </w:r>
      <w:r w:rsidRPr="00995285">
        <w:rPr>
          <w:i/>
          <w:sz w:val="16"/>
        </w:rPr>
        <w:t>Tuberculosis Notifications in Australia 2006</w:t>
      </w:r>
      <w:r w:rsidRPr="00995285">
        <w:rPr>
          <w:sz w:val="16"/>
        </w:rPr>
        <w:t xml:space="preserve">, Department of Health and Ageing, Canberra, </w:t>
      </w:r>
      <w:hyperlink r:id="rId6" w:history="1">
        <w:r w:rsidRPr="00995285">
          <w:rPr>
            <w:rStyle w:val="Hyperlink"/>
            <w:sz w:val="16"/>
          </w:rPr>
          <w:t>http://www.health.gov.au/internet/main/publishing.nsf/content/cda-cdi3201a.htm</w:t>
        </w:r>
      </w:hyperlink>
    </w:p>
  </w:footnote>
  <w:footnote w:id="15">
    <w:p w:rsidR="009C713A" w:rsidRPr="00995285" w:rsidRDefault="009C713A" w:rsidP="00237C7E">
      <w:pPr>
        <w:pStyle w:val="FootnoteText"/>
        <w:rPr>
          <w:color w:val="auto"/>
        </w:rPr>
      </w:pPr>
      <w:r w:rsidRPr="00995285">
        <w:rPr>
          <w:rStyle w:val="FootnoteReference"/>
          <w:color w:val="auto"/>
        </w:rPr>
        <w:footnoteRef/>
      </w:r>
      <w:r w:rsidRPr="00995285">
        <w:rPr>
          <w:color w:val="auto"/>
        </w:rPr>
        <w:t xml:space="preserve"> Productivity Commission for the Steering Committee for the Review of Government Service Provision (2016) </w:t>
      </w:r>
      <w:r w:rsidRPr="00995285">
        <w:rPr>
          <w:i/>
          <w:color w:val="auto"/>
        </w:rPr>
        <w:t>Overcoming Indigenous Disadvantage 2016</w:t>
      </w:r>
      <w:r w:rsidRPr="00995285">
        <w:rPr>
          <w:color w:val="auto"/>
        </w:rPr>
        <w:t xml:space="preserve">, Commonwealth of Australia, Canberra, </w:t>
      </w:r>
      <w:hyperlink r:id="rId7" w:history="1">
        <w:r w:rsidRPr="00995285">
          <w:rPr>
            <w:rStyle w:val="Hyperlink"/>
            <w:iCs/>
          </w:rPr>
          <w:t>http://www.pc.gov.au/research/ongoing/overcoming-indigenous-disadvantage/2016/report-documents/oid-2016-overcoming-indigenous-disadvantage-key-indicators-2016-report.pdf</w:t>
        </w:r>
      </w:hyperlink>
    </w:p>
  </w:footnote>
  <w:footnote w:id="16">
    <w:p w:rsidR="009C713A" w:rsidRPr="00995285" w:rsidRDefault="009C713A" w:rsidP="00DD7426">
      <w:pPr>
        <w:pStyle w:val="FootnoteText"/>
        <w:rPr>
          <w:color w:val="auto"/>
        </w:rPr>
      </w:pPr>
      <w:r w:rsidRPr="00995285">
        <w:rPr>
          <w:rStyle w:val="FootnoteReference"/>
          <w:color w:val="auto"/>
        </w:rPr>
        <w:footnoteRef/>
      </w:r>
      <w:r w:rsidRPr="00995285">
        <w:rPr>
          <w:color w:val="auto"/>
        </w:rPr>
        <w:t xml:space="preserve"> Healthabitat Pty Ltd (Healthabitat) focusses on improving the health of Aboriginal and Torres Strait Islander people in Australia by improving their livin</w:t>
      </w:r>
      <w:r>
        <w:rPr>
          <w:color w:val="auto"/>
        </w:rPr>
        <w:t>g conditions</w:t>
      </w:r>
    </w:p>
  </w:footnote>
  <w:footnote w:id="17">
    <w:p w:rsidR="009C713A" w:rsidRPr="00995285" w:rsidRDefault="009C713A" w:rsidP="00DD7426">
      <w:pPr>
        <w:pStyle w:val="FootnoteText"/>
        <w:keepLines/>
        <w:rPr>
          <w:color w:val="auto"/>
        </w:rPr>
      </w:pPr>
      <w:r w:rsidRPr="00995285">
        <w:rPr>
          <w:rStyle w:val="FootnoteReference"/>
          <w:color w:val="auto"/>
        </w:rPr>
        <w:footnoteRef/>
      </w:r>
      <w:r w:rsidRPr="00995285">
        <w:rPr>
          <w:color w:val="auto"/>
        </w:rPr>
        <w:t xml:space="preserve"> </w:t>
      </w:r>
      <w:r w:rsidRPr="00995285">
        <w:rPr>
          <w:i/>
          <w:color w:val="auto"/>
        </w:rPr>
        <w:t>Living in a sunburnt Country – Indigenous Housing: Findings of the Review of the Community Housing and Infrastructure Program</w:t>
      </w:r>
      <w:r w:rsidRPr="00995285">
        <w:rPr>
          <w:color w:val="auto"/>
        </w:rPr>
        <w:t>, 2012, p41. Available: 27/2/2017 at https://www.dss.gov.au/sites/default/files/documents/05_2012/livingsunburntcountry.pdf</w:t>
      </w:r>
    </w:p>
  </w:footnote>
  <w:footnote w:id="18">
    <w:p w:rsidR="009C713A" w:rsidRPr="00995285" w:rsidRDefault="009C713A" w:rsidP="00DD7426">
      <w:pPr>
        <w:pStyle w:val="FootnoteText"/>
        <w:rPr>
          <w:color w:val="auto"/>
        </w:rPr>
      </w:pPr>
      <w:r w:rsidRPr="00995285">
        <w:rPr>
          <w:rStyle w:val="FootnoteReference"/>
          <w:color w:val="auto"/>
        </w:rPr>
        <w:footnoteRef/>
      </w:r>
      <w:r w:rsidRPr="00995285">
        <w:rPr>
          <w:color w:val="auto"/>
        </w:rPr>
        <w:t xml:space="preserve"> </w:t>
      </w:r>
      <w:hyperlink r:id="rId8" w:history="1">
        <w:r w:rsidRPr="00995285">
          <w:rPr>
            <w:rStyle w:val="Hyperlink"/>
          </w:rPr>
          <w:t>http://www.healthabitat.com/what-we-do/what-the-housing-data-reveals/how-the-houses-perform</w:t>
        </w:r>
      </w:hyperlink>
      <w:r w:rsidRPr="00995285">
        <w:rPr>
          <w:color w:val="auto"/>
        </w:rPr>
        <w:t>, accessed 28/2/2017</w:t>
      </w:r>
    </w:p>
  </w:footnote>
  <w:footnote w:id="19">
    <w:p w:rsidR="009C713A" w:rsidRPr="00995285" w:rsidRDefault="009C713A" w:rsidP="00DD7426">
      <w:pPr>
        <w:spacing w:after="120"/>
        <w:rPr>
          <w:rFonts w:cstheme="minorHAnsi"/>
        </w:rPr>
      </w:pPr>
      <w:r w:rsidRPr="00995285">
        <w:rPr>
          <w:rStyle w:val="FootnoteReference"/>
          <w:rFonts w:cstheme="minorHAnsi"/>
          <w:color w:val="auto"/>
        </w:rPr>
        <w:footnoteRef/>
      </w:r>
      <w:r w:rsidRPr="00995285">
        <w:rPr>
          <w:rFonts w:cstheme="minorHAnsi"/>
        </w:rPr>
        <w:t xml:space="preserve"> </w:t>
      </w:r>
      <w:r w:rsidRPr="008D1086">
        <w:rPr>
          <w:rFonts w:cstheme="minorHAnsi"/>
          <w:i/>
          <w:sz w:val="16"/>
          <w:szCs w:val="16"/>
        </w:rPr>
        <w:t>Closing the Gap: 10 years of Housing for Health in NSW</w:t>
      </w:r>
      <w:r w:rsidRPr="008D1086">
        <w:rPr>
          <w:rFonts w:cstheme="minorHAnsi"/>
          <w:sz w:val="16"/>
          <w:szCs w:val="16"/>
        </w:rPr>
        <w:t>, 2010, NSW Department of Health, p6. Available: 27/2/2017 at http://www.health.nsw.gov.au/environment/aboriginal/Pages/housing-health.aspx</w:t>
      </w:r>
    </w:p>
  </w:footnote>
  <w:footnote w:id="20">
    <w:p w:rsidR="009C713A" w:rsidRPr="00995285" w:rsidRDefault="009C713A" w:rsidP="00237C7E">
      <w:pPr>
        <w:pStyle w:val="FootnoteText"/>
        <w:rPr>
          <w:color w:val="auto"/>
        </w:rPr>
      </w:pPr>
      <w:r w:rsidRPr="00995285">
        <w:rPr>
          <w:rStyle w:val="FootnoteReference"/>
          <w:color w:val="auto"/>
        </w:rPr>
        <w:footnoteRef/>
      </w:r>
      <w:r w:rsidRPr="00995285">
        <w:rPr>
          <w:color w:val="auto"/>
        </w:rPr>
        <w:t xml:space="preserve"> Gordon, S. </w:t>
      </w:r>
      <w:r w:rsidRPr="00995285">
        <w:rPr>
          <w:i/>
          <w:color w:val="auto"/>
        </w:rPr>
        <w:t xml:space="preserve">et al </w:t>
      </w:r>
      <w:r w:rsidRPr="00995285">
        <w:rPr>
          <w:color w:val="auto"/>
        </w:rPr>
        <w:t xml:space="preserve">(2002) </w:t>
      </w:r>
      <w:r w:rsidRPr="00995285">
        <w:rPr>
          <w:i/>
          <w:color w:val="auto"/>
        </w:rPr>
        <w:t>Putting the picture together: Inquiry into Response by Government Agencies to Complaints of Family Violence and Child Abuse in Aboriginal Communities,</w:t>
      </w:r>
      <w:r w:rsidRPr="00995285">
        <w:rPr>
          <w:color w:val="auto"/>
        </w:rPr>
        <w:t xml:space="preserve"> Department of Prem</w:t>
      </w:r>
      <w:r>
        <w:rPr>
          <w:color w:val="auto"/>
        </w:rPr>
        <w:t>ier &amp; Cabinet Western Australia</w:t>
      </w:r>
    </w:p>
  </w:footnote>
  <w:footnote w:id="21">
    <w:p w:rsidR="009C713A" w:rsidRPr="00995285" w:rsidRDefault="009C713A" w:rsidP="00915549">
      <w:pPr>
        <w:pStyle w:val="FootnoteText"/>
        <w:rPr>
          <w:color w:val="auto"/>
        </w:rPr>
      </w:pPr>
      <w:r w:rsidRPr="00995285">
        <w:rPr>
          <w:rStyle w:val="FootnoteReference"/>
          <w:color w:val="auto"/>
        </w:rPr>
        <w:footnoteRef/>
      </w:r>
      <w:r w:rsidRPr="00995285">
        <w:rPr>
          <w:color w:val="auto"/>
        </w:rPr>
        <w:t xml:space="preserve"> Australian Institute of Health and Welfare (2014) </w:t>
      </w:r>
      <w:r w:rsidRPr="00995285">
        <w:rPr>
          <w:i/>
          <w:color w:val="auto"/>
        </w:rPr>
        <w:t>Housing outcomes for groups vulnerable to</w:t>
      </w:r>
      <w:r>
        <w:rPr>
          <w:i/>
          <w:color w:val="auto"/>
        </w:rPr>
        <w:t xml:space="preserve"> </w:t>
      </w:r>
      <w:r w:rsidRPr="00995285">
        <w:rPr>
          <w:i/>
          <w:color w:val="auto"/>
        </w:rPr>
        <w:t>Homelessness</w:t>
      </w:r>
      <w:r w:rsidRPr="00995285">
        <w:rPr>
          <w:color w:val="auto"/>
        </w:rPr>
        <w:t>, cat. no. HOU 274, Canberra, AIHW,</w:t>
      </w:r>
      <w:r w:rsidRPr="00995285">
        <w:rPr>
          <w:i/>
          <w:color w:val="auto"/>
        </w:rPr>
        <w:t xml:space="preserve"> </w:t>
      </w:r>
      <w:hyperlink r:id="rId9" w:history="1">
        <w:r w:rsidRPr="00995285">
          <w:rPr>
            <w:rStyle w:val="Hyperlink"/>
          </w:rPr>
          <w:t>http://www.aihw.gov.au/WorkArea/DownloadAsset.aspx?id=60129548949</w:t>
        </w:r>
      </w:hyperlink>
      <w:r w:rsidRPr="00995285">
        <w:rPr>
          <w:color w:val="auto"/>
        </w:rPr>
        <w:t xml:space="preserve"> </w:t>
      </w:r>
    </w:p>
  </w:footnote>
  <w:footnote w:id="22">
    <w:p w:rsidR="009C713A" w:rsidRPr="00995285" w:rsidRDefault="009C713A" w:rsidP="00237C7E">
      <w:pPr>
        <w:pStyle w:val="FootnoteText"/>
        <w:rPr>
          <w:color w:val="auto"/>
        </w:rPr>
      </w:pPr>
      <w:r w:rsidRPr="00995285">
        <w:rPr>
          <w:rStyle w:val="FootnoteReference"/>
          <w:color w:val="auto"/>
        </w:rPr>
        <w:footnoteRef/>
      </w:r>
      <w:r w:rsidRPr="00995285">
        <w:rPr>
          <w:color w:val="auto"/>
        </w:rPr>
        <w:t xml:space="preserve"> Hughes, C. (2006) </w:t>
      </w:r>
      <w:r w:rsidRPr="00995285">
        <w:rPr>
          <w:i/>
          <w:color w:val="auto"/>
        </w:rPr>
        <w:t>Public Housing and Employment Research and Policy Bulletin</w:t>
      </w:r>
      <w:r w:rsidRPr="00995285">
        <w:rPr>
          <w:color w:val="auto"/>
        </w:rPr>
        <w:t xml:space="preserve">, Australian Housing and Urban Research Institute, </w:t>
      </w:r>
      <w:hyperlink r:id="rId10" w:history="1">
        <w:r w:rsidRPr="00995285">
          <w:rPr>
            <w:rStyle w:val="Hyperlink"/>
          </w:rPr>
          <w:t>https://www.ahuri.edu.au/__data/assets/pdf_file/0010/3016/AHURI_RAP_Issue_77_Public_housing_and_employment.pdf</w:t>
        </w:r>
      </w:hyperlink>
      <w:r w:rsidRPr="00995285">
        <w:rPr>
          <w:color w:val="auto"/>
        </w:rPr>
        <w:t xml:space="preserve"> </w:t>
      </w:r>
    </w:p>
  </w:footnote>
  <w:footnote w:id="23">
    <w:p w:rsidR="009C713A" w:rsidRPr="00995285" w:rsidRDefault="009C713A" w:rsidP="00915549">
      <w:pPr>
        <w:pStyle w:val="FootnoteText"/>
        <w:rPr>
          <w:color w:val="auto"/>
        </w:rPr>
      </w:pPr>
      <w:r w:rsidRPr="00995285">
        <w:rPr>
          <w:rStyle w:val="FootnoteReference"/>
          <w:color w:val="auto"/>
        </w:rPr>
        <w:footnoteRef/>
      </w:r>
      <w:r w:rsidRPr="00995285">
        <w:rPr>
          <w:color w:val="auto"/>
        </w:rPr>
        <w:t xml:space="preserve"> Stanley, Janet </w:t>
      </w:r>
      <w:r w:rsidRPr="00995285">
        <w:rPr>
          <w:i/>
          <w:color w:val="auto"/>
        </w:rPr>
        <w:t>et al</w:t>
      </w:r>
      <w:r w:rsidRPr="00995285">
        <w:rPr>
          <w:color w:val="auto"/>
        </w:rPr>
        <w:t xml:space="preserve"> (2003) </w:t>
      </w:r>
      <w:r w:rsidRPr="00995285">
        <w:rPr>
          <w:i/>
          <w:color w:val="auto"/>
        </w:rPr>
        <w:t>Child Abuse and Neglect in Indigenous Australian Communities</w:t>
      </w:r>
      <w:r w:rsidRPr="00995285">
        <w:rPr>
          <w:color w:val="auto"/>
        </w:rPr>
        <w:t>, Australian Institute of Family Studies,</w:t>
      </w:r>
      <w:r>
        <w:rPr>
          <w:color w:val="auto"/>
        </w:rPr>
        <w:t xml:space="preserve"> </w:t>
      </w:r>
      <w:hyperlink r:id="rId11" w:history="1">
        <w:r w:rsidRPr="00995285">
          <w:rPr>
            <w:rStyle w:val="Hyperlink"/>
          </w:rPr>
          <w:t>https://aifs.gov.au/cfca/publications/child-abuse-and-neglect-indigenous-australian-communities</w:t>
        </w:r>
      </w:hyperlink>
      <w:r w:rsidRPr="00995285">
        <w:rPr>
          <w:color w:val="auto"/>
        </w:rPr>
        <w:t xml:space="preserve"> </w:t>
      </w:r>
    </w:p>
  </w:footnote>
  <w:footnote w:id="24">
    <w:p w:rsidR="009C713A" w:rsidRPr="00995285" w:rsidRDefault="009C713A" w:rsidP="00915549">
      <w:pPr>
        <w:pStyle w:val="EndNoteBibliography"/>
        <w:spacing w:after="0"/>
        <w:rPr>
          <w:rFonts w:asciiTheme="minorHAnsi" w:hAnsiTheme="minorHAnsi"/>
          <w:i/>
          <w:color w:val="auto"/>
          <w:sz w:val="16"/>
        </w:rPr>
      </w:pPr>
      <w:r w:rsidRPr="00995285">
        <w:rPr>
          <w:rStyle w:val="FootnoteReference"/>
          <w:rFonts w:asciiTheme="minorHAnsi" w:hAnsiTheme="minorHAnsi"/>
          <w:color w:val="auto"/>
        </w:rPr>
        <w:footnoteRef/>
      </w:r>
      <w:r w:rsidRPr="00995285">
        <w:rPr>
          <w:rFonts w:asciiTheme="minorHAnsi" w:hAnsiTheme="minorHAnsi"/>
          <w:color w:val="auto"/>
        </w:rPr>
        <w:t xml:space="preserve"> </w:t>
      </w:r>
      <w:r w:rsidRPr="00995285">
        <w:rPr>
          <w:rFonts w:asciiTheme="minorHAnsi" w:eastAsiaTheme="minorHAnsi" w:hAnsiTheme="minorHAnsi"/>
          <w:color w:val="auto"/>
          <w:sz w:val="16"/>
          <w:lang w:eastAsia="en-US"/>
        </w:rPr>
        <w:t xml:space="preserve">Australian Institute of Health and Welfare (2010) </w:t>
      </w:r>
      <w:r w:rsidRPr="00995285">
        <w:rPr>
          <w:rFonts w:asciiTheme="minorHAnsi" w:eastAsiaTheme="minorHAnsi" w:hAnsiTheme="minorHAnsi"/>
          <w:i/>
          <w:color w:val="auto"/>
          <w:sz w:val="16"/>
          <w:lang w:eastAsia="en-US"/>
        </w:rPr>
        <w:t>Shelter: development of a Children’s Headline</w:t>
      </w:r>
    </w:p>
    <w:p w:rsidR="009C713A" w:rsidRPr="00995285" w:rsidRDefault="009C713A" w:rsidP="00915549">
      <w:pPr>
        <w:pStyle w:val="EndNoteBibliography"/>
        <w:spacing w:after="0"/>
        <w:rPr>
          <w:rFonts w:asciiTheme="minorHAnsi" w:hAnsiTheme="minorHAnsi"/>
          <w:color w:val="auto"/>
        </w:rPr>
      </w:pPr>
      <w:r w:rsidRPr="00995285">
        <w:rPr>
          <w:rFonts w:asciiTheme="minorHAnsi" w:eastAsiaTheme="minorHAnsi" w:hAnsiTheme="minorHAnsi"/>
          <w:i/>
          <w:color w:val="auto"/>
          <w:sz w:val="16"/>
          <w:lang w:eastAsia="en-US"/>
        </w:rPr>
        <w:t>Indicator</w:t>
      </w:r>
      <w:r w:rsidRPr="00995285">
        <w:rPr>
          <w:rFonts w:asciiTheme="minorHAnsi" w:eastAsiaTheme="minorHAnsi" w:hAnsiTheme="minorHAnsi"/>
          <w:color w:val="auto"/>
          <w:sz w:val="16"/>
          <w:lang w:eastAsia="en-US"/>
        </w:rPr>
        <w:t>, AIHW, Canberra,</w:t>
      </w:r>
      <w:r w:rsidRPr="00995285">
        <w:rPr>
          <w:rFonts w:asciiTheme="minorHAnsi" w:hAnsiTheme="minorHAnsi"/>
          <w:color w:val="auto"/>
          <w:sz w:val="16"/>
        </w:rPr>
        <w:t xml:space="preserve"> </w:t>
      </w:r>
      <w:hyperlink r:id="rId12" w:history="1">
        <w:r w:rsidRPr="00995285">
          <w:rPr>
            <w:rStyle w:val="Hyperlink"/>
            <w:rFonts w:asciiTheme="minorHAnsi" w:hAnsiTheme="minorHAnsi"/>
            <w:sz w:val="16"/>
          </w:rPr>
          <w:t>http://www.aihw.gov.au/WorkArea/DownloadAsset.aspx?id=6442472740</w:t>
        </w:r>
      </w:hyperlink>
      <w:r w:rsidRPr="00995285">
        <w:rPr>
          <w:rFonts w:asciiTheme="minorHAnsi" w:hAnsiTheme="minorHAnsi"/>
          <w:color w:val="auto"/>
          <w:sz w:val="20"/>
        </w:rPr>
        <w:t xml:space="preserve"> </w:t>
      </w:r>
    </w:p>
  </w:footnote>
  <w:footnote w:id="25">
    <w:p w:rsidR="009C713A" w:rsidRPr="00995285" w:rsidRDefault="009C713A" w:rsidP="00915549">
      <w:pPr>
        <w:pStyle w:val="EndNoteBibliography"/>
        <w:spacing w:after="0"/>
        <w:rPr>
          <w:rFonts w:asciiTheme="minorHAnsi" w:hAnsiTheme="minorHAnsi"/>
          <w:color w:val="auto"/>
        </w:rPr>
      </w:pPr>
      <w:r w:rsidRPr="00995285">
        <w:rPr>
          <w:rStyle w:val="FootnoteReference"/>
          <w:rFonts w:asciiTheme="minorHAnsi" w:hAnsiTheme="minorHAnsi"/>
          <w:color w:val="auto"/>
        </w:rPr>
        <w:footnoteRef/>
      </w:r>
      <w:r w:rsidRPr="00995285">
        <w:rPr>
          <w:rFonts w:asciiTheme="minorHAnsi" w:hAnsiTheme="minorHAnsi"/>
          <w:color w:val="auto"/>
        </w:rPr>
        <w:t xml:space="preserve"> </w:t>
      </w:r>
      <w:r w:rsidRPr="00995285">
        <w:rPr>
          <w:rFonts w:asciiTheme="minorHAnsi" w:eastAsiaTheme="minorHAnsi" w:hAnsiTheme="minorHAnsi"/>
          <w:color w:val="auto"/>
          <w:sz w:val="16"/>
          <w:lang w:eastAsia="en-US"/>
        </w:rPr>
        <w:t xml:space="preserve">Biddle, N. (2010) </w:t>
      </w:r>
      <w:r w:rsidRPr="00995285">
        <w:rPr>
          <w:rFonts w:asciiTheme="minorHAnsi" w:hAnsiTheme="minorHAnsi"/>
          <w:i/>
          <w:color w:val="auto"/>
          <w:sz w:val="16"/>
        </w:rPr>
        <w:t>A human capital approach to the educational marginalisation of Indigenous Australians</w:t>
      </w:r>
      <w:r w:rsidRPr="00995285">
        <w:rPr>
          <w:rFonts w:asciiTheme="minorHAnsi" w:eastAsiaTheme="minorHAnsi" w:hAnsiTheme="minorHAnsi"/>
          <w:color w:val="auto"/>
          <w:sz w:val="16"/>
          <w:lang w:eastAsia="en-US"/>
        </w:rPr>
        <w:t xml:space="preserve">, Research working paper no. 67, Centre for Aboriginal Economic Policy, The Australian National University, Canberra, </w:t>
      </w:r>
      <w:hyperlink r:id="rId13" w:history="1">
        <w:r w:rsidRPr="00995285">
          <w:rPr>
            <w:rStyle w:val="Hyperlink"/>
            <w:rFonts w:asciiTheme="minorHAnsi" w:eastAsiaTheme="minorHAnsi" w:hAnsiTheme="minorHAnsi"/>
            <w:sz w:val="16"/>
            <w:lang w:eastAsia="en-US"/>
          </w:rPr>
          <w:t>http://caepr.anu.edu.au/sites/default/files/Publications/WP/CAEPRWP67_0.pdf</w:t>
        </w:r>
      </w:hyperlink>
      <w:r w:rsidRPr="00995285">
        <w:rPr>
          <w:rFonts w:asciiTheme="minorHAnsi" w:eastAsiaTheme="minorHAnsi" w:hAnsiTheme="minorHAnsi" w:cstheme="minorBidi"/>
          <w:noProof w:val="0"/>
          <w:color w:val="auto"/>
          <w:sz w:val="20"/>
          <w:szCs w:val="20"/>
          <w:lang w:eastAsia="en-US"/>
        </w:rPr>
        <w:t xml:space="preserve"> </w:t>
      </w:r>
    </w:p>
  </w:footnote>
  <w:footnote w:id="26">
    <w:p w:rsidR="009C713A" w:rsidRPr="00995285" w:rsidRDefault="009C713A" w:rsidP="00915549">
      <w:pPr>
        <w:pStyle w:val="EndNoteBibliography"/>
        <w:spacing w:after="0"/>
        <w:rPr>
          <w:rFonts w:asciiTheme="minorHAnsi" w:eastAsiaTheme="minorHAnsi" w:hAnsiTheme="minorHAnsi"/>
          <w:i/>
          <w:color w:val="auto"/>
          <w:sz w:val="16"/>
          <w:lang w:eastAsia="en-US"/>
        </w:rPr>
      </w:pPr>
      <w:r w:rsidRPr="00995285">
        <w:rPr>
          <w:rStyle w:val="FootnoteReference"/>
          <w:rFonts w:asciiTheme="minorHAnsi" w:hAnsiTheme="minorHAnsi"/>
          <w:color w:val="auto"/>
        </w:rPr>
        <w:footnoteRef/>
      </w:r>
      <w:r w:rsidRPr="00995285">
        <w:rPr>
          <w:rFonts w:asciiTheme="minorHAnsi" w:hAnsiTheme="minorHAnsi"/>
          <w:color w:val="auto"/>
        </w:rPr>
        <w:t xml:space="preserve"> </w:t>
      </w:r>
      <w:r w:rsidRPr="00995285">
        <w:rPr>
          <w:rFonts w:asciiTheme="minorHAnsi" w:eastAsiaTheme="minorHAnsi" w:hAnsiTheme="minorHAnsi"/>
          <w:color w:val="auto"/>
          <w:sz w:val="16"/>
          <w:lang w:eastAsia="en-US"/>
        </w:rPr>
        <w:t xml:space="preserve">Australian Institute of Health and Welfare (2010) </w:t>
      </w:r>
      <w:r w:rsidRPr="00995285">
        <w:rPr>
          <w:rFonts w:asciiTheme="minorHAnsi" w:eastAsiaTheme="minorHAnsi" w:hAnsiTheme="minorHAnsi"/>
          <w:i/>
          <w:color w:val="auto"/>
          <w:sz w:val="16"/>
          <w:lang w:eastAsia="en-US"/>
        </w:rPr>
        <w:t>Shelter: development of a Children’s Headline</w:t>
      </w:r>
    </w:p>
    <w:p w:rsidR="009C713A" w:rsidRPr="00995285" w:rsidRDefault="009C713A" w:rsidP="00915549">
      <w:pPr>
        <w:pStyle w:val="EndNoteBibliography"/>
        <w:spacing w:after="0"/>
        <w:rPr>
          <w:rFonts w:asciiTheme="minorHAnsi" w:hAnsiTheme="minorHAnsi"/>
          <w:color w:val="auto"/>
        </w:rPr>
      </w:pPr>
      <w:r w:rsidRPr="00995285">
        <w:rPr>
          <w:rFonts w:asciiTheme="minorHAnsi" w:eastAsiaTheme="minorHAnsi" w:hAnsiTheme="minorHAnsi"/>
          <w:i/>
          <w:color w:val="auto"/>
          <w:sz w:val="16"/>
          <w:lang w:eastAsia="en-US"/>
        </w:rPr>
        <w:t>Indicator</w:t>
      </w:r>
      <w:r w:rsidRPr="00995285">
        <w:rPr>
          <w:rFonts w:asciiTheme="minorHAnsi" w:eastAsiaTheme="minorHAnsi" w:hAnsiTheme="minorHAnsi"/>
          <w:color w:val="auto"/>
          <w:sz w:val="16"/>
          <w:lang w:eastAsia="en-US"/>
        </w:rPr>
        <w:t>, AIHW, Canberra,</w:t>
      </w:r>
      <w:r w:rsidRPr="00995285">
        <w:rPr>
          <w:rFonts w:asciiTheme="minorHAnsi" w:hAnsiTheme="minorHAnsi"/>
          <w:color w:val="auto"/>
          <w:sz w:val="16"/>
        </w:rPr>
        <w:t xml:space="preserve"> </w:t>
      </w:r>
      <w:hyperlink r:id="rId14" w:history="1">
        <w:r w:rsidRPr="00995285">
          <w:rPr>
            <w:rStyle w:val="Hyperlink"/>
            <w:rFonts w:asciiTheme="minorHAnsi" w:hAnsiTheme="minorHAnsi"/>
            <w:sz w:val="16"/>
          </w:rPr>
          <w:t>http://www.aihw.gov.au/WorkArea/DownloadAsset.aspx?id=6442472740</w:t>
        </w:r>
      </w:hyperlink>
      <w:r w:rsidRPr="00995285">
        <w:rPr>
          <w:rFonts w:asciiTheme="minorHAnsi" w:hAnsiTheme="minorHAnsi"/>
          <w:color w:val="auto"/>
          <w:sz w:val="16"/>
        </w:rPr>
        <w:t xml:space="preserve"> </w:t>
      </w:r>
    </w:p>
  </w:footnote>
  <w:footnote w:id="27">
    <w:p w:rsidR="009C713A" w:rsidRPr="00995285" w:rsidRDefault="009C713A" w:rsidP="00915549">
      <w:pPr>
        <w:pStyle w:val="FootnoteText"/>
        <w:rPr>
          <w:color w:val="auto"/>
        </w:rPr>
      </w:pPr>
      <w:r w:rsidRPr="00995285">
        <w:rPr>
          <w:rStyle w:val="FootnoteReference"/>
          <w:color w:val="auto"/>
        </w:rPr>
        <w:footnoteRef/>
      </w:r>
      <w:r w:rsidRPr="00995285">
        <w:rPr>
          <w:color w:val="auto"/>
        </w:rPr>
        <w:t xml:space="preserve"> Australian Bureau of Statistics, </w:t>
      </w:r>
      <w:r w:rsidRPr="00995285">
        <w:rPr>
          <w:i/>
          <w:color w:val="auto"/>
        </w:rPr>
        <w:t>National Aboriginal and Torres Strait Islander Social Survey</w:t>
      </w:r>
      <w:r w:rsidRPr="00995285">
        <w:rPr>
          <w:color w:val="auto"/>
        </w:rPr>
        <w:t>, 2014-15</w:t>
      </w:r>
    </w:p>
  </w:footnote>
  <w:footnote w:id="28">
    <w:p w:rsidR="009C713A" w:rsidRPr="00995285" w:rsidRDefault="009C713A" w:rsidP="003F275F">
      <w:pPr>
        <w:pStyle w:val="FootnoteText"/>
        <w:rPr>
          <w:color w:val="auto"/>
          <w:sz w:val="20"/>
        </w:rPr>
      </w:pPr>
      <w:r w:rsidRPr="00995285">
        <w:rPr>
          <w:rStyle w:val="FootnoteReference"/>
          <w:color w:val="auto"/>
        </w:rPr>
        <w:footnoteRef/>
      </w:r>
      <w:r w:rsidRPr="00995285">
        <w:rPr>
          <w:color w:val="auto"/>
          <w:sz w:val="20"/>
        </w:rPr>
        <w:t xml:space="preserve"> </w:t>
      </w:r>
      <w:r w:rsidRPr="00995285">
        <w:rPr>
          <w:color w:val="auto"/>
        </w:rPr>
        <w:t>Australian Bureau of Statistics, 2014, ‘Aboriginal and Torres Strait Islander population may exceed 900,000 by 2026’ viewed 07/03/2017 at &lt;http://www.abs.gov.au/ausstats/abs@.nsf/Latestproducts/3238.0Media%20Release02001%20to%202026?opendocument&amp;tabname=Summary&amp;prodno=3238.0&amp;issue=2001%20to%202026&amp;num=&amp;view= &gt;</w:t>
      </w:r>
    </w:p>
  </w:footnote>
  <w:footnote w:id="29">
    <w:p w:rsidR="009C713A" w:rsidRPr="00995285" w:rsidRDefault="009C713A" w:rsidP="003F275F">
      <w:pPr>
        <w:autoSpaceDE w:val="0"/>
        <w:autoSpaceDN w:val="0"/>
        <w:spacing w:after="0"/>
        <w:rPr>
          <w:rFonts w:cstheme="minorHAnsi"/>
        </w:rPr>
      </w:pPr>
      <w:r w:rsidRPr="00995285">
        <w:rPr>
          <w:rStyle w:val="FootnoteReference"/>
          <w:color w:val="auto"/>
        </w:rPr>
        <w:footnoteRef/>
      </w:r>
      <w:r w:rsidRPr="00995285">
        <w:rPr>
          <w:sz w:val="20"/>
          <w:szCs w:val="20"/>
        </w:rPr>
        <w:t xml:space="preserve"> </w:t>
      </w:r>
      <w:r w:rsidRPr="00995285">
        <w:rPr>
          <w:sz w:val="16"/>
        </w:rPr>
        <w:t>Australian Bureau of Statistics, 2011, ‘</w:t>
      </w:r>
      <w:r w:rsidRPr="00995285">
        <w:rPr>
          <w:sz w:val="16"/>
          <w:lang w:val="en"/>
        </w:rPr>
        <w:t>3238.0.55.001 - Estimates of Aboriginal and Torres Strait Islander Australians, June 2011’, viewed 07/03/2017 at &lt;</w:t>
      </w:r>
      <w:r w:rsidRPr="00995285">
        <w:rPr>
          <w:sz w:val="16"/>
        </w:rPr>
        <w:t xml:space="preserve"> </w:t>
      </w:r>
      <w:r w:rsidRPr="00995285">
        <w:rPr>
          <w:sz w:val="16"/>
          <w:lang w:val="en"/>
        </w:rPr>
        <w:t>http://www.abs.gov.au/</w:t>
      </w:r>
      <w:r w:rsidRPr="00995285">
        <w:rPr>
          <w:sz w:val="16"/>
        </w:rPr>
        <w:t>ausstats/abs@.nsf/latestProducts/3238.0.55.001Media%20Release1June%202011&gt;</w:t>
      </w:r>
    </w:p>
  </w:footnote>
  <w:footnote w:id="30">
    <w:p w:rsidR="009C713A" w:rsidRPr="00995285" w:rsidRDefault="009C713A" w:rsidP="00E26CF7">
      <w:pPr>
        <w:pStyle w:val="FootnoteText"/>
        <w:rPr>
          <w:color w:val="auto"/>
        </w:rPr>
      </w:pPr>
      <w:r w:rsidRPr="00995285">
        <w:rPr>
          <w:rStyle w:val="FootnoteReference"/>
          <w:color w:val="auto"/>
        </w:rPr>
        <w:footnoteRef/>
      </w:r>
      <w:r w:rsidRPr="00995285">
        <w:rPr>
          <w:color w:val="auto"/>
        </w:rPr>
        <w:t xml:space="preserve"> These estimates are based on 2011 Census data; Australian Bureau of Statistics’ homelessness estimates; Aboriginal and Torres Strait Islander family composition data and population projections, crossed checked against the 2014-15 NATSIS, and Commonwealth and </w:t>
      </w:r>
      <w:r>
        <w:rPr>
          <w:color w:val="auto"/>
        </w:rPr>
        <w:t>jurisdiction</w:t>
      </w:r>
      <w:r w:rsidRPr="00995285">
        <w:rPr>
          <w:color w:val="auto"/>
        </w:rPr>
        <w:t xml:space="preserve"> administrative data. Remote housing need requires remodelling when th</w:t>
      </w:r>
      <w:r>
        <w:rPr>
          <w:color w:val="auto"/>
        </w:rPr>
        <w:t>e 2016 Census data is available</w:t>
      </w:r>
      <w:r w:rsidRPr="00995285">
        <w:rPr>
          <w:color w:val="auto"/>
        </w:rPr>
        <w:t xml:space="preserve"> </w:t>
      </w:r>
    </w:p>
  </w:footnote>
  <w:footnote w:id="31">
    <w:p w:rsidR="009C713A" w:rsidRPr="00995285" w:rsidRDefault="009C713A" w:rsidP="003F275F">
      <w:pPr>
        <w:pStyle w:val="FootnoteText"/>
        <w:rPr>
          <w:color w:val="auto"/>
        </w:rPr>
      </w:pPr>
      <w:r w:rsidRPr="00995285">
        <w:rPr>
          <w:rStyle w:val="FootnoteReference"/>
          <w:color w:val="auto"/>
        </w:rPr>
        <w:footnoteRef/>
      </w:r>
      <w:r w:rsidRPr="00995285">
        <w:rPr>
          <w:color w:val="auto"/>
        </w:rPr>
        <w:t xml:space="preserve"> </w:t>
      </w:r>
      <w:r w:rsidRPr="00E96060">
        <w:rPr>
          <w:color w:val="auto"/>
        </w:rPr>
        <w:t>Rider Levett Bucknall, Desk-top Review of NPARIH Capital Works 2015</w:t>
      </w:r>
    </w:p>
  </w:footnote>
  <w:footnote w:id="32">
    <w:p w:rsidR="009C713A" w:rsidRPr="00995285" w:rsidRDefault="009C713A" w:rsidP="003E1003">
      <w:pPr>
        <w:pStyle w:val="FootnoteText"/>
        <w:rPr>
          <w:color w:val="auto"/>
        </w:rPr>
      </w:pPr>
      <w:r w:rsidRPr="00995285">
        <w:rPr>
          <w:rStyle w:val="FootnoteReference"/>
          <w:color w:val="auto"/>
        </w:rPr>
        <w:footnoteRef/>
      </w:r>
      <w:r w:rsidRPr="00995285">
        <w:rPr>
          <w:color w:val="auto"/>
        </w:rPr>
        <w:t xml:space="preserve"> Paul Pholeros, Tess Lea, Stephan Rainow, Tim Sowerbutts &amp; Paul J. Torzillo (2013) Improving the state of health hardware in Australian Indigenous housing: building more houses is not the only answer, International Journal of Circumpolar Health, 72:1, 21181, DOI: 10.3402/ijch.v72i0.21181</w:t>
      </w:r>
    </w:p>
  </w:footnote>
  <w:footnote w:id="33">
    <w:p w:rsidR="009C713A" w:rsidRPr="00995285" w:rsidRDefault="009C713A" w:rsidP="003E1003">
      <w:pPr>
        <w:pStyle w:val="FootnoteText"/>
        <w:rPr>
          <w:color w:val="auto"/>
        </w:rPr>
      </w:pPr>
      <w:r w:rsidRPr="00995285">
        <w:rPr>
          <w:rStyle w:val="FootnoteReference"/>
          <w:color w:val="auto"/>
        </w:rPr>
        <w:footnoteRef/>
      </w:r>
      <w:r w:rsidRPr="00995285">
        <w:rPr>
          <w:color w:val="auto"/>
        </w:rPr>
        <w:t xml:space="preserve"> Habibis, D, et al, Reviewing changes to housing management in remote Indigenous communities, AHURI, 2016, </w:t>
      </w:r>
      <w:hyperlink r:id="rId15" w:history="1">
        <w:r w:rsidRPr="00995285">
          <w:rPr>
            <w:rStyle w:val="Hyperlink"/>
          </w:rPr>
          <w:t>http://www.ahuri.edu.au/research/final-reports/271</w:t>
        </w:r>
      </w:hyperlink>
      <w:r w:rsidRPr="00995285">
        <w:rPr>
          <w:color w:val="auto"/>
        </w:rPr>
        <w:t xml:space="preserve"> </w:t>
      </w:r>
    </w:p>
  </w:footnote>
  <w:footnote w:id="34">
    <w:p w:rsidR="009C713A" w:rsidRPr="00E3144E" w:rsidRDefault="009C713A" w:rsidP="00477552">
      <w:pPr>
        <w:pStyle w:val="FootnoteText"/>
        <w:rPr>
          <w:rStyle w:val="FootnoteReference"/>
          <w:color w:val="auto"/>
        </w:rPr>
      </w:pPr>
      <w:r w:rsidRPr="00995285">
        <w:rPr>
          <w:rStyle w:val="FootnoteReference"/>
          <w:color w:val="auto"/>
        </w:rPr>
        <w:footnoteRef/>
      </w:r>
      <w:r w:rsidRPr="00E3144E">
        <w:rPr>
          <w:rStyle w:val="FootnoteReference"/>
          <w:color w:val="auto"/>
        </w:rPr>
        <w:t xml:space="preserve"> Pholeros &amp; Phibbs, Constructing and maintaining houses, 2012, Closing the Gap Clearinghouse </w:t>
      </w:r>
      <w:hyperlink r:id="rId16" w:history="1">
        <w:r w:rsidRPr="00E3144E">
          <w:rPr>
            <w:rStyle w:val="FootnoteReference"/>
            <w:color w:val="auto"/>
          </w:rPr>
          <w:t>http://www.aihw.gov.au/uploadedFiles/ClosingTheGap/Content/Publications/2012/ctgc-rs13.pdf</w:t>
        </w:r>
      </w:hyperlink>
      <w:r w:rsidRPr="00E3144E">
        <w:rPr>
          <w:rStyle w:val="FootnoteReference"/>
          <w:color w:val="auto"/>
        </w:rPr>
        <w:t xml:space="preserve"> </w:t>
      </w:r>
    </w:p>
  </w:footnote>
  <w:footnote w:id="35">
    <w:p w:rsidR="009C713A" w:rsidRPr="00E3144E" w:rsidRDefault="009C713A" w:rsidP="00837053">
      <w:pPr>
        <w:pStyle w:val="FootnoteText"/>
        <w:rPr>
          <w:rStyle w:val="FootnoteReference"/>
          <w:color w:val="auto"/>
        </w:rPr>
      </w:pPr>
      <w:r>
        <w:rPr>
          <w:rStyle w:val="FootnoteReference"/>
        </w:rPr>
        <w:footnoteRef/>
      </w:r>
      <w:r>
        <w:t xml:space="preserve"> </w:t>
      </w:r>
      <w:r w:rsidRPr="00E3144E">
        <w:rPr>
          <w:rStyle w:val="FootnoteReference"/>
          <w:color w:val="auto"/>
        </w:rPr>
        <w:t>Nous Group (a), 2017, An efficient price for the operational cost of providing social housing in remote Indigenous Australian communities, Report commissioned for the Review</w:t>
      </w:r>
    </w:p>
    <w:p w:rsidR="009C713A" w:rsidRDefault="009C713A">
      <w:pPr>
        <w:pStyle w:val="FootnoteText"/>
      </w:pPr>
    </w:p>
  </w:footnote>
  <w:footnote w:id="36">
    <w:p w:rsidR="009C713A" w:rsidRPr="00995285" w:rsidRDefault="009C713A" w:rsidP="008B2FDF">
      <w:pPr>
        <w:pStyle w:val="FootnoteText"/>
        <w:rPr>
          <w:color w:val="auto"/>
        </w:rPr>
      </w:pPr>
      <w:r w:rsidRPr="00995285">
        <w:rPr>
          <w:rStyle w:val="FootnoteReference"/>
          <w:color w:val="auto"/>
        </w:rPr>
        <w:footnoteRef/>
      </w:r>
      <w:r w:rsidRPr="00995285">
        <w:rPr>
          <w:color w:val="auto"/>
        </w:rPr>
        <w:t xml:space="preserve"> PricewaterhouseCoopers (2007), </w:t>
      </w:r>
      <w:r w:rsidRPr="00995285">
        <w:rPr>
          <w:i/>
          <w:color w:val="auto"/>
        </w:rPr>
        <w:t>Living in the Sunburn Country: Findings of the Review of the Community Housing and Infrastructure Programme</w:t>
      </w:r>
      <w:r w:rsidRPr="00995285">
        <w:rPr>
          <w:color w:val="auto"/>
        </w:rPr>
        <w:t xml:space="preserve">, PWC, </w:t>
      </w:r>
      <w:hyperlink r:id="rId17" w:history="1">
        <w:r w:rsidRPr="00995285">
          <w:rPr>
            <w:rStyle w:val="Hyperlink"/>
          </w:rPr>
          <w:t>https://www.dss.gov.au/sites/default/files/documents/05_2012/livingsunburntcountry.pdf</w:t>
        </w:r>
      </w:hyperlink>
      <w:r w:rsidRPr="00995285">
        <w:rPr>
          <w:color w:val="auto"/>
        </w:rPr>
        <w:t>, page 18</w:t>
      </w:r>
    </w:p>
  </w:footnote>
  <w:footnote w:id="37">
    <w:p w:rsidR="009C713A" w:rsidRPr="00995285" w:rsidRDefault="009C713A" w:rsidP="0074049C">
      <w:pPr>
        <w:pStyle w:val="FootnoteText"/>
        <w:rPr>
          <w:color w:val="auto"/>
        </w:rPr>
      </w:pPr>
      <w:r w:rsidRPr="00995285">
        <w:rPr>
          <w:rStyle w:val="FootnoteReference"/>
          <w:color w:val="auto"/>
        </w:rPr>
        <w:footnoteRef/>
      </w:r>
      <w:r w:rsidRPr="00995285">
        <w:rPr>
          <w:color w:val="auto"/>
        </w:rPr>
        <w:t xml:space="preserve"> Ibid, page 18</w:t>
      </w:r>
    </w:p>
  </w:footnote>
  <w:footnote w:id="38">
    <w:p w:rsidR="009C713A" w:rsidRPr="00995285" w:rsidRDefault="009C713A" w:rsidP="00E60869">
      <w:pPr>
        <w:pStyle w:val="FootnoteText"/>
        <w:rPr>
          <w:color w:val="auto"/>
        </w:rPr>
      </w:pPr>
      <w:r w:rsidRPr="00995285">
        <w:rPr>
          <w:rStyle w:val="FootnoteReference"/>
          <w:color w:val="auto"/>
        </w:rPr>
        <w:footnoteRef/>
      </w:r>
      <w:r w:rsidRPr="00995285">
        <w:rPr>
          <w:color w:val="auto"/>
        </w:rPr>
        <w:t xml:space="preserve"> Quote from Scott McIntyre, Thamarrurr Development Corporation, Panel consultations in Wadeye, 15/12/2016</w:t>
      </w:r>
    </w:p>
  </w:footnote>
  <w:footnote w:id="39">
    <w:p w:rsidR="009C713A" w:rsidRPr="00995285" w:rsidRDefault="009C713A" w:rsidP="00E60869">
      <w:pPr>
        <w:pStyle w:val="FootnoteText"/>
        <w:rPr>
          <w:color w:val="auto"/>
        </w:rPr>
      </w:pPr>
      <w:r w:rsidRPr="00995285">
        <w:rPr>
          <w:rStyle w:val="FootnoteReference"/>
          <w:color w:val="auto"/>
        </w:rPr>
        <w:footnoteRef/>
      </w:r>
      <w:r w:rsidRPr="00995285">
        <w:rPr>
          <w:color w:val="auto"/>
        </w:rPr>
        <w:t xml:space="preserve"> NCVER, ‘Growing the desert: Educational pathways for remote Indigenous people – Support document’, Australian Government, 2007</w:t>
      </w:r>
      <w:r>
        <w:rPr>
          <w:color w:val="auto"/>
        </w:rPr>
        <w:t> </w:t>
      </w:r>
      <w:r w:rsidRPr="00995285">
        <w:rPr>
          <w:color w:val="auto"/>
        </w:rPr>
        <w:t>p.13</w:t>
      </w:r>
    </w:p>
  </w:footnote>
  <w:footnote w:id="40">
    <w:p w:rsidR="009C713A" w:rsidRPr="00995285" w:rsidRDefault="009C713A">
      <w:pPr>
        <w:pStyle w:val="FootnoteText"/>
        <w:rPr>
          <w:color w:val="auto"/>
        </w:rPr>
      </w:pPr>
      <w:r w:rsidRPr="00995285">
        <w:rPr>
          <w:rStyle w:val="FootnoteReference"/>
          <w:color w:val="auto"/>
        </w:rPr>
        <w:footnoteRef/>
      </w:r>
      <w:r w:rsidRPr="00995285">
        <w:rPr>
          <w:color w:val="auto"/>
        </w:rPr>
        <w:t xml:space="preserve"> Submission to the </w:t>
      </w:r>
      <w:r>
        <w:rPr>
          <w:color w:val="auto"/>
        </w:rPr>
        <w:t>R</w:t>
      </w:r>
      <w:r w:rsidRPr="00995285">
        <w:rPr>
          <w:color w:val="auto"/>
        </w:rPr>
        <w:t>eview by Aboriginal Peak Organisations Northern Territory</w:t>
      </w:r>
    </w:p>
  </w:footnote>
  <w:footnote w:id="41">
    <w:p w:rsidR="009C713A" w:rsidRPr="00995285" w:rsidRDefault="009C713A" w:rsidP="00E60869">
      <w:pPr>
        <w:pStyle w:val="FootnoteText"/>
        <w:rPr>
          <w:color w:val="auto"/>
        </w:rPr>
      </w:pPr>
      <w:r w:rsidRPr="00995285">
        <w:rPr>
          <w:rStyle w:val="FootnoteReference"/>
          <w:color w:val="auto"/>
        </w:rPr>
        <w:footnoteRef/>
      </w:r>
      <w:r w:rsidRPr="00995285">
        <w:rPr>
          <w:color w:val="auto"/>
        </w:rPr>
        <w:t xml:space="preserve"> Pholeros &amp; Phibbs, </w:t>
      </w:r>
      <w:r w:rsidRPr="00995285">
        <w:rPr>
          <w:i/>
          <w:color w:val="auto"/>
        </w:rPr>
        <w:t>Constructing and maintaining houses</w:t>
      </w:r>
      <w:r w:rsidRPr="00995285">
        <w:rPr>
          <w:color w:val="auto"/>
        </w:rPr>
        <w:t xml:space="preserve">, 2012, Closing the Gap Clearinghouse. </w:t>
      </w:r>
      <w:hyperlink r:id="rId18" w:history="1">
        <w:r w:rsidRPr="00995285">
          <w:rPr>
            <w:rStyle w:val="Hyperlink"/>
          </w:rPr>
          <w:t>http://www.aihw.gov.au/uploadedFiles/ClosingTheGap/Content/Publications/2012/ctgc-rs13.pdf</w:t>
        </w:r>
      </w:hyperlink>
    </w:p>
    <w:p w:rsidR="009C713A" w:rsidRPr="00995285" w:rsidRDefault="009C713A" w:rsidP="00E60869">
      <w:pPr>
        <w:pStyle w:val="FootnoteText"/>
        <w:rPr>
          <w:color w:val="auto"/>
        </w:rPr>
      </w:pPr>
    </w:p>
  </w:footnote>
  <w:footnote w:id="42">
    <w:p w:rsidR="009C713A" w:rsidRPr="00995285" w:rsidRDefault="009C713A" w:rsidP="0061255B">
      <w:pPr>
        <w:pStyle w:val="FootnoteText"/>
        <w:rPr>
          <w:color w:val="auto"/>
        </w:rPr>
      </w:pPr>
      <w:r w:rsidRPr="00995285">
        <w:rPr>
          <w:rStyle w:val="FootnoteReference"/>
          <w:color w:val="auto"/>
        </w:rPr>
        <w:footnoteRef/>
      </w:r>
      <w:r w:rsidRPr="00995285">
        <w:rPr>
          <w:color w:val="auto"/>
        </w:rPr>
        <w:t xml:space="preserve"> Reform of the Fed</w:t>
      </w:r>
      <w:r>
        <w:rPr>
          <w:color w:val="auto"/>
        </w:rPr>
        <w:t>eration Discussion Paper, p.22</w:t>
      </w:r>
    </w:p>
  </w:footnote>
  <w:footnote w:id="43">
    <w:p w:rsidR="009C713A" w:rsidRPr="00995285" w:rsidRDefault="009C713A" w:rsidP="00345827">
      <w:pPr>
        <w:pStyle w:val="FootnoteText"/>
        <w:rPr>
          <w:color w:val="auto"/>
        </w:rPr>
      </w:pPr>
      <w:r w:rsidRPr="00995285">
        <w:rPr>
          <w:rStyle w:val="FootnoteReference"/>
          <w:rFonts w:eastAsiaTheme="majorEastAsia"/>
          <w:color w:val="auto"/>
        </w:rPr>
        <w:footnoteRef/>
      </w:r>
      <w:r w:rsidRPr="00995285">
        <w:rPr>
          <w:rStyle w:val="FootnoteReference"/>
          <w:rFonts w:eastAsiaTheme="majorEastAsia"/>
          <w:color w:val="auto"/>
        </w:rPr>
        <w:t xml:space="preserve"> </w:t>
      </w:r>
      <w:r w:rsidRPr="00995285">
        <w:rPr>
          <w:color w:val="auto"/>
        </w:rPr>
        <w:t>Habibis et al, Reviewing changes to housing management on remote Indigenous communities, AHURI, 2016; J Fien, E Charlesworth, G Lee, D Baker, T Grice &amp; D Morris, Life on the edge: housing experiences in three remote Australian Indigenous settlements, Habitat International 35(2):343–9, 2011; J Fien &amp; E Charlesworth, ‘Why isn’t it solved?’ Factors affecting improvements in housing outcomes in remote Indigenous communities in Australia, Habitat International, 36, 2012; Pholeros &amp; P Phibbs, Constructing and maintaining houses, Resource sheet no.13 produced for Closing the Gap Clearing House, Australian Institute of Health and Welfare, 2012</w:t>
      </w:r>
    </w:p>
  </w:footnote>
  <w:footnote w:id="44">
    <w:p w:rsidR="009C713A" w:rsidRPr="00995285" w:rsidRDefault="009C713A" w:rsidP="00345827">
      <w:pPr>
        <w:pStyle w:val="FootnoteText"/>
        <w:rPr>
          <w:color w:val="auto"/>
        </w:rPr>
      </w:pPr>
      <w:r w:rsidRPr="00995285">
        <w:rPr>
          <w:rStyle w:val="FootnoteReference"/>
          <w:rFonts w:eastAsiaTheme="majorEastAsia"/>
          <w:color w:val="auto"/>
        </w:rPr>
        <w:footnoteRef/>
      </w:r>
      <w:r>
        <w:rPr>
          <w:color w:val="auto"/>
        </w:rPr>
        <w:t xml:space="preserve"> Nous Group (a), 2017,</w:t>
      </w:r>
      <w:r w:rsidRPr="00995285">
        <w:rPr>
          <w:color w:val="auto"/>
        </w:rPr>
        <w:t xml:space="preserve"> An efficient price for the operational cost of providing social housing in remote Indigenous Australian communities, Re</w:t>
      </w:r>
      <w:r>
        <w:rPr>
          <w:color w:val="auto"/>
        </w:rPr>
        <w:t>port commissioned for the Review</w:t>
      </w:r>
    </w:p>
  </w:footnote>
  <w:footnote w:id="45">
    <w:p w:rsidR="009C713A" w:rsidRPr="00995285" w:rsidRDefault="009C713A" w:rsidP="00345827">
      <w:pPr>
        <w:pStyle w:val="FootnoteText"/>
        <w:rPr>
          <w:color w:val="auto"/>
        </w:rPr>
      </w:pPr>
      <w:r w:rsidRPr="00995285">
        <w:rPr>
          <w:rStyle w:val="FootnoteReference"/>
          <w:rFonts w:eastAsiaTheme="majorEastAsia"/>
          <w:color w:val="auto"/>
        </w:rPr>
        <w:footnoteRef/>
      </w:r>
      <w:r>
        <w:rPr>
          <w:color w:val="auto"/>
        </w:rPr>
        <w:t xml:space="preserve"> Data for one jurisdiction is 2015-</w:t>
      </w:r>
      <w:r w:rsidRPr="00995285">
        <w:rPr>
          <w:color w:val="auto"/>
        </w:rPr>
        <w:t>16 figures</w:t>
      </w:r>
    </w:p>
  </w:footnote>
  <w:footnote w:id="46">
    <w:p w:rsidR="009C713A" w:rsidRPr="00995285" w:rsidRDefault="009C713A" w:rsidP="00345827">
      <w:pPr>
        <w:pStyle w:val="FootnoteText"/>
        <w:rPr>
          <w:color w:val="auto"/>
        </w:rPr>
      </w:pPr>
      <w:r w:rsidRPr="00995285">
        <w:rPr>
          <w:rStyle w:val="FootnoteReference"/>
          <w:color w:val="auto"/>
        </w:rPr>
        <w:footnoteRef/>
      </w:r>
      <w:r w:rsidRPr="00995285">
        <w:rPr>
          <w:color w:val="auto"/>
        </w:rPr>
        <w:t xml:space="preserve"> Increased maintenance costs are the result of remoteness, isolation, and the associated costs and challenges in servicing them. Shortened asset lifecycles due to harsh climatic conditions, and in some cases, inappropri</w:t>
      </w:r>
      <w:r>
        <w:rPr>
          <w:color w:val="auto"/>
        </w:rPr>
        <w:t>ate build compound these costs</w:t>
      </w:r>
    </w:p>
    <w:p w:rsidR="009C713A" w:rsidRPr="00995285" w:rsidRDefault="009C713A" w:rsidP="00345827">
      <w:pPr>
        <w:pStyle w:val="FootnoteText"/>
        <w:rPr>
          <w:color w:val="auto"/>
        </w:rPr>
      </w:pPr>
    </w:p>
  </w:footnote>
  <w:footnote w:id="47">
    <w:p w:rsidR="009C713A" w:rsidRPr="00995285" w:rsidRDefault="009C713A" w:rsidP="00345827">
      <w:pPr>
        <w:pStyle w:val="FootnoteText"/>
        <w:rPr>
          <w:color w:val="auto"/>
        </w:rPr>
      </w:pPr>
      <w:r w:rsidRPr="00995285">
        <w:rPr>
          <w:rStyle w:val="FootnoteReference"/>
          <w:color w:val="auto"/>
        </w:rPr>
        <w:footnoteRef/>
      </w:r>
      <w:r w:rsidRPr="00995285">
        <w:rPr>
          <w:color w:val="auto"/>
        </w:rPr>
        <w:t xml:space="preserve"> Nous Group (b), 2017, Possible social impact investment strategies to finance remote Indigenous housing in Australia, Report commissioned for the Review </w:t>
      </w:r>
    </w:p>
  </w:footnote>
  <w:footnote w:id="48">
    <w:p w:rsidR="009C713A" w:rsidRPr="00BC612F" w:rsidRDefault="009C713A" w:rsidP="00000C1C">
      <w:pPr>
        <w:pStyle w:val="FootnoteText"/>
        <w:rPr>
          <w:color w:val="auto"/>
        </w:rPr>
      </w:pPr>
      <w:r w:rsidRPr="00BC612F">
        <w:rPr>
          <w:color w:val="auto"/>
        </w:rPr>
        <w:footnoteRef/>
      </w:r>
      <w:r w:rsidRPr="00BC612F">
        <w:rPr>
          <w:color w:val="auto"/>
        </w:rPr>
        <w:t xml:space="preserve"> Australian Government Treasury, Social Impact Investment Discussion Paper 2017, </w:t>
      </w:r>
      <w:hyperlink r:id="rId19" w:history="1">
        <w:r w:rsidRPr="00BC612F">
          <w:rPr>
            <w:color w:val="auto"/>
          </w:rPr>
          <w:t>http://www.treasury.gov.au/~/media/Treasury/Consultations%20and%20Reviews/Consultations/2017/Social%20Impact%20Investing/Key%20Documents/PDF/Social_Impact_Investing_DP.ashx</w:t>
        </w:r>
      </w:hyperlink>
      <w:r w:rsidRPr="00BC612F">
        <w:rPr>
          <w:color w:val="auto"/>
        </w:rPr>
        <w:t xml:space="preserve"> </w:t>
      </w:r>
    </w:p>
  </w:footnote>
  <w:footnote w:id="49">
    <w:p w:rsidR="009C713A" w:rsidRPr="00995285" w:rsidRDefault="009C713A" w:rsidP="00345827">
      <w:pPr>
        <w:pStyle w:val="FootnoteText"/>
        <w:rPr>
          <w:color w:val="auto"/>
        </w:rPr>
      </w:pPr>
      <w:r w:rsidRPr="00995285">
        <w:rPr>
          <w:rStyle w:val="FootnoteReference"/>
          <w:color w:val="auto"/>
        </w:rPr>
        <w:footnoteRef/>
      </w:r>
      <w:r w:rsidRPr="00995285">
        <w:rPr>
          <w:color w:val="auto"/>
        </w:rPr>
        <w:t xml:space="preserve"> </w:t>
      </w:r>
      <w:r>
        <w:rPr>
          <w:color w:val="auto"/>
        </w:rPr>
        <w:t xml:space="preserve">Department of Social Services, </w:t>
      </w:r>
      <w:r w:rsidRPr="00995285">
        <w:rPr>
          <w:color w:val="auto"/>
        </w:rPr>
        <w:t>Review of Australia’s welfare system 2015</w:t>
      </w:r>
      <w:r>
        <w:rPr>
          <w:color w:val="auto"/>
        </w:rPr>
        <w:t xml:space="preserve">, </w:t>
      </w:r>
      <w:hyperlink r:id="rId20" w:history="1">
        <w:r w:rsidRPr="000308FA">
          <w:rPr>
            <w:rStyle w:val="Hyperlink"/>
          </w:rPr>
          <w:t>https://www.dss.gov.au/review-of-australias-welfare-system</w:t>
        </w:r>
      </w:hyperlink>
      <w:r>
        <w:rPr>
          <w:color w:val="auto"/>
        </w:rPr>
        <w:t>; The Australia Government Treasury, T</w:t>
      </w:r>
      <w:r w:rsidRPr="00995285">
        <w:rPr>
          <w:color w:val="auto"/>
        </w:rPr>
        <w:t>he Financial System Inquiry 2014</w:t>
      </w:r>
      <w:r>
        <w:rPr>
          <w:color w:val="auto"/>
        </w:rPr>
        <w:t xml:space="preserve">, </w:t>
      </w:r>
      <w:hyperlink r:id="rId21" w:history="1">
        <w:r w:rsidRPr="000308FA">
          <w:rPr>
            <w:rStyle w:val="Hyperlink"/>
          </w:rPr>
          <w:t>http://fsi.gov.au/publications/final-report/</w:t>
        </w:r>
      </w:hyperlink>
      <w:r>
        <w:rPr>
          <w:color w:val="auto"/>
        </w:rPr>
        <w:t xml:space="preserve"> </w:t>
      </w:r>
    </w:p>
  </w:footnote>
  <w:footnote w:id="50">
    <w:p w:rsidR="009C713A" w:rsidRPr="00995285" w:rsidRDefault="009C713A" w:rsidP="00345827">
      <w:pPr>
        <w:pStyle w:val="Bullet"/>
        <w:numPr>
          <w:ilvl w:val="0"/>
          <w:numId w:val="0"/>
        </w:numPr>
        <w:suppressAutoHyphens w:val="0"/>
        <w:rPr>
          <w:sz w:val="20"/>
          <w:szCs w:val="20"/>
        </w:rPr>
      </w:pPr>
      <w:r w:rsidRPr="00995285">
        <w:rPr>
          <w:rStyle w:val="FootnoteReference"/>
          <w:color w:val="auto"/>
        </w:rPr>
        <w:footnoteRef/>
      </w:r>
      <w:r w:rsidRPr="00995285">
        <w:rPr>
          <w:rStyle w:val="FootnoteReference"/>
          <w:color w:val="auto"/>
        </w:rPr>
        <w:t xml:space="preserve"> </w:t>
      </w:r>
      <w:r w:rsidRPr="00995285">
        <w:rPr>
          <w:sz w:val="16"/>
        </w:rPr>
        <w:t>J Standen, Closing the Gap: 10 Years of Housing for Health in NSW, NSW Health, 2010</w:t>
      </w:r>
    </w:p>
    <w:p w:rsidR="009C713A" w:rsidRPr="00995285" w:rsidRDefault="009C713A" w:rsidP="00345827">
      <w:pPr>
        <w:pStyle w:val="FootnoteText"/>
        <w:tabs>
          <w:tab w:val="left" w:pos="1125"/>
        </w:tabs>
        <w:rPr>
          <w:color w:val="auto"/>
        </w:rPr>
      </w:pPr>
      <w:r w:rsidRPr="00995285">
        <w:rPr>
          <w:color w:val="auto"/>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Default="009C7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3A" w:rsidRDefault="009C7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79F"/>
    <w:multiLevelType w:val="multilevel"/>
    <w:tmpl w:val="C400DF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1D90062"/>
    <w:multiLevelType w:val="hybridMultilevel"/>
    <w:tmpl w:val="A268E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50F2A"/>
    <w:multiLevelType w:val="hybridMultilevel"/>
    <w:tmpl w:val="E19E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424A4"/>
    <w:multiLevelType w:val="hybridMultilevel"/>
    <w:tmpl w:val="AD6224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A31A2"/>
    <w:multiLevelType w:val="multilevel"/>
    <w:tmpl w:val="4C1AD6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4"/>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6" w15:restartNumberingAfterBreak="0">
    <w:nsid w:val="0DAD65BB"/>
    <w:multiLevelType w:val="hybridMultilevel"/>
    <w:tmpl w:val="2C6A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E506F"/>
    <w:multiLevelType w:val="hybridMultilevel"/>
    <w:tmpl w:val="0BF039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112A1B44"/>
    <w:multiLevelType w:val="hybridMultilevel"/>
    <w:tmpl w:val="7DBE3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B00B1A"/>
    <w:multiLevelType w:val="hybridMultilevel"/>
    <w:tmpl w:val="5164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E506A"/>
    <w:multiLevelType w:val="hybridMultilevel"/>
    <w:tmpl w:val="896A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113EE"/>
    <w:multiLevelType w:val="hybridMultilevel"/>
    <w:tmpl w:val="E386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651C84"/>
    <w:multiLevelType w:val="hybridMultilevel"/>
    <w:tmpl w:val="6D0E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2671E7"/>
    <w:multiLevelType w:val="hybridMultilevel"/>
    <w:tmpl w:val="020E5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46FC8"/>
    <w:multiLevelType w:val="hybridMultilevel"/>
    <w:tmpl w:val="11E84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DA3D7D"/>
    <w:multiLevelType w:val="hybridMultilevel"/>
    <w:tmpl w:val="3A9E3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1413D"/>
    <w:multiLevelType w:val="multilevel"/>
    <w:tmpl w:val="17FEB6E0"/>
    <w:lvl w:ilvl="0">
      <w:start w:val="1"/>
      <w:numFmt w:val="bullet"/>
      <w:pStyle w:val="TableNBullet"/>
      <w:lvlText w:val=""/>
      <w:lvlJc w:val="left"/>
      <w:pPr>
        <w:ind w:left="170" w:hanging="170"/>
      </w:pPr>
      <w:rPr>
        <w:rFonts w:ascii="Wingdings 2" w:hAnsi="Wingdings 2" w:hint="default"/>
        <w:color w:val="404040" w:themeColor="text1" w:themeTint="BF"/>
        <w:position w:val="3"/>
        <w:sz w:val="10"/>
      </w:rPr>
    </w:lvl>
    <w:lvl w:ilvl="1">
      <w:start w:val="1"/>
      <w:numFmt w:val="bullet"/>
      <w:lvlText w:val=""/>
      <w:lvlJc w:val="left"/>
      <w:pPr>
        <w:ind w:left="340" w:hanging="170"/>
      </w:pPr>
      <w:rPr>
        <w:rFonts w:ascii="Wingdings 2" w:hAnsi="Wingdings 2" w:hint="default"/>
        <w:color w:val="404040" w:themeColor="text1" w:themeTint="BF"/>
        <w:position w:val="3"/>
        <w:sz w:val="10"/>
      </w:rPr>
    </w:lvl>
    <w:lvl w:ilvl="2">
      <w:start w:val="1"/>
      <w:numFmt w:val="bullet"/>
      <w:lvlText w:val=""/>
      <w:lvlJc w:val="left"/>
      <w:pPr>
        <w:ind w:left="510" w:hanging="170"/>
      </w:pPr>
      <w:rPr>
        <w:rFonts w:ascii="Wingdings 2" w:hAnsi="Wingdings 2" w:hint="default"/>
        <w:color w:val="404040" w:themeColor="text1" w:themeTint="BF"/>
        <w:position w:val="3"/>
        <w:sz w:val="10"/>
      </w:rPr>
    </w:lvl>
    <w:lvl w:ilvl="3">
      <w:start w:val="1"/>
      <w:numFmt w:val="bullet"/>
      <w:lvlText w:val=""/>
      <w:lvlJc w:val="left"/>
      <w:pPr>
        <w:ind w:left="680" w:hanging="170"/>
      </w:pPr>
      <w:rPr>
        <w:rFonts w:ascii="Wingdings 2" w:hAnsi="Wingdings 2" w:hint="default"/>
        <w:color w:val="404040" w:themeColor="text1" w:themeTint="BF"/>
        <w:position w:val="3"/>
        <w:sz w:val="10"/>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18" w15:restartNumberingAfterBreak="0">
    <w:nsid w:val="3D7F62D1"/>
    <w:multiLevelType w:val="hybridMultilevel"/>
    <w:tmpl w:val="5CCA2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9145D2"/>
    <w:multiLevelType w:val="multilevel"/>
    <w:tmpl w:val="D46257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1EA763B"/>
    <w:multiLevelType w:val="hybridMultilevel"/>
    <w:tmpl w:val="F7F06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B83EB2"/>
    <w:multiLevelType w:val="hybridMultilevel"/>
    <w:tmpl w:val="DB804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7B7C50"/>
    <w:multiLevelType w:val="hybridMultilevel"/>
    <w:tmpl w:val="9312B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1C3308"/>
    <w:multiLevelType w:val="multilevel"/>
    <w:tmpl w:val="D456A732"/>
    <w:lvl w:ilvl="0">
      <w:start w:val="1"/>
      <w:numFmt w:val="decimal"/>
      <w:pStyle w:val="Table-Exp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4C201E68"/>
    <w:multiLevelType w:val="hybridMultilevel"/>
    <w:tmpl w:val="52FA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4A31CD"/>
    <w:multiLevelType w:val="hybridMultilevel"/>
    <w:tmpl w:val="69EE5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E6AC0"/>
    <w:multiLevelType w:val="hybridMultilevel"/>
    <w:tmpl w:val="2ED86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D90139"/>
    <w:multiLevelType w:val="hybridMultilevel"/>
    <w:tmpl w:val="42F6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3E7DA2"/>
    <w:multiLevelType w:val="hybridMultilevel"/>
    <w:tmpl w:val="7BCCD708"/>
    <w:lvl w:ilvl="0" w:tplc="C5A02EDE">
      <w:start w:val="1"/>
      <w:numFmt w:val="decimal"/>
      <w:pStyle w:val="H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4A41DC"/>
    <w:multiLevelType w:val="hybridMultilevel"/>
    <w:tmpl w:val="9028F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16BB7"/>
    <w:multiLevelType w:val="hybridMultilevel"/>
    <w:tmpl w:val="3ADED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227AC3"/>
    <w:multiLevelType w:val="hybridMultilevel"/>
    <w:tmpl w:val="292CE0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A16EBA"/>
    <w:multiLevelType w:val="multilevel"/>
    <w:tmpl w:val="F55ECA3C"/>
    <w:lvl w:ilvl="0">
      <w:start w:val="1"/>
      <w:numFmt w:val="upperLetter"/>
      <w:pStyle w:val="xAppendixLevel1"/>
      <w:lvlText w:val="Appendix %1"/>
      <w:lvlJc w:val="left"/>
      <w:pPr>
        <w:ind w:left="2268" w:hanging="2268"/>
      </w:pPr>
      <w:rPr>
        <w:rFonts w:hint="default"/>
        <w:color w:val="003468" w:themeColor="text2"/>
        <w:sz w:val="44"/>
        <w:szCs w:val="44"/>
      </w:rPr>
    </w:lvl>
    <w:lvl w:ilvl="1">
      <w:start w:val="1"/>
      <w:numFmt w:val="decimal"/>
      <w:pStyle w:val="xAppendixLevel2"/>
      <w:lvlText w:val="%1.%2"/>
      <w:lvlJc w:val="left"/>
      <w:pPr>
        <w:ind w:left="851" w:hanging="851"/>
      </w:pPr>
      <w:rPr>
        <w:rFonts w:hint="default"/>
        <w:color w:val="003468" w:themeColor="text2"/>
        <w:sz w:val="34"/>
        <w:szCs w:val="34"/>
      </w:rPr>
    </w:lvl>
    <w:lvl w:ilvl="2">
      <w:start w:val="1"/>
      <w:numFmt w:val="decimal"/>
      <w:lvlText w:val="%1.%2.%3"/>
      <w:lvlJc w:val="left"/>
      <w:pPr>
        <w:ind w:left="851" w:hanging="851"/>
      </w:pPr>
      <w:rPr>
        <w:rFonts w:hint="default"/>
        <w:color w:val="003468" w:themeColor="text2"/>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F9283D"/>
    <w:multiLevelType w:val="multilevel"/>
    <w:tmpl w:val="7F08B49C"/>
    <w:lvl w:ilvl="0">
      <w:start w:val="1"/>
      <w:numFmt w:val="decimal"/>
      <w:pStyle w:val="Listnumbered"/>
      <w:lvlText w:val="%1."/>
      <w:lvlJc w:val="left"/>
      <w:pPr>
        <w:ind w:left="680" w:hanging="340"/>
      </w:pPr>
      <w:rPr>
        <w:rFonts w:hint="default"/>
        <w:color w:val="404040" w:themeColor="text1" w:themeTint="BF"/>
        <w:sz w:val="21"/>
      </w:rPr>
    </w:lvl>
    <w:lvl w:ilvl="1">
      <w:start w:val="1"/>
      <w:numFmt w:val="lowerLetter"/>
      <w:lvlText w:val="%2."/>
      <w:lvlJc w:val="left"/>
      <w:pPr>
        <w:ind w:left="1020" w:hanging="340"/>
      </w:pPr>
      <w:rPr>
        <w:rFonts w:hint="default"/>
        <w:sz w:val="21"/>
      </w:rPr>
    </w:lvl>
    <w:lvl w:ilvl="2">
      <w:start w:val="1"/>
      <w:numFmt w:val="lowerRoman"/>
      <w:lvlText w:val="%3."/>
      <w:lvlJc w:val="left"/>
      <w:pPr>
        <w:ind w:left="1360" w:hanging="340"/>
      </w:pPr>
      <w:rPr>
        <w:rFonts w:hint="default"/>
        <w:color w:val="404040" w:themeColor="text1" w:themeTint="BF"/>
        <w:sz w:val="21"/>
      </w:rPr>
    </w:lvl>
    <w:lvl w:ilvl="3">
      <w:start w:val="1"/>
      <w:numFmt w:val="lowerRoman"/>
      <w:lvlText w:val="%3.%4"/>
      <w:lvlJc w:val="left"/>
      <w:pPr>
        <w:ind w:left="1700" w:hanging="340"/>
      </w:pPr>
      <w:rPr>
        <w:rFonts w:hint="default"/>
        <w:color w:val="404040" w:themeColor="text1" w:themeTint="BF"/>
        <w:sz w:val="21"/>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34" w15:restartNumberingAfterBreak="0">
    <w:nsid w:val="73B710CE"/>
    <w:multiLevelType w:val="multilevel"/>
    <w:tmpl w:val="D884BCB2"/>
    <w:lvl w:ilvl="0">
      <w:start w:val="1"/>
      <w:numFmt w:val="bullet"/>
      <w:pStyle w:val="Bullet"/>
      <w:lvlText w:val=""/>
      <w:lvlJc w:val="left"/>
      <w:pPr>
        <w:ind w:left="680" w:hanging="340"/>
      </w:pPr>
      <w:rPr>
        <w:rFonts w:ascii="Wingdings 2" w:hAnsi="Wingdings 2"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35" w15:restartNumberingAfterBreak="0">
    <w:nsid w:val="780654E8"/>
    <w:multiLevelType w:val="hybridMultilevel"/>
    <w:tmpl w:val="13BC8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9"/>
  </w:num>
  <w:num w:numId="4">
    <w:abstractNumId w:val="33"/>
  </w:num>
  <w:num w:numId="5">
    <w:abstractNumId w:val="17"/>
  </w:num>
  <w:num w:numId="6">
    <w:abstractNumId w:val="23"/>
  </w:num>
  <w:num w:numId="7">
    <w:abstractNumId w:val="32"/>
  </w:num>
  <w:num w:numId="8">
    <w:abstractNumId w:val="8"/>
  </w:num>
  <w:num w:numId="9">
    <w:abstractNumId w:val="0"/>
  </w:num>
  <w:num w:numId="10">
    <w:abstractNumId w:val="6"/>
  </w:num>
  <w:num w:numId="11">
    <w:abstractNumId w:val="12"/>
  </w:num>
  <w:num w:numId="12">
    <w:abstractNumId w:val="35"/>
  </w:num>
  <w:num w:numId="13">
    <w:abstractNumId w:val="31"/>
  </w:num>
  <w:num w:numId="14">
    <w:abstractNumId w:val="4"/>
  </w:num>
  <w:num w:numId="15">
    <w:abstractNumId w:val="7"/>
  </w:num>
  <w:num w:numId="16">
    <w:abstractNumId w:val="15"/>
  </w:num>
  <w:num w:numId="17">
    <w:abstractNumId w:val="24"/>
  </w:num>
  <w:num w:numId="18">
    <w:abstractNumId w:val="30"/>
  </w:num>
  <w:num w:numId="19">
    <w:abstractNumId w:val="9"/>
  </w:num>
  <w:num w:numId="20">
    <w:abstractNumId w:val="25"/>
  </w:num>
  <w:num w:numId="21">
    <w:abstractNumId w:val="2"/>
  </w:num>
  <w:num w:numId="22">
    <w:abstractNumId w:val="26"/>
  </w:num>
  <w:num w:numId="23">
    <w:abstractNumId w:val="29"/>
  </w:num>
  <w:num w:numId="24">
    <w:abstractNumId w:val="22"/>
  </w:num>
  <w:num w:numId="25">
    <w:abstractNumId w:val="20"/>
  </w:num>
  <w:num w:numId="26">
    <w:abstractNumId w:val="16"/>
  </w:num>
  <w:num w:numId="27">
    <w:abstractNumId w:val="13"/>
  </w:num>
  <w:num w:numId="28">
    <w:abstractNumId w:val="10"/>
  </w:num>
  <w:num w:numId="29">
    <w:abstractNumId w:val="4"/>
  </w:num>
  <w:num w:numId="30">
    <w:abstractNumId w:val="2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
  </w:num>
  <w:num w:numId="34">
    <w:abstractNumId w:val="27"/>
  </w:num>
  <w:num w:numId="35">
    <w:abstractNumId w:val="21"/>
  </w:num>
  <w:num w:numId="36">
    <w:abstractNumId w:val="11"/>
  </w:num>
  <w:num w:numId="37">
    <w:abstractNumId w:val="14"/>
  </w:num>
  <w:num w:numId="38">
    <w:abstractNumId w:val="3"/>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C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1"/>
  <w:defaultTabStop w:val="340"/>
  <w:evenAndOddHeaders/>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B7B5247-D5A0-44EC-B30D-47A8781E4D76}"/>
    <w:docVar w:name="dgnword-eventsink" w:val="263378392"/>
  </w:docVars>
  <w:rsids>
    <w:rsidRoot w:val="003A40B5"/>
    <w:rsid w:val="00000C1C"/>
    <w:rsid w:val="00004237"/>
    <w:rsid w:val="00020271"/>
    <w:rsid w:val="00020415"/>
    <w:rsid w:val="0002200E"/>
    <w:rsid w:val="00023C80"/>
    <w:rsid w:val="00031E10"/>
    <w:rsid w:val="00042574"/>
    <w:rsid w:val="0004461B"/>
    <w:rsid w:val="0004739C"/>
    <w:rsid w:val="0005077D"/>
    <w:rsid w:val="00050BC2"/>
    <w:rsid w:val="00052D04"/>
    <w:rsid w:val="00053599"/>
    <w:rsid w:val="00053BFD"/>
    <w:rsid w:val="00053E9F"/>
    <w:rsid w:val="000602DB"/>
    <w:rsid w:val="00060AE4"/>
    <w:rsid w:val="00061187"/>
    <w:rsid w:val="00065153"/>
    <w:rsid w:val="00071ED3"/>
    <w:rsid w:val="000721FA"/>
    <w:rsid w:val="0007293D"/>
    <w:rsid w:val="000733C4"/>
    <w:rsid w:val="00073A2D"/>
    <w:rsid w:val="000856B1"/>
    <w:rsid w:val="00086963"/>
    <w:rsid w:val="00086AB7"/>
    <w:rsid w:val="00087AE8"/>
    <w:rsid w:val="00094C4B"/>
    <w:rsid w:val="0009689C"/>
    <w:rsid w:val="00096B2B"/>
    <w:rsid w:val="00097CFC"/>
    <w:rsid w:val="000A01F3"/>
    <w:rsid w:val="000A0FCD"/>
    <w:rsid w:val="000A12CF"/>
    <w:rsid w:val="000A36A6"/>
    <w:rsid w:val="000A46A5"/>
    <w:rsid w:val="000A5BE6"/>
    <w:rsid w:val="000B0E7F"/>
    <w:rsid w:val="000B3289"/>
    <w:rsid w:val="000B59DF"/>
    <w:rsid w:val="000C4B2D"/>
    <w:rsid w:val="000C5AD6"/>
    <w:rsid w:val="000D1CC8"/>
    <w:rsid w:val="000D25D2"/>
    <w:rsid w:val="000D335E"/>
    <w:rsid w:val="000E28DC"/>
    <w:rsid w:val="000E394F"/>
    <w:rsid w:val="000E4731"/>
    <w:rsid w:val="000E7796"/>
    <w:rsid w:val="000E799E"/>
    <w:rsid w:val="000F01A5"/>
    <w:rsid w:val="000F029A"/>
    <w:rsid w:val="000F5317"/>
    <w:rsid w:val="00101CEE"/>
    <w:rsid w:val="00102E97"/>
    <w:rsid w:val="00107B85"/>
    <w:rsid w:val="0011015F"/>
    <w:rsid w:val="00110C8D"/>
    <w:rsid w:val="0011121F"/>
    <w:rsid w:val="001152C6"/>
    <w:rsid w:val="0011753F"/>
    <w:rsid w:val="001218FD"/>
    <w:rsid w:val="00122511"/>
    <w:rsid w:val="001230FD"/>
    <w:rsid w:val="00123150"/>
    <w:rsid w:val="00124D4A"/>
    <w:rsid w:val="00126538"/>
    <w:rsid w:val="00126995"/>
    <w:rsid w:val="001270FE"/>
    <w:rsid w:val="001272D9"/>
    <w:rsid w:val="0013411A"/>
    <w:rsid w:val="00134980"/>
    <w:rsid w:val="001357F2"/>
    <w:rsid w:val="00135E00"/>
    <w:rsid w:val="001365A3"/>
    <w:rsid w:val="00140C3C"/>
    <w:rsid w:val="001414D8"/>
    <w:rsid w:val="00142265"/>
    <w:rsid w:val="00150C33"/>
    <w:rsid w:val="00154795"/>
    <w:rsid w:val="0016055B"/>
    <w:rsid w:val="00161936"/>
    <w:rsid w:val="00162DDD"/>
    <w:rsid w:val="00162E62"/>
    <w:rsid w:val="00163FAD"/>
    <w:rsid w:val="001654D8"/>
    <w:rsid w:val="001815C1"/>
    <w:rsid w:val="001825C2"/>
    <w:rsid w:val="00182DD8"/>
    <w:rsid w:val="00184858"/>
    <w:rsid w:val="00186055"/>
    <w:rsid w:val="00191C11"/>
    <w:rsid w:val="00194031"/>
    <w:rsid w:val="00194AE8"/>
    <w:rsid w:val="00197CB1"/>
    <w:rsid w:val="001A0619"/>
    <w:rsid w:val="001A66B8"/>
    <w:rsid w:val="001A75C8"/>
    <w:rsid w:val="001B1548"/>
    <w:rsid w:val="001B3104"/>
    <w:rsid w:val="001B4D49"/>
    <w:rsid w:val="001B5845"/>
    <w:rsid w:val="001C2627"/>
    <w:rsid w:val="001D0A16"/>
    <w:rsid w:val="001D0C05"/>
    <w:rsid w:val="001D1C8A"/>
    <w:rsid w:val="001D2052"/>
    <w:rsid w:val="001D31F9"/>
    <w:rsid w:val="001E0116"/>
    <w:rsid w:val="001E0159"/>
    <w:rsid w:val="001E0786"/>
    <w:rsid w:val="001E2183"/>
    <w:rsid w:val="001E5154"/>
    <w:rsid w:val="001E5A27"/>
    <w:rsid w:val="001E5C54"/>
    <w:rsid w:val="001F0B23"/>
    <w:rsid w:val="001F1EEF"/>
    <w:rsid w:val="001F3682"/>
    <w:rsid w:val="001F3FFB"/>
    <w:rsid w:val="001F4C87"/>
    <w:rsid w:val="00201C89"/>
    <w:rsid w:val="00202065"/>
    <w:rsid w:val="00203912"/>
    <w:rsid w:val="00211750"/>
    <w:rsid w:val="00211FAB"/>
    <w:rsid w:val="00213334"/>
    <w:rsid w:val="00215B34"/>
    <w:rsid w:val="002160F6"/>
    <w:rsid w:val="00222C59"/>
    <w:rsid w:val="00225AA0"/>
    <w:rsid w:val="00225D3C"/>
    <w:rsid w:val="0022761F"/>
    <w:rsid w:val="00234783"/>
    <w:rsid w:val="002363F6"/>
    <w:rsid w:val="00237C7E"/>
    <w:rsid w:val="002401AC"/>
    <w:rsid w:val="002401C9"/>
    <w:rsid w:val="00240E40"/>
    <w:rsid w:val="002440FB"/>
    <w:rsid w:val="00245CBE"/>
    <w:rsid w:val="0025576C"/>
    <w:rsid w:val="00257169"/>
    <w:rsid w:val="00257B55"/>
    <w:rsid w:val="002726A9"/>
    <w:rsid w:val="00277AFD"/>
    <w:rsid w:val="00286D9A"/>
    <w:rsid w:val="00292380"/>
    <w:rsid w:val="002943F5"/>
    <w:rsid w:val="00295EDA"/>
    <w:rsid w:val="00296CF0"/>
    <w:rsid w:val="002A106A"/>
    <w:rsid w:val="002A4505"/>
    <w:rsid w:val="002A7816"/>
    <w:rsid w:val="002B0559"/>
    <w:rsid w:val="002B174B"/>
    <w:rsid w:val="002B1E74"/>
    <w:rsid w:val="002C524F"/>
    <w:rsid w:val="002D005F"/>
    <w:rsid w:val="002D4734"/>
    <w:rsid w:val="002D4BE2"/>
    <w:rsid w:val="002D6198"/>
    <w:rsid w:val="002E365C"/>
    <w:rsid w:val="002E776B"/>
    <w:rsid w:val="002F0B43"/>
    <w:rsid w:val="002F2E40"/>
    <w:rsid w:val="002F3C68"/>
    <w:rsid w:val="002F45BD"/>
    <w:rsid w:val="0030663C"/>
    <w:rsid w:val="00307275"/>
    <w:rsid w:val="00307C07"/>
    <w:rsid w:val="00307D2C"/>
    <w:rsid w:val="00312E27"/>
    <w:rsid w:val="003149E1"/>
    <w:rsid w:val="00320F60"/>
    <w:rsid w:val="00322BC2"/>
    <w:rsid w:val="00322DBA"/>
    <w:rsid w:val="003249D8"/>
    <w:rsid w:val="00326D8F"/>
    <w:rsid w:val="00327435"/>
    <w:rsid w:val="00333C8E"/>
    <w:rsid w:val="0033469D"/>
    <w:rsid w:val="003376F8"/>
    <w:rsid w:val="003424AE"/>
    <w:rsid w:val="003428C2"/>
    <w:rsid w:val="00345827"/>
    <w:rsid w:val="00347325"/>
    <w:rsid w:val="00347AC1"/>
    <w:rsid w:val="003509B4"/>
    <w:rsid w:val="003551CD"/>
    <w:rsid w:val="003563A5"/>
    <w:rsid w:val="0035758C"/>
    <w:rsid w:val="003627CC"/>
    <w:rsid w:val="00362ACF"/>
    <w:rsid w:val="00363232"/>
    <w:rsid w:val="00363378"/>
    <w:rsid w:val="0036496D"/>
    <w:rsid w:val="00365095"/>
    <w:rsid w:val="00367B7D"/>
    <w:rsid w:val="00370896"/>
    <w:rsid w:val="00373BD7"/>
    <w:rsid w:val="00376744"/>
    <w:rsid w:val="00380D5D"/>
    <w:rsid w:val="00382D5A"/>
    <w:rsid w:val="00383061"/>
    <w:rsid w:val="00390548"/>
    <w:rsid w:val="0039151A"/>
    <w:rsid w:val="00391561"/>
    <w:rsid w:val="00395841"/>
    <w:rsid w:val="003972AB"/>
    <w:rsid w:val="003972FB"/>
    <w:rsid w:val="003A088C"/>
    <w:rsid w:val="003A2608"/>
    <w:rsid w:val="003A27F3"/>
    <w:rsid w:val="003A3F3A"/>
    <w:rsid w:val="003A40B5"/>
    <w:rsid w:val="003A7ACA"/>
    <w:rsid w:val="003B37EF"/>
    <w:rsid w:val="003C0817"/>
    <w:rsid w:val="003C53A2"/>
    <w:rsid w:val="003C61EA"/>
    <w:rsid w:val="003D27B1"/>
    <w:rsid w:val="003D2AA1"/>
    <w:rsid w:val="003D2ED6"/>
    <w:rsid w:val="003E1003"/>
    <w:rsid w:val="003E19E6"/>
    <w:rsid w:val="003E4821"/>
    <w:rsid w:val="003F2455"/>
    <w:rsid w:val="003F275F"/>
    <w:rsid w:val="003F3942"/>
    <w:rsid w:val="003F4770"/>
    <w:rsid w:val="00400871"/>
    <w:rsid w:val="0040087C"/>
    <w:rsid w:val="00401FDD"/>
    <w:rsid w:val="00405123"/>
    <w:rsid w:val="00415345"/>
    <w:rsid w:val="004204BD"/>
    <w:rsid w:val="00420C24"/>
    <w:rsid w:val="00423357"/>
    <w:rsid w:val="004273C6"/>
    <w:rsid w:val="00430972"/>
    <w:rsid w:val="00431E38"/>
    <w:rsid w:val="00435195"/>
    <w:rsid w:val="0043567A"/>
    <w:rsid w:val="00441052"/>
    <w:rsid w:val="00443DE9"/>
    <w:rsid w:val="004460CD"/>
    <w:rsid w:val="00446140"/>
    <w:rsid w:val="004548A8"/>
    <w:rsid w:val="00457DED"/>
    <w:rsid w:val="00462635"/>
    <w:rsid w:val="0046571D"/>
    <w:rsid w:val="00466B5C"/>
    <w:rsid w:val="004707D0"/>
    <w:rsid w:val="00474076"/>
    <w:rsid w:val="00474083"/>
    <w:rsid w:val="00477552"/>
    <w:rsid w:val="00477A98"/>
    <w:rsid w:val="00481869"/>
    <w:rsid w:val="0048468E"/>
    <w:rsid w:val="00484AEF"/>
    <w:rsid w:val="00484E41"/>
    <w:rsid w:val="00493D2E"/>
    <w:rsid w:val="00495615"/>
    <w:rsid w:val="004A332B"/>
    <w:rsid w:val="004A3E17"/>
    <w:rsid w:val="004B1F30"/>
    <w:rsid w:val="004B49B3"/>
    <w:rsid w:val="004B6222"/>
    <w:rsid w:val="004C0E4D"/>
    <w:rsid w:val="004C115D"/>
    <w:rsid w:val="004D094A"/>
    <w:rsid w:val="004D1962"/>
    <w:rsid w:val="004D1B55"/>
    <w:rsid w:val="004D5035"/>
    <w:rsid w:val="004E2A87"/>
    <w:rsid w:val="004E2CD7"/>
    <w:rsid w:val="004E3842"/>
    <w:rsid w:val="004E40BB"/>
    <w:rsid w:val="004F126E"/>
    <w:rsid w:val="004F28E0"/>
    <w:rsid w:val="004F2F2F"/>
    <w:rsid w:val="004F423D"/>
    <w:rsid w:val="004F56A5"/>
    <w:rsid w:val="0050335B"/>
    <w:rsid w:val="0050769F"/>
    <w:rsid w:val="00516329"/>
    <w:rsid w:val="005175A9"/>
    <w:rsid w:val="00520850"/>
    <w:rsid w:val="0052101C"/>
    <w:rsid w:val="005225FD"/>
    <w:rsid w:val="00525E66"/>
    <w:rsid w:val="00526BEB"/>
    <w:rsid w:val="0053011A"/>
    <w:rsid w:val="00530D3D"/>
    <w:rsid w:val="00531FB6"/>
    <w:rsid w:val="00537A86"/>
    <w:rsid w:val="0054001F"/>
    <w:rsid w:val="00543D85"/>
    <w:rsid w:val="0054418C"/>
    <w:rsid w:val="00544E6B"/>
    <w:rsid w:val="005464C6"/>
    <w:rsid w:val="0054657E"/>
    <w:rsid w:val="005465FF"/>
    <w:rsid w:val="00547E58"/>
    <w:rsid w:val="00553DE7"/>
    <w:rsid w:val="00563F89"/>
    <w:rsid w:val="00565389"/>
    <w:rsid w:val="005669DD"/>
    <w:rsid w:val="00571FCF"/>
    <w:rsid w:val="0057238D"/>
    <w:rsid w:val="00573A0C"/>
    <w:rsid w:val="005746A0"/>
    <w:rsid w:val="00574C18"/>
    <w:rsid w:val="005752BF"/>
    <w:rsid w:val="0057788E"/>
    <w:rsid w:val="005818D7"/>
    <w:rsid w:val="00581A6A"/>
    <w:rsid w:val="00585511"/>
    <w:rsid w:val="00585CE1"/>
    <w:rsid w:val="00586940"/>
    <w:rsid w:val="005875BF"/>
    <w:rsid w:val="005911DF"/>
    <w:rsid w:val="00591D49"/>
    <w:rsid w:val="00595E8E"/>
    <w:rsid w:val="005965F4"/>
    <w:rsid w:val="00597C51"/>
    <w:rsid w:val="005A149D"/>
    <w:rsid w:val="005A223F"/>
    <w:rsid w:val="005A7604"/>
    <w:rsid w:val="005A7681"/>
    <w:rsid w:val="005A7B02"/>
    <w:rsid w:val="005B07BD"/>
    <w:rsid w:val="005B09F7"/>
    <w:rsid w:val="005B36CE"/>
    <w:rsid w:val="005C0FB2"/>
    <w:rsid w:val="005C1828"/>
    <w:rsid w:val="005C1893"/>
    <w:rsid w:val="005C706E"/>
    <w:rsid w:val="005D37BC"/>
    <w:rsid w:val="005D498E"/>
    <w:rsid w:val="005D56D1"/>
    <w:rsid w:val="005D7085"/>
    <w:rsid w:val="005D70D4"/>
    <w:rsid w:val="005D7B61"/>
    <w:rsid w:val="005E201C"/>
    <w:rsid w:val="005E3C31"/>
    <w:rsid w:val="005E6618"/>
    <w:rsid w:val="005F022B"/>
    <w:rsid w:val="005F065D"/>
    <w:rsid w:val="005F088C"/>
    <w:rsid w:val="005F0A1F"/>
    <w:rsid w:val="005F13F1"/>
    <w:rsid w:val="005F4181"/>
    <w:rsid w:val="005F4547"/>
    <w:rsid w:val="005F5145"/>
    <w:rsid w:val="005F59C6"/>
    <w:rsid w:val="005F73A2"/>
    <w:rsid w:val="005F7DBB"/>
    <w:rsid w:val="0060074B"/>
    <w:rsid w:val="00600B1F"/>
    <w:rsid w:val="006021C9"/>
    <w:rsid w:val="00602615"/>
    <w:rsid w:val="00604874"/>
    <w:rsid w:val="0061255B"/>
    <w:rsid w:val="006144D7"/>
    <w:rsid w:val="00614947"/>
    <w:rsid w:val="00622CC3"/>
    <w:rsid w:val="00623639"/>
    <w:rsid w:val="00623C32"/>
    <w:rsid w:val="00624028"/>
    <w:rsid w:val="00626C74"/>
    <w:rsid w:val="00627AAC"/>
    <w:rsid w:val="00635F5F"/>
    <w:rsid w:val="006370FF"/>
    <w:rsid w:val="00637868"/>
    <w:rsid w:val="00641472"/>
    <w:rsid w:val="00641FF8"/>
    <w:rsid w:val="0064448D"/>
    <w:rsid w:val="006463D7"/>
    <w:rsid w:val="00646D36"/>
    <w:rsid w:val="0064766D"/>
    <w:rsid w:val="00647F22"/>
    <w:rsid w:val="00650218"/>
    <w:rsid w:val="00653490"/>
    <w:rsid w:val="00655722"/>
    <w:rsid w:val="00661523"/>
    <w:rsid w:val="00664ED8"/>
    <w:rsid w:val="00667862"/>
    <w:rsid w:val="00667FE5"/>
    <w:rsid w:val="00671F77"/>
    <w:rsid w:val="006727B1"/>
    <w:rsid w:val="00673B38"/>
    <w:rsid w:val="00676578"/>
    <w:rsid w:val="00685E8B"/>
    <w:rsid w:val="0068708F"/>
    <w:rsid w:val="0068726A"/>
    <w:rsid w:val="00690AD5"/>
    <w:rsid w:val="006935E1"/>
    <w:rsid w:val="006962C3"/>
    <w:rsid w:val="00696BFF"/>
    <w:rsid w:val="006A014D"/>
    <w:rsid w:val="006A1FAB"/>
    <w:rsid w:val="006A268F"/>
    <w:rsid w:val="006A4464"/>
    <w:rsid w:val="006A52D7"/>
    <w:rsid w:val="006A5C8B"/>
    <w:rsid w:val="006A6899"/>
    <w:rsid w:val="006B372D"/>
    <w:rsid w:val="006B4BCF"/>
    <w:rsid w:val="006B6D8A"/>
    <w:rsid w:val="006C0358"/>
    <w:rsid w:val="006C443A"/>
    <w:rsid w:val="006C6F19"/>
    <w:rsid w:val="006C7F4F"/>
    <w:rsid w:val="006D13D7"/>
    <w:rsid w:val="006D1AE3"/>
    <w:rsid w:val="006D1DDE"/>
    <w:rsid w:val="006D2B74"/>
    <w:rsid w:val="006D32FC"/>
    <w:rsid w:val="006D4C82"/>
    <w:rsid w:val="006D53D2"/>
    <w:rsid w:val="006D56EE"/>
    <w:rsid w:val="006D612F"/>
    <w:rsid w:val="006E3587"/>
    <w:rsid w:val="006E4857"/>
    <w:rsid w:val="006E51A9"/>
    <w:rsid w:val="006F7506"/>
    <w:rsid w:val="006F7715"/>
    <w:rsid w:val="0070040F"/>
    <w:rsid w:val="00701234"/>
    <w:rsid w:val="007058E9"/>
    <w:rsid w:val="007065B4"/>
    <w:rsid w:val="0070732A"/>
    <w:rsid w:val="00710723"/>
    <w:rsid w:val="00710893"/>
    <w:rsid w:val="007111F5"/>
    <w:rsid w:val="007147AF"/>
    <w:rsid w:val="007169C2"/>
    <w:rsid w:val="00716B75"/>
    <w:rsid w:val="00717265"/>
    <w:rsid w:val="00717B47"/>
    <w:rsid w:val="00721C21"/>
    <w:rsid w:val="00722B38"/>
    <w:rsid w:val="00726421"/>
    <w:rsid w:val="00731073"/>
    <w:rsid w:val="007313CB"/>
    <w:rsid w:val="00737BBB"/>
    <w:rsid w:val="00737C83"/>
    <w:rsid w:val="00737FC8"/>
    <w:rsid w:val="0074049C"/>
    <w:rsid w:val="007428DD"/>
    <w:rsid w:val="0074565B"/>
    <w:rsid w:val="0074726B"/>
    <w:rsid w:val="007479C2"/>
    <w:rsid w:val="007536AB"/>
    <w:rsid w:val="007559AA"/>
    <w:rsid w:val="00766598"/>
    <w:rsid w:val="007665A0"/>
    <w:rsid w:val="00766831"/>
    <w:rsid w:val="00771AD4"/>
    <w:rsid w:val="00775898"/>
    <w:rsid w:val="00776DF5"/>
    <w:rsid w:val="00781500"/>
    <w:rsid w:val="00791B7C"/>
    <w:rsid w:val="007A25BA"/>
    <w:rsid w:val="007B1D46"/>
    <w:rsid w:val="007B21A4"/>
    <w:rsid w:val="007B399B"/>
    <w:rsid w:val="007C1F38"/>
    <w:rsid w:val="007C29A0"/>
    <w:rsid w:val="007C31C9"/>
    <w:rsid w:val="007C545B"/>
    <w:rsid w:val="007C67A9"/>
    <w:rsid w:val="007C71C6"/>
    <w:rsid w:val="007D37E4"/>
    <w:rsid w:val="007D5D2D"/>
    <w:rsid w:val="007E187B"/>
    <w:rsid w:val="007E254A"/>
    <w:rsid w:val="007E3395"/>
    <w:rsid w:val="007E5A85"/>
    <w:rsid w:val="007F327E"/>
    <w:rsid w:val="007F4ECE"/>
    <w:rsid w:val="007F6C7B"/>
    <w:rsid w:val="0080053F"/>
    <w:rsid w:val="00805EB6"/>
    <w:rsid w:val="008137D6"/>
    <w:rsid w:val="00815B90"/>
    <w:rsid w:val="00815CD2"/>
    <w:rsid w:val="00817BDD"/>
    <w:rsid w:val="00824D02"/>
    <w:rsid w:val="00824ED7"/>
    <w:rsid w:val="008257B3"/>
    <w:rsid w:val="00825D2D"/>
    <w:rsid w:val="0083113C"/>
    <w:rsid w:val="008346C1"/>
    <w:rsid w:val="00837053"/>
    <w:rsid w:val="00837B14"/>
    <w:rsid w:val="00837DE7"/>
    <w:rsid w:val="0084258B"/>
    <w:rsid w:val="008438CC"/>
    <w:rsid w:val="0084440D"/>
    <w:rsid w:val="0084526E"/>
    <w:rsid w:val="0084765E"/>
    <w:rsid w:val="008477EC"/>
    <w:rsid w:val="0085540B"/>
    <w:rsid w:val="0085648A"/>
    <w:rsid w:val="00860396"/>
    <w:rsid w:val="00872A6B"/>
    <w:rsid w:val="00872EE8"/>
    <w:rsid w:val="00875CC3"/>
    <w:rsid w:val="008812FF"/>
    <w:rsid w:val="00884653"/>
    <w:rsid w:val="0088501A"/>
    <w:rsid w:val="00887918"/>
    <w:rsid w:val="00894E2A"/>
    <w:rsid w:val="00895056"/>
    <w:rsid w:val="0089558F"/>
    <w:rsid w:val="00897967"/>
    <w:rsid w:val="008A1387"/>
    <w:rsid w:val="008A492D"/>
    <w:rsid w:val="008A4A9C"/>
    <w:rsid w:val="008A4F2F"/>
    <w:rsid w:val="008B2FDF"/>
    <w:rsid w:val="008B5A71"/>
    <w:rsid w:val="008B5C00"/>
    <w:rsid w:val="008C3681"/>
    <w:rsid w:val="008C4506"/>
    <w:rsid w:val="008D1086"/>
    <w:rsid w:val="008D5C7E"/>
    <w:rsid w:val="008D5E2E"/>
    <w:rsid w:val="008E01A2"/>
    <w:rsid w:val="008E520C"/>
    <w:rsid w:val="008F2454"/>
    <w:rsid w:val="008F3A5D"/>
    <w:rsid w:val="008F7192"/>
    <w:rsid w:val="009043A3"/>
    <w:rsid w:val="00905757"/>
    <w:rsid w:val="009073D5"/>
    <w:rsid w:val="00915549"/>
    <w:rsid w:val="009220B9"/>
    <w:rsid w:val="009241E1"/>
    <w:rsid w:val="00924D81"/>
    <w:rsid w:val="00930522"/>
    <w:rsid w:val="00930AD3"/>
    <w:rsid w:val="00930F97"/>
    <w:rsid w:val="00931E91"/>
    <w:rsid w:val="0093373A"/>
    <w:rsid w:val="00934648"/>
    <w:rsid w:val="0093480F"/>
    <w:rsid w:val="00935CB9"/>
    <w:rsid w:val="00935E76"/>
    <w:rsid w:val="0093694B"/>
    <w:rsid w:val="0093744D"/>
    <w:rsid w:val="0094126F"/>
    <w:rsid w:val="00942DD3"/>
    <w:rsid w:val="00944414"/>
    <w:rsid w:val="009448E2"/>
    <w:rsid w:val="00947823"/>
    <w:rsid w:val="00950B11"/>
    <w:rsid w:val="00952C88"/>
    <w:rsid w:val="00953295"/>
    <w:rsid w:val="00954087"/>
    <w:rsid w:val="00954BA7"/>
    <w:rsid w:val="00954F2F"/>
    <w:rsid w:val="0095784D"/>
    <w:rsid w:val="00957D81"/>
    <w:rsid w:val="009679D8"/>
    <w:rsid w:val="00970EDA"/>
    <w:rsid w:val="009722FC"/>
    <w:rsid w:val="009725B6"/>
    <w:rsid w:val="00980D51"/>
    <w:rsid w:val="00983EB7"/>
    <w:rsid w:val="00984612"/>
    <w:rsid w:val="00985C17"/>
    <w:rsid w:val="0099116C"/>
    <w:rsid w:val="00993382"/>
    <w:rsid w:val="00993A6F"/>
    <w:rsid w:val="00994369"/>
    <w:rsid w:val="00995285"/>
    <w:rsid w:val="00997951"/>
    <w:rsid w:val="009A0AFD"/>
    <w:rsid w:val="009A4F06"/>
    <w:rsid w:val="009A7B49"/>
    <w:rsid w:val="009B0EEE"/>
    <w:rsid w:val="009C08DB"/>
    <w:rsid w:val="009C0D48"/>
    <w:rsid w:val="009C199A"/>
    <w:rsid w:val="009C4134"/>
    <w:rsid w:val="009C41D6"/>
    <w:rsid w:val="009C713A"/>
    <w:rsid w:val="009C72B9"/>
    <w:rsid w:val="009C7CED"/>
    <w:rsid w:val="009D068B"/>
    <w:rsid w:val="009D277C"/>
    <w:rsid w:val="009D34BC"/>
    <w:rsid w:val="009D44F2"/>
    <w:rsid w:val="009D4B1F"/>
    <w:rsid w:val="009D4CC6"/>
    <w:rsid w:val="009D6F81"/>
    <w:rsid w:val="009D7C8E"/>
    <w:rsid w:val="009E2B79"/>
    <w:rsid w:val="009F0D9D"/>
    <w:rsid w:val="009F6F5A"/>
    <w:rsid w:val="009F7381"/>
    <w:rsid w:val="009F78AC"/>
    <w:rsid w:val="00A01820"/>
    <w:rsid w:val="00A022B7"/>
    <w:rsid w:val="00A038A8"/>
    <w:rsid w:val="00A03A1F"/>
    <w:rsid w:val="00A06D6D"/>
    <w:rsid w:val="00A06E66"/>
    <w:rsid w:val="00A0750D"/>
    <w:rsid w:val="00A13214"/>
    <w:rsid w:val="00A1365D"/>
    <w:rsid w:val="00A148A6"/>
    <w:rsid w:val="00A14D29"/>
    <w:rsid w:val="00A179F4"/>
    <w:rsid w:val="00A2158B"/>
    <w:rsid w:val="00A22892"/>
    <w:rsid w:val="00A23918"/>
    <w:rsid w:val="00A25802"/>
    <w:rsid w:val="00A25EC5"/>
    <w:rsid w:val="00A273A7"/>
    <w:rsid w:val="00A277A0"/>
    <w:rsid w:val="00A41AD8"/>
    <w:rsid w:val="00A447FE"/>
    <w:rsid w:val="00A465EE"/>
    <w:rsid w:val="00A4684A"/>
    <w:rsid w:val="00A5118C"/>
    <w:rsid w:val="00A53387"/>
    <w:rsid w:val="00A535C9"/>
    <w:rsid w:val="00A54328"/>
    <w:rsid w:val="00A57F47"/>
    <w:rsid w:val="00A6765F"/>
    <w:rsid w:val="00A7078C"/>
    <w:rsid w:val="00A70F11"/>
    <w:rsid w:val="00A71496"/>
    <w:rsid w:val="00A8023A"/>
    <w:rsid w:val="00A80D21"/>
    <w:rsid w:val="00A80F94"/>
    <w:rsid w:val="00A83112"/>
    <w:rsid w:val="00A8348C"/>
    <w:rsid w:val="00A93084"/>
    <w:rsid w:val="00A97C89"/>
    <w:rsid w:val="00A97FF0"/>
    <w:rsid w:val="00AA377B"/>
    <w:rsid w:val="00AA471A"/>
    <w:rsid w:val="00AB69B0"/>
    <w:rsid w:val="00AB72EA"/>
    <w:rsid w:val="00AC0117"/>
    <w:rsid w:val="00AC0D01"/>
    <w:rsid w:val="00AC1C60"/>
    <w:rsid w:val="00AC2B13"/>
    <w:rsid w:val="00AC74B8"/>
    <w:rsid w:val="00AD0101"/>
    <w:rsid w:val="00AD31C8"/>
    <w:rsid w:val="00AD77F4"/>
    <w:rsid w:val="00AE0E99"/>
    <w:rsid w:val="00AE70C7"/>
    <w:rsid w:val="00AF5E74"/>
    <w:rsid w:val="00AF6C19"/>
    <w:rsid w:val="00B00C39"/>
    <w:rsid w:val="00B02D35"/>
    <w:rsid w:val="00B04BED"/>
    <w:rsid w:val="00B1562A"/>
    <w:rsid w:val="00B16D9C"/>
    <w:rsid w:val="00B170D1"/>
    <w:rsid w:val="00B21A1D"/>
    <w:rsid w:val="00B22054"/>
    <w:rsid w:val="00B23D18"/>
    <w:rsid w:val="00B25603"/>
    <w:rsid w:val="00B25AC2"/>
    <w:rsid w:val="00B26DD8"/>
    <w:rsid w:val="00B27E60"/>
    <w:rsid w:val="00B3004A"/>
    <w:rsid w:val="00B32640"/>
    <w:rsid w:val="00B33B3F"/>
    <w:rsid w:val="00B34998"/>
    <w:rsid w:val="00B34C05"/>
    <w:rsid w:val="00B41278"/>
    <w:rsid w:val="00B43415"/>
    <w:rsid w:val="00B43EE1"/>
    <w:rsid w:val="00B54ADB"/>
    <w:rsid w:val="00B60B7C"/>
    <w:rsid w:val="00B60CF9"/>
    <w:rsid w:val="00B67094"/>
    <w:rsid w:val="00B67B17"/>
    <w:rsid w:val="00B73277"/>
    <w:rsid w:val="00B81BBB"/>
    <w:rsid w:val="00B84F69"/>
    <w:rsid w:val="00B9482C"/>
    <w:rsid w:val="00B9511A"/>
    <w:rsid w:val="00B951F7"/>
    <w:rsid w:val="00B964A1"/>
    <w:rsid w:val="00BA05A5"/>
    <w:rsid w:val="00BA1258"/>
    <w:rsid w:val="00BA1833"/>
    <w:rsid w:val="00BA1A17"/>
    <w:rsid w:val="00BA72D0"/>
    <w:rsid w:val="00BB1379"/>
    <w:rsid w:val="00BB4B9A"/>
    <w:rsid w:val="00BB592B"/>
    <w:rsid w:val="00BB60A7"/>
    <w:rsid w:val="00BC143B"/>
    <w:rsid w:val="00BC5513"/>
    <w:rsid w:val="00BC5966"/>
    <w:rsid w:val="00BC7070"/>
    <w:rsid w:val="00BD130B"/>
    <w:rsid w:val="00BD3F73"/>
    <w:rsid w:val="00BD610C"/>
    <w:rsid w:val="00BE0E19"/>
    <w:rsid w:val="00BE1659"/>
    <w:rsid w:val="00BE7F5F"/>
    <w:rsid w:val="00BF04B8"/>
    <w:rsid w:val="00BF2E65"/>
    <w:rsid w:val="00BF6AB7"/>
    <w:rsid w:val="00C0272D"/>
    <w:rsid w:val="00C039AA"/>
    <w:rsid w:val="00C057A0"/>
    <w:rsid w:val="00C111EA"/>
    <w:rsid w:val="00C1398F"/>
    <w:rsid w:val="00C1751A"/>
    <w:rsid w:val="00C2144A"/>
    <w:rsid w:val="00C2198B"/>
    <w:rsid w:val="00C235A1"/>
    <w:rsid w:val="00C23EB7"/>
    <w:rsid w:val="00C31BD7"/>
    <w:rsid w:val="00C33193"/>
    <w:rsid w:val="00C36554"/>
    <w:rsid w:val="00C36B60"/>
    <w:rsid w:val="00C42433"/>
    <w:rsid w:val="00C46C5E"/>
    <w:rsid w:val="00C46CB3"/>
    <w:rsid w:val="00C47878"/>
    <w:rsid w:val="00C56708"/>
    <w:rsid w:val="00C573DC"/>
    <w:rsid w:val="00C62311"/>
    <w:rsid w:val="00C62A23"/>
    <w:rsid w:val="00C649BA"/>
    <w:rsid w:val="00C65A29"/>
    <w:rsid w:val="00C67F67"/>
    <w:rsid w:val="00C77D05"/>
    <w:rsid w:val="00C8255C"/>
    <w:rsid w:val="00C82F51"/>
    <w:rsid w:val="00C83839"/>
    <w:rsid w:val="00C847CE"/>
    <w:rsid w:val="00C871C2"/>
    <w:rsid w:val="00C87F70"/>
    <w:rsid w:val="00C900B2"/>
    <w:rsid w:val="00C93611"/>
    <w:rsid w:val="00C93FA0"/>
    <w:rsid w:val="00CA10D2"/>
    <w:rsid w:val="00CA3D5E"/>
    <w:rsid w:val="00CA4D84"/>
    <w:rsid w:val="00CA6B28"/>
    <w:rsid w:val="00CA6B7B"/>
    <w:rsid w:val="00CA6E0F"/>
    <w:rsid w:val="00CA7047"/>
    <w:rsid w:val="00CB34B2"/>
    <w:rsid w:val="00CB382F"/>
    <w:rsid w:val="00CB4B89"/>
    <w:rsid w:val="00CB64B1"/>
    <w:rsid w:val="00CB6F65"/>
    <w:rsid w:val="00CC0144"/>
    <w:rsid w:val="00CC0948"/>
    <w:rsid w:val="00CC27CA"/>
    <w:rsid w:val="00CC29D1"/>
    <w:rsid w:val="00CC2E96"/>
    <w:rsid w:val="00CC3BA5"/>
    <w:rsid w:val="00CC3C51"/>
    <w:rsid w:val="00CC5A1F"/>
    <w:rsid w:val="00CD1AD8"/>
    <w:rsid w:val="00CD4A6C"/>
    <w:rsid w:val="00CD643F"/>
    <w:rsid w:val="00CE242A"/>
    <w:rsid w:val="00CE5315"/>
    <w:rsid w:val="00CE77F6"/>
    <w:rsid w:val="00CF2653"/>
    <w:rsid w:val="00CF2C0C"/>
    <w:rsid w:val="00CF6454"/>
    <w:rsid w:val="00CF6ACE"/>
    <w:rsid w:val="00D04641"/>
    <w:rsid w:val="00D0593C"/>
    <w:rsid w:val="00D12BF4"/>
    <w:rsid w:val="00D14F3D"/>
    <w:rsid w:val="00D14F77"/>
    <w:rsid w:val="00D173DB"/>
    <w:rsid w:val="00D20C33"/>
    <w:rsid w:val="00D25983"/>
    <w:rsid w:val="00D273D0"/>
    <w:rsid w:val="00D316C6"/>
    <w:rsid w:val="00D358AC"/>
    <w:rsid w:val="00D361B5"/>
    <w:rsid w:val="00D4068D"/>
    <w:rsid w:val="00D40E90"/>
    <w:rsid w:val="00D41C10"/>
    <w:rsid w:val="00D47AA5"/>
    <w:rsid w:val="00D57F06"/>
    <w:rsid w:val="00D6510A"/>
    <w:rsid w:val="00D7352D"/>
    <w:rsid w:val="00D73F43"/>
    <w:rsid w:val="00D743B5"/>
    <w:rsid w:val="00D7671F"/>
    <w:rsid w:val="00D80731"/>
    <w:rsid w:val="00D808FE"/>
    <w:rsid w:val="00D832B9"/>
    <w:rsid w:val="00D8371A"/>
    <w:rsid w:val="00D83C66"/>
    <w:rsid w:val="00D84693"/>
    <w:rsid w:val="00D85497"/>
    <w:rsid w:val="00D9008E"/>
    <w:rsid w:val="00D91DC5"/>
    <w:rsid w:val="00D974D0"/>
    <w:rsid w:val="00DA2692"/>
    <w:rsid w:val="00DA5786"/>
    <w:rsid w:val="00DA5CA8"/>
    <w:rsid w:val="00DA615F"/>
    <w:rsid w:val="00DB1270"/>
    <w:rsid w:val="00DB288F"/>
    <w:rsid w:val="00DB4DD8"/>
    <w:rsid w:val="00DB5B25"/>
    <w:rsid w:val="00DC00B6"/>
    <w:rsid w:val="00DC2C87"/>
    <w:rsid w:val="00DD7426"/>
    <w:rsid w:val="00DE0322"/>
    <w:rsid w:val="00DE49C8"/>
    <w:rsid w:val="00DF5513"/>
    <w:rsid w:val="00DF64EA"/>
    <w:rsid w:val="00E01192"/>
    <w:rsid w:val="00E02055"/>
    <w:rsid w:val="00E02E29"/>
    <w:rsid w:val="00E02ED4"/>
    <w:rsid w:val="00E0438E"/>
    <w:rsid w:val="00E0564C"/>
    <w:rsid w:val="00E06C4A"/>
    <w:rsid w:val="00E06D5B"/>
    <w:rsid w:val="00E10728"/>
    <w:rsid w:val="00E113A5"/>
    <w:rsid w:val="00E152EF"/>
    <w:rsid w:val="00E16A72"/>
    <w:rsid w:val="00E21C68"/>
    <w:rsid w:val="00E25A5D"/>
    <w:rsid w:val="00E2624E"/>
    <w:rsid w:val="00E26CF7"/>
    <w:rsid w:val="00E347D9"/>
    <w:rsid w:val="00E36E72"/>
    <w:rsid w:val="00E36EF9"/>
    <w:rsid w:val="00E403BF"/>
    <w:rsid w:val="00E41F88"/>
    <w:rsid w:val="00E42346"/>
    <w:rsid w:val="00E442BE"/>
    <w:rsid w:val="00E44B3C"/>
    <w:rsid w:val="00E518AF"/>
    <w:rsid w:val="00E55245"/>
    <w:rsid w:val="00E60869"/>
    <w:rsid w:val="00E6350E"/>
    <w:rsid w:val="00E6369A"/>
    <w:rsid w:val="00E70518"/>
    <w:rsid w:val="00E7173C"/>
    <w:rsid w:val="00E7593A"/>
    <w:rsid w:val="00E76EA9"/>
    <w:rsid w:val="00E775D4"/>
    <w:rsid w:val="00E8094C"/>
    <w:rsid w:val="00E82F0F"/>
    <w:rsid w:val="00E8364F"/>
    <w:rsid w:val="00E906AD"/>
    <w:rsid w:val="00E91334"/>
    <w:rsid w:val="00E97360"/>
    <w:rsid w:val="00EA1BEE"/>
    <w:rsid w:val="00EA1FF9"/>
    <w:rsid w:val="00EA4A7A"/>
    <w:rsid w:val="00EA4FDB"/>
    <w:rsid w:val="00EB2748"/>
    <w:rsid w:val="00EB2B43"/>
    <w:rsid w:val="00EB61E4"/>
    <w:rsid w:val="00EB680F"/>
    <w:rsid w:val="00EB7F80"/>
    <w:rsid w:val="00EC3D67"/>
    <w:rsid w:val="00ED165B"/>
    <w:rsid w:val="00ED4988"/>
    <w:rsid w:val="00ED6079"/>
    <w:rsid w:val="00EE0AD6"/>
    <w:rsid w:val="00EE0B95"/>
    <w:rsid w:val="00EE21E5"/>
    <w:rsid w:val="00EE2BDE"/>
    <w:rsid w:val="00EE4FEC"/>
    <w:rsid w:val="00EE5BF4"/>
    <w:rsid w:val="00EE6DC6"/>
    <w:rsid w:val="00EF09A2"/>
    <w:rsid w:val="00EF504A"/>
    <w:rsid w:val="00EF50A2"/>
    <w:rsid w:val="00F02FE9"/>
    <w:rsid w:val="00F03C71"/>
    <w:rsid w:val="00F055C6"/>
    <w:rsid w:val="00F10CB0"/>
    <w:rsid w:val="00F125DB"/>
    <w:rsid w:val="00F127D3"/>
    <w:rsid w:val="00F16EC3"/>
    <w:rsid w:val="00F21E5F"/>
    <w:rsid w:val="00F24208"/>
    <w:rsid w:val="00F24D98"/>
    <w:rsid w:val="00F300A9"/>
    <w:rsid w:val="00F30640"/>
    <w:rsid w:val="00F30C29"/>
    <w:rsid w:val="00F30FCC"/>
    <w:rsid w:val="00F3125D"/>
    <w:rsid w:val="00F3240A"/>
    <w:rsid w:val="00F3521B"/>
    <w:rsid w:val="00F35ED0"/>
    <w:rsid w:val="00F36CAD"/>
    <w:rsid w:val="00F4393A"/>
    <w:rsid w:val="00F4509D"/>
    <w:rsid w:val="00F45828"/>
    <w:rsid w:val="00F466EE"/>
    <w:rsid w:val="00F46D9D"/>
    <w:rsid w:val="00F47261"/>
    <w:rsid w:val="00F5020F"/>
    <w:rsid w:val="00F5075D"/>
    <w:rsid w:val="00F5153D"/>
    <w:rsid w:val="00F519DF"/>
    <w:rsid w:val="00F536E2"/>
    <w:rsid w:val="00F554CA"/>
    <w:rsid w:val="00F610F8"/>
    <w:rsid w:val="00F61579"/>
    <w:rsid w:val="00F64698"/>
    <w:rsid w:val="00F655EA"/>
    <w:rsid w:val="00F676C7"/>
    <w:rsid w:val="00F76164"/>
    <w:rsid w:val="00F77617"/>
    <w:rsid w:val="00F81368"/>
    <w:rsid w:val="00F82427"/>
    <w:rsid w:val="00F84F08"/>
    <w:rsid w:val="00F861C3"/>
    <w:rsid w:val="00F8799E"/>
    <w:rsid w:val="00F90F7C"/>
    <w:rsid w:val="00F91EFF"/>
    <w:rsid w:val="00F96BA4"/>
    <w:rsid w:val="00F9768B"/>
    <w:rsid w:val="00F97835"/>
    <w:rsid w:val="00FA1CD7"/>
    <w:rsid w:val="00FB0819"/>
    <w:rsid w:val="00FB2E71"/>
    <w:rsid w:val="00FB5531"/>
    <w:rsid w:val="00FB5DD6"/>
    <w:rsid w:val="00FC0B12"/>
    <w:rsid w:val="00FC54AF"/>
    <w:rsid w:val="00FC5C0C"/>
    <w:rsid w:val="00FC6528"/>
    <w:rsid w:val="00FC7156"/>
    <w:rsid w:val="00FC75EC"/>
    <w:rsid w:val="00FD1465"/>
    <w:rsid w:val="00FD26C8"/>
    <w:rsid w:val="00FD4480"/>
    <w:rsid w:val="00FD4FA3"/>
    <w:rsid w:val="00FD677D"/>
    <w:rsid w:val="00FE14DD"/>
    <w:rsid w:val="00FE4AF5"/>
    <w:rsid w:val="00FF0390"/>
    <w:rsid w:val="00FF160A"/>
    <w:rsid w:val="00FF3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CD0EAB2-615F-41B7-BDF7-A5AAE1B3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semiHidden="1"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19" w:qFormat="1"/>
    <w:lsdException w:name="heading 6" w:semiHidden="1" w:uiPriority="1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8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D3D"/>
    <w:rPr>
      <w:rFonts w:eastAsiaTheme="minorHAnsi"/>
      <w:lang w:eastAsia="en-US"/>
    </w:rPr>
  </w:style>
  <w:style w:type="paragraph" w:styleId="Heading1">
    <w:name w:val="heading 1"/>
    <w:basedOn w:val="Normal"/>
    <w:next w:val="Normal"/>
    <w:link w:val="Heading1Char"/>
    <w:uiPriority w:val="9"/>
    <w:qFormat/>
    <w:rsid w:val="00053E9F"/>
    <w:pPr>
      <w:keepNext/>
      <w:numPr>
        <w:numId w:val="29"/>
      </w:numPr>
      <w:spacing w:before="480" w:after="240"/>
      <w:outlineLvl w:val="0"/>
    </w:pPr>
    <w:rPr>
      <w:color w:val="003468" w:themeColor="text2"/>
      <w:sz w:val="44"/>
    </w:rPr>
  </w:style>
  <w:style w:type="paragraph" w:styleId="Heading2">
    <w:name w:val="heading 2"/>
    <w:basedOn w:val="Normal"/>
    <w:next w:val="Normal"/>
    <w:link w:val="Heading2Char"/>
    <w:uiPriority w:val="9"/>
    <w:qFormat/>
    <w:rsid w:val="00401FDD"/>
    <w:pPr>
      <w:keepNext/>
      <w:numPr>
        <w:ilvl w:val="1"/>
        <w:numId w:val="29"/>
      </w:numPr>
      <w:spacing w:before="480" w:after="180"/>
      <w:outlineLvl w:val="1"/>
    </w:pPr>
    <w:rPr>
      <w:color w:val="003468" w:themeColor="text2"/>
      <w:sz w:val="34"/>
    </w:rPr>
  </w:style>
  <w:style w:type="paragraph" w:styleId="Heading3">
    <w:name w:val="heading 3"/>
    <w:basedOn w:val="Normal"/>
    <w:next w:val="Normal"/>
    <w:link w:val="Heading3Char"/>
    <w:uiPriority w:val="9"/>
    <w:qFormat/>
    <w:rsid w:val="00401FDD"/>
    <w:pPr>
      <w:keepNext/>
      <w:spacing w:before="480" w:after="60"/>
      <w:ind w:left="720" w:hanging="720"/>
      <w:outlineLvl w:val="2"/>
    </w:pPr>
    <w:rPr>
      <w:color w:val="003468" w:themeColor="text2"/>
      <w:sz w:val="28"/>
    </w:rPr>
  </w:style>
  <w:style w:type="paragraph" w:styleId="Heading4">
    <w:name w:val="heading 4"/>
    <w:basedOn w:val="Normal"/>
    <w:next w:val="Normal"/>
    <w:link w:val="Heading4Char"/>
    <w:uiPriority w:val="9"/>
    <w:qFormat/>
    <w:rsid w:val="00401FDD"/>
    <w:pPr>
      <w:keepNext/>
      <w:numPr>
        <w:ilvl w:val="3"/>
        <w:numId w:val="29"/>
      </w:numPr>
      <w:spacing w:before="240" w:after="60"/>
      <w:outlineLvl w:val="3"/>
    </w:pPr>
    <w:rPr>
      <w:color w:val="003468" w:themeColor="text2"/>
      <w:sz w:val="24"/>
    </w:rPr>
  </w:style>
  <w:style w:type="paragraph" w:styleId="Heading5">
    <w:name w:val="heading 5"/>
    <w:basedOn w:val="Normal"/>
    <w:next w:val="Normal"/>
    <w:link w:val="Heading5Char"/>
    <w:uiPriority w:val="19"/>
    <w:qFormat/>
    <w:rsid w:val="00211750"/>
    <w:pPr>
      <w:spacing w:after="120"/>
      <w:outlineLvl w:val="4"/>
    </w:pPr>
    <w:rPr>
      <w:b/>
    </w:rPr>
  </w:style>
  <w:style w:type="paragraph" w:styleId="Heading6">
    <w:name w:val="heading 6"/>
    <w:basedOn w:val="Normal"/>
    <w:next w:val="Normal"/>
    <w:link w:val="Heading6Char"/>
    <w:uiPriority w:val="19"/>
    <w:unhideWhenUsed/>
    <w:qFormat/>
    <w:rsid w:val="005D56D1"/>
    <w:pPr>
      <w:keepNext/>
      <w:keepLines/>
      <w:numPr>
        <w:ilvl w:val="5"/>
        <w:numId w:val="29"/>
      </w:numPr>
      <w:spacing w:before="200" w:after="60"/>
      <w:outlineLvl w:val="5"/>
    </w:pPr>
    <w:rPr>
      <w:rFonts w:eastAsia="Calibri" w:cstheme="majorBidi"/>
      <w:b/>
      <w:iCs/>
      <w:color w:val="000000" w:themeColor="text1"/>
    </w:rPr>
  </w:style>
  <w:style w:type="paragraph" w:styleId="Heading7">
    <w:name w:val="heading 7"/>
    <w:basedOn w:val="Normal"/>
    <w:next w:val="Normal"/>
    <w:link w:val="Heading7Char"/>
    <w:uiPriority w:val="99"/>
    <w:semiHidden/>
    <w:rsid w:val="00401F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rsid w:val="00401F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rsid w:val="00401FD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DD"/>
    <w:rPr>
      <w:rFonts w:ascii="Tahoma" w:hAnsi="Tahoma" w:cs="Tahoma"/>
      <w:sz w:val="16"/>
      <w:szCs w:val="16"/>
    </w:rPr>
  </w:style>
  <w:style w:type="paragraph" w:customStyle="1" w:styleId="Bullet">
    <w:name w:val="Bullet"/>
    <w:basedOn w:val="Normal"/>
    <w:link w:val="BulletChar"/>
    <w:uiPriority w:val="2"/>
    <w:rsid w:val="00401FDD"/>
    <w:pPr>
      <w:numPr>
        <w:numId w:val="2"/>
      </w:numPr>
      <w:suppressAutoHyphens/>
    </w:pPr>
  </w:style>
  <w:style w:type="character" w:customStyle="1" w:styleId="BulletChar">
    <w:name w:val="Bullet Char"/>
    <w:basedOn w:val="DefaultParagraphFont"/>
    <w:link w:val="Bullet"/>
    <w:uiPriority w:val="2"/>
    <w:rsid w:val="00401FDD"/>
    <w:rPr>
      <w:rFonts w:eastAsiaTheme="minorHAnsi"/>
      <w:lang w:eastAsia="en-US"/>
    </w:rPr>
  </w:style>
  <w:style w:type="paragraph" w:styleId="Caption">
    <w:name w:val="caption"/>
    <w:basedOn w:val="Normal"/>
    <w:next w:val="Normal"/>
    <w:uiPriority w:val="39"/>
    <w:semiHidden/>
    <w:rsid w:val="00401FDD"/>
    <w:pPr>
      <w:keepNext/>
      <w:spacing w:before="240"/>
      <w:jc w:val="center"/>
    </w:pPr>
    <w:rPr>
      <w:bCs/>
    </w:rPr>
  </w:style>
  <w:style w:type="paragraph" w:customStyle="1" w:styleId="Clientnamecover">
    <w:name w:val="Client name (cover)"/>
    <w:basedOn w:val="Normal"/>
    <w:uiPriority w:val="99"/>
    <w:semiHidden/>
    <w:rsid w:val="00401FDD"/>
    <w:rPr>
      <w:b/>
      <w:color w:val="717074" w:themeColor="background2"/>
      <w:sz w:val="32"/>
    </w:rPr>
  </w:style>
  <w:style w:type="paragraph" w:customStyle="1" w:styleId="Contentsheading">
    <w:name w:val="Contents heading"/>
    <w:next w:val="Normal"/>
    <w:uiPriority w:val="89"/>
    <w:semiHidden/>
    <w:rsid w:val="00401FDD"/>
    <w:pPr>
      <w:spacing w:after="600"/>
    </w:pPr>
    <w:rPr>
      <w:rFonts w:cs="Times New Roman"/>
      <w:color w:val="003468" w:themeColor="text2"/>
      <w:sz w:val="44"/>
      <w:szCs w:val="19"/>
    </w:rPr>
  </w:style>
  <w:style w:type="paragraph" w:customStyle="1" w:styleId="Copyright">
    <w:name w:val="Copyright"/>
    <w:basedOn w:val="Normal"/>
    <w:uiPriority w:val="99"/>
    <w:semiHidden/>
    <w:rsid w:val="00401FDD"/>
    <w:pPr>
      <w:spacing w:after="0"/>
    </w:pPr>
    <w:rPr>
      <w:sz w:val="20"/>
    </w:rPr>
  </w:style>
  <w:style w:type="paragraph" w:customStyle="1" w:styleId="Covertitle">
    <w:name w:val="Cover title"/>
    <w:basedOn w:val="Normal"/>
    <w:link w:val="CovertitleChar"/>
    <w:uiPriority w:val="99"/>
    <w:semiHidden/>
    <w:rsid w:val="00401FDD"/>
    <w:pPr>
      <w:suppressAutoHyphens/>
      <w:spacing w:after="0" w:line="720" w:lineRule="exact"/>
    </w:pPr>
    <w:rPr>
      <w:color w:val="003468" w:themeColor="text2"/>
      <w:sz w:val="84"/>
    </w:rPr>
  </w:style>
  <w:style w:type="character" w:customStyle="1" w:styleId="CovertitleChar">
    <w:name w:val="Cover title Char"/>
    <w:basedOn w:val="DefaultParagraphFont"/>
    <w:link w:val="Covertitle"/>
    <w:uiPriority w:val="99"/>
    <w:semiHidden/>
    <w:rsid w:val="00401FDD"/>
    <w:rPr>
      <w:rFonts w:cs="Times New Roman"/>
      <w:color w:val="003468" w:themeColor="text2"/>
      <w:sz w:val="84"/>
      <w:szCs w:val="19"/>
    </w:rPr>
  </w:style>
  <w:style w:type="paragraph" w:customStyle="1" w:styleId="Coverclient">
    <w:name w:val="Cover client"/>
    <w:basedOn w:val="Covertitle"/>
    <w:uiPriority w:val="99"/>
    <w:semiHidden/>
    <w:rsid w:val="00401FDD"/>
    <w:pPr>
      <w:spacing w:before="480" w:line="380" w:lineRule="exact"/>
    </w:pPr>
    <w:rPr>
      <w:sz w:val="36"/>
    </w:rPr>
  </w:style>
  <w:style w:type="paragraph" w:customStyle="1" w:styleId="Coverdate">
    <w:name w:val="Cover date"/>
    <w:basedOn w:val="Coverclient"/>
    <w:uiPriority w:val="99"/>
    <w:semiHidden/>
    <w:rsid w:val="00401FDD"/>
    <w:pPr>
      <w:spacing w:before="320" w:line="280" w:lineRule="exact"/>
    </w:pPr>
    <w:rPr>
      <w:color w:val="717074" w:themeColor="background2"/>
      <w:sz w:val="24"/>
    </w:rPr>
  </w:style>
  <w:style w:type="paragraph" w:customStyle="1" w:styleId="CoverPage-Client">
    <w:name w:val="Cover Page - Client"/>
    <w:basedOn w:val="Coverclient"/>
    <w:link w:val="CoverPage-ClientChar"/>
    <w:uiPriority w:val="99"/>
    <w:semiHidden/>
    <w:rsid w:val="00401FDD"/>
  </w:style>
  <w:style w:type="character" w:customStyle="1" w:styleId="CoverPage-ClientChar">
    <w:name w:val="Cover Page - Client Char"/>
    <w:basedOn w:val="DefaultParagraphFont"/>
    <w:link w:val="CoverPage-Client"/>
    <w:uiPriority w:val="99"/>
    <w:semiHidden/>
    <w:rsid w:val="00401FDD"/>
    <w:rPr>
      <w:rFonts w:cs="Times New Roman"/>
      <w:color w:val="003468" w:themeColor="text2"/>
      <w:sz w:val="36"/>
      <w:szCs w:val="19"/>
    </w:rPr>
  </w:style>
  <w:style w:type="paragraph" w:customStyle="1" w:styleId="CoverPage-Date">
    <w:name w:val="Cover Page - Date"/>
    <w:basedOn w:val="Coverdate"/>
    <w:link w:val="CoverPage-DateChar"/>
    <w:uiPriority w:val="99"/>
    <w:semiHidden/>
    <w:rsid w:val="00401FDD"/>
  </w:style>
  <w:style w:type="character" w:customStyle="1" w:styleId="CoverPage-DateChar">
    <w:name w:val="Cover Page - Date Char"/>
    <w:basedOn w:val="DefaultParagraphFont"/>
    <w:link w:val="CoverPage-Date"/>
    <w:uiPriority w:val="99"/>
    <w:semiHidden/>
    <w:rsid w:val="00401FDD"/>
    <w:rPr>
      <w:rFonts w:cs="Times New Roman"/>
      <w:color w:val="717074" w:themeColor="background2"/>
      <w:sz w:val="24"/>
      <w:szCs w:val="19"/>
    </w:rPr>
  </w:style>
  <w:style w:type="paragraph" w:styleId="Footer">
    <w:name w:val="footer"/>
    <w:basedOn w:val="Normal"/>
    <w:link w:val="FooterChar"/>
    <w:uiPriority w:val="99"/>
    <w:rsid w:val="00401FDD"/>
    <w:pPr>
      <w:spacing w:after="0"/>
      <w:jc w:val="right"/>
    </w:pPr>
    <w:rPr>
      <w:b/>
      <w:color w:val="717074" w:themeColor="background2"/>
      <w:spacing w:val="20"/>
      <w:sz w:val="16"/>
      <w:szCs w:val="16"/>
    </w:rPr>
  </w:style>
  <w:style w:type="character" w:customStyle="1" w:styleId="FooterChar">
    <w:name w:val="Footer Char"/>
    <w:basedOn w:val="DefaultParagraphFont"/>
    <w:link w:val="Footer"/>
    <w:uiPriority w:val="99"/>
    <w:rsid w:val="00401FDD"/>
    <w:rPr>
      <w:rFonts w:cs="Times New Roman"/>
      <w:b/>
      <w:color w:val="717074" w:themeColor="background2"/>
      <w:spacing w:val="20"/>
      <w:sz w:val="16"/>
      <w:szCs w:val="16"/>
    </w:rPr>
  </w:style>
  <w:style w:type="character" w:customStyle="1" w:styleId="Heading1Char">
    <w:name w:val="Heading 1 Char"/>
    <w:basedOn w:val="DefaultParagraphFont"/>
    <w:link w:val="Heading1"/>
    <w:uiPriority w:val="9"/>
    <w:rsid w:val="00053E9F"/>
    <w:rPr>
      <w:rFonts w:eastAsiaTheme="minorHAnsi"/>
      <w:color w:val="003468" w:themeColor="text2"/>
      <w:sz w:val="44"/>
      <w:lang w:eastAsia="en-US"/>
    </w:rPr>
  </w:style>
  <w:style w:type="character" w:customStyle="1" w:styleId="Heading2Char">
    <w:name w:val="Heading 2 Char"/>
    <w:basedOn w:val="DefaultParagraphFont"/>
    <w:link w:val="Heading2"/>
    <w:uiPriority w:val="9"/>
    <w:rsid w:val="00401FDD"/>
    <w:rPr>
      <w:rFonts w:eastAsiaTheme="minorHAnsi"/>
      <w:color w:val="003468" w:themeColor="text2"/>
      <w:sz w:val="34"/>
      <w:lang w:eastAsia="en-US"/>
    </w:rPr>
  </w:style>
  <w:style w:type="character" w:customStyle="1" w:styleId="Heading3Char">
    <w:name w:val="Heading 3 Char"/>
    <w:basedOn w:val="DefaultParagraphFont"/>
    <w:link w:val="Heading3"/>
    <w:uiPriority w:val="9"/>
    <w:rsid w:val="00401FDD"/>
    <w:rPr>
      <w:rFonts w:eastAsiaTheme="minorHAnsi"/>
      <w:color w:val="003468" w:themeColor="text2"/>
      <w:sz w:val="28"/>
      <w:lang w:eastAsia="en-US"/>
    </w:rPr>
  </w:style>
  <w:style w:type="character" w:customStyle="1" w:styleId="Heading4Char">
    <w:name w:val="Heading 4 Char"/>
    <w:basedOn w:val="DefaultParagraphFont"/>
    <w:link w:val="Heading4"/>
    <w:uiPriority w:val="9"/>
    <w:rsid w:val="00401FDD"/>
    <w:rPr>
      <w:rFonts w:eastAsiaTheme="minorHAnsi"/>
      <w:color w:val="003468" w:themeColor="text2"/>
      <w:sz w:val="24"/>
      <w:lang w:eastAsia="en-US"/>
    </w:rPr>
  </w:style>
  <w:style w:type="character" w:customStyle="1" w:styleId="Heading5Char">
    <w:name w:val="Heading 5 Char"/>
    <w:basedOn w:val="DefaultParagraphFont"/>
    <w:link w:val="Heading5"/>
    <w:uiPriority w:val="19"/>
    <w:rsid w:val="00211750"/>
    <w:rPr>
      <w:rFonts w:eastAsiaTheme="minorHAnsi"/>
      <w:b/>
      <w:lang w:eastAsia="en-US"/>
    </w:rPr>
  </w:style>
  <w:style w:type="character" w:customStyle="1" w:styleId="Heading6Char">
    <w:name w:val="Heading 6 Char"/>
    <w:basedOn w:val="DefaultParagraphFont"/>
    <w:link w:val="Heading6"/>
    <w:uiPriority w:val="19"/>
    <w:rsid w:val="005D56D1"/>
    <w:rPr>
      <w:rFonts w:eastAsia="Calibri" w:cstheme="majorBidi"/>
      <w:b/>
      <w:iCs/>
      <w:color w:val="000000" w:themeColor="text1"/>
      <w:lang w:eastAsia="en-US"/>
    </w:rPr>
  </w:style>
  <w:style w:type="paragraph" w:customStyle="1" w:styleId="footerwebaddress">
    <w:name w:val="footer web address"/>
    <w:basedOn w:val="Footer"/>
    <w:uiPriority w:val="99"/>
    <w:semiHidden/>
    <w:rsid w:val="00401FDD"/>
    <w:rPr>
      <w:color w:val="4D4D4D"/>
      <w:sz w:val="14"/>
    </w:rPr>
  </w:style>
  <w:style w:type="paragraph" w:customStyle="1" w:styleId="Coverproposition">
    <w:name w:val="Cover proposition"/>
    <w:basedOn w:val="footerwebaddress"/>
    <w:uiPriority w:val="99"/>
    <w:semiHidden/>
    <w:rsid w:val="00401FDD"/>
    <w:pPr>
      <w:tabs>
        <w:tab w:val="left" w:pos="567"/>
        <w:tab w:val="right" w:pos="8505"/>
      </w:tabs>
    </w:pPr>
    <w:rPr>
      <w:b w:val="0"/>
      <w:color w:val="F8981D" w:themeColor="accent1"/>
      <w:spacing w:val="0"/>
      <w:sz w:val="22"/>
    </w:rPr>
  </w:style>
  <w:style w:type="paragraph" w:customStyle="1" w:styleId="CoverPage-Footer">
    <w:name w:val="Cover Page - Footer"/>
    <w:basedOn w:val="Coverproposition"/>
    <w:link w:val="CoverPage-FooterChar"/>
    <w:uiPriority w:val="99"/>
    <w:semiHidden/>
    <w:qFormat/>
    <w:rsid w:val="00401FDD"/>
    <w:pPr>
      <w:tabs>
        <w:tab w:val="clear" w:pos="567"/>
        <w:tab w:val="clear" w:pos="8505"/>
      </w:tabs>
      <w:jc w:val="left"/>
    </w:pPr>
    <w:rPr>
      <w:szCs w:val="21"/>
    </w:rPr>
  </w:style>
  <w:style w:type="character" w:customStyle="1" w:styleId="CoverPage-FooterChar">
    <w:name w:val="Cover Page - Footer Char"/>
    <w:basedOn w:val="DefaultParagraphFont"/>
    <w:link w:val="CoverPage-Footer"/>
    <w:uiPriority w:val="99"/>
    <w:semiHidden/>
    <w:rsid w:val="00401FDD"/>
    <w:rPr>
      <w:rFonts w:cs="Times New Roman"/>
      <w:color w:val="F8981D" w:themeColor="accent1"/>
      <w:szCs w:val="21"/>
    </w:rPr>
  </w:style>
  <w:style w:type="paragraph" w:customStyle="1" w:styleId="CoverPage-Title">
    <w:name w:val="Cover Page - Title"/>
    <w:basedOn w:val="Covertitle"/>
    <w:link w:val="CoverPage-TitleChar"/>
    <w:uiPriority w:val="99"/>
    <w:semiHidden/>
    <w:rsid w:val="00401FDD"/>
  </w:style>
  <w:style w:type="character" w:customStyle="1" w:styleId="CoverPage-TitleChar">
    <w:name w:val="Cover Page - Title Char"/>
    <w:basedOn w:val="DefaultParagraphFont"/>
    <w:link w:val="CoverPage-Title"/>
    <w:uiPriority w:val="99"/>
    <w:semiHidden/>
    <w:rsid w:val="00401FDD"/>
    <w:rPr>
      <w:rFonts w:cs="Times New Roman"/>
      <w:color w:val="003468" w:themeColor="text2"/>
      <w:sz w:val="84"/>
      <w:szCs w:val="19"/>
    </w:rPr>
  </w:style>
  <w:style w:type="paragraph" w:customStyle="1" w:styleId="Figure">
    <w:name w:val="Figure"/>
    <w:basedOn w:val="Normal"/>
    <w:next w:val="Normal"/>
    <w:uiPriority w:val="40"/>
    <w:unhideWhenUsed/>
    <w:rsid w:val="00401FDD"/>
    <w:pPr>
      <w:jc w:val="center"/>
    </w:pPr>
  </w:style>
  <w:style w:type="character" w:styleId="FollowedHyperlink">
    <w:name w:val="FollowedHyperlink"/>
    <w:basedOn w:val="DefaultParagraphFont"/>
    <w:uiPriority w:val="89"/>
    <w:semiHidden/>
    <w:rsid w:val="00401FDD"/>
    <w:rPr>
      <w:color w:val="auto"/>
      <w:u w:val="single"/>
    </w:rPr>
  </w:style>
  <w:style w:type="character" w:styleId="FootnoteReference">
    <w:name w:val="footnote reference"/>
    <w:basedOn w:val="DefaultParagraphFont"/>
    <w:uiPriority w:val="99"/>
    <w:semiHidden/>
    <w:rsid w:val="00401FDD"/>
    <w:rPr>
      <w:rFonts w:cs="Times New Roman"/>
      <w:color w:val="404040" w:themeColor="text1" w:themeTint="BF"/>
      <w:sz w:val="20"/>
      <w:szCs w:val="20"/>
      <w:vertAlign w:val="superscript"/>
    </w:rPr>
  </w:style>
  <w:style w:type="paragraph" w:styleId="FootnoteText">
    <w:name w:val="footnote text"/>
    <w:basedOn w:val="Normal"/>
    <w:link w:val="FootnoteTextChar"/>
    <w:uiPriority w:val="99"/>
    <w:rsid w:val="00401FDD"/>
    <w:pPr>
      <w:spacing w:after="0"/>
      <w:ind w:left="102" w:hanging="102"/>
    </w:pPr>
    <w:rPr>
      <w:color w:val="4D4D4D"/>
      <w:sz w:val="16"/>
      <w:szCs w:val="20"/>
    </w:rPr>
  </w:style>
  <w:style w:type="character" w:customStyle="1" w:styleId="FootnoteTextChar">
    <w:name w:val="Footnote Text Char"/>
    <w:basedOn w:val="DefaultParagraphFont"/>
    <w:link w:val="FootnoteText"/>
    <w:uiPriority w:val="99"/>
    <w:rsid w:val="00401FDD"/>
    <w:rPr>
      <w:rFonts w:cs="Times New Roman"/>
      <w:color w:val="4D4D4D"/>
      <w:sz w:val="16"/>
      <w:szCs w:val="20"/>
    </w:rPr>
  </w:style>
  <w:style w:type="paragraph" w:styleId="Header">
    <w:name w:val="header"/>
    <w:basedOn w:val="Normal"/>
    <w:link w:val="HeaderChar"/>
    <w:uiPriority w:val="99"/>
    <w:semiHidden/>
    <w:rsid w:val="00401FDD"/>
    <w:pPr>
      <w:spacing w:after="0"/>
    </w:pPr>
    <w:rPr>
      <w:color w:val="404040" w:themeColor="text1" w:themeTint="BF"/>
      <w:sz w:val="15"/>
    </w:rPr>
  </w:style>
  <w:style w:type="character" w:customStyle="1" w:styleId="HeaderChar">
    <w:name w:val="Header Char"/>
    <w:basedOn w:val="DefaultParagraphFont"/>
    <w:link w:val="Header"/>
    <w:uiPriority w:val="99"/>
    <w:semiHidden/>
    <w:rsid w:val="00401FDD"/>
    <w:rPr>
      <w:rFonts w:cs="Times New Roman"/>
      <w:color w:val="404040" w:themeColor="text1" w:themeTint="BF"/>
      <w:sz w:val="15"/>
      <w:szCs w:val="19"/>
    </w:rPr>
  </w:style>
  <w:style w:type="numbering" w:customStyle="1" w:styleId="HeadingList">
    <w:name w:val="Heading List"/>
    <w:uiPriority w:val="99"/>
    <w:rsid w:val="00401FDD"/>
    <w:pPr>
      <w:numPr>
        <w:numId w:val="1"/>
      </w:numPr>
    </w:pPr>
  </w:style>
  <w:style w:type="character" w:styleId="Hyperlink">
    <w:name w:val="Hyperlink"/>
    <w:basedOn w:val="DefaultParagraphFont"/>
    <w:uiPriority w:val="99"/>
    <w:rsid w:val="00401FDD"/>
    <w:rPr>
      <w:color w:val="auto"/>
      <w:u w:val="single"/>
    </w:rPr>
  </w:style>
  <w:style w:type="paragraph" w:customStyle="1" w:styleId="NousGroupLogo">
    <w:name w:val="Nous Group Logo"/>
    <w:link w:val="NousGroupLogoChar"/>
    <w:uiPriority w:val="99"/>
    <w:semiHidden/>
    <w:rsid w:val="00401FDD"/>
    <w:pPr>
      <w:spacing w:after="0"/>
    </w:pPr>
    <w:rPr>
      <w:rFonts w:cs="Times New Roman"/>
      <w:b/>
      <w:color w:val="717074" w:themeColor="background2"/>
      <w:spacing w:val="20"/>
      <w:sz w:val="16"/>
      <w:szCs w:val="16"/>
    </w:rPr>
  </w:style>
  <w:style w:type="character" w:customStyle="1" w:styleId="NousGroupLogoChar">
    <w:name w:val="Nous Group Logo Char"/>
    <w:basedOn w:val="FooterChar"/>
    <w:link w:val="NousGroupLogo"/>
    <w:uiPriority w:val="99"/>
    <w:semiHidden/>
    <w:rsid w:val="00401FDD"/>
    <w:rPr>
      <w:rFonts w:cs="Times New Roman"/>
      <w:b/>
      <w:color w:val="717074" w:themeColor="background2"/>
      <w:spacing w:val="20"/>
      <w:sz w:val="16"/>
      <w:szCs w:val="16"/>
    </w:rPr>
  </w:style>
  <w:style w:type="table" w:customStyle="1" w:styleId="NousTable">
    <w:name w:val="Nous Table"/>
    <w:basedOn w:val="TableNormal"/>
    <w:uiPriority w:val="99"/>
    <w:rsid w:val="005C706E"/>
    <w:pPr>
      <w:spacing w:after="0"/>
    </w:pPr>
    <w:tblPr>
      <w:tblStyleRowBandSize w:val="1"/>
      <w:jc w:val="center"/>
      <w:tblBorders>
        <w:insideH w:val="single" w:sz="4" w:space="0" w:color="FAC177" w:themeColor="accent1" w:themeTint="99"/>
        <w:insideV w:val="single" w:sz="4" w:space="0" w:color="FAC177"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8981D" w:themeFill="accent1"/>
      </w:tcPr>
    </w:tblStylePr>
    <w:tblStylePr w:type="lastRow">
      <w:tblPr/>
      <w:tcPr>
        <w:tcBorders>
          <w:top w:val="double" w:sz="4" w:space="0" w:color="F8981D" w:themeColor="accent1"/>
        </w:tcBorders>
      </w:tcPr>
    </w:tblStylePr>
    <w:tblStylePr w:type="firstCol">
      <w:rPr>
        <w:b w:val="0"/>
        <w:color w:val="FFFFFF" w:themeColor="background1"/>
      </w:rPr>
      <w:tblPr/>
      <w:tcPr>
        <w:shd w:val="clear" w:color="auto" w:fill="F8981D" w:themeFill="accent1"/>
      </w:tcPr>
    </w:tblStylePr>
    <w:tblStylePr w:type="lastCol">
      <w:tblPr/>
      <w:tcPr>
        <w:tcBorders>
          <w:left w:val="double" w:sz="4" w:space="0" w:color="F8981D" w:themeColor="accent1"/>
        </w:tcBorders>
      </w:tcPr>
    </w:tblStylePr>
  </w:style>
  <w:style w:type="paragraph" w:customStyle="1" w:styleId="Table-Expbullet">
    <w:name w:val="Table - Exp bullet"/>
    <w:basedOn w:val="TableNBullet"/>
    <w:link w:val="Table-ExpbulletChar"/>
    <w:uiPriority w:val="10"/>
    <w:rsid w:val="00401FDD"/>
    <w:rPr>
      <w:sz w:val="18"/>
      <w:szCs w:val="17"/>
    </w:rPr>
  </w:style>
  <w:style w:type="character" w:customStyle="1" w:styleId="Table-ExpbulletChar">
    <w:name w:val="Table - Exp bullet Char"/>
    <w:basedOn w:val="TableNBulletChar"/>
    <w:link w:val="Table-Expbullet"/>
    <w:uiPriority w:val="10"/>
    <w:rsid w:val="00401FDD"/>
    <w:rPr>
      <w:rFonts w:eastAsiaTheme="minorHAnsi"/>
      <w:sz w:val="18"/>
      <w:szCs w:val="17"/>
      <w:lang w:eastAsia="en-US"/>
    </w:rPr>
  </w:style>
  <w:style w:type="paragraph" w:customStyle="1" w:styleId="Table-Expheader">
    <w:name w:val="Table - Exp header"/>
    <w:basedOn w:val="Table-ExpText"/>
    <w:next w:val="Table-ExpText"/>
    <w:uiPriority w:val="10"/>
    <w:rsid w:val="00401FDD"/>
    <w:pPr>
      <w:spacing w:before="20" w:after="20"/>
    </w:pPr>
    <w:rPr>
      <w:b/>
      <w:color w:val="FFFFFF" w:themeColor="background1"/>
    </w:rPr>
  </w:style>
  <w:style w:type="paragraph" w:customStyle="1" w:styleId="Table-ExpListNumbered">
    <w:name w:val="Table - Exp List (Numbered)"/>
    <w:basedOn w:val="Listnumbered"/>
    <w:link w:val="Table-ExpListNumberedChar"/>
    <w:uiPriority w:val="10"/>
    <w:rsid w:val="00401FDD"/>
    <w:pPr>
      <w:numPr>
        <w:numId w:val="6"/>
      </w:numPr>
      <w:spacing w:before="60" w:after="60"/>
    </w:pPr>
    <w:rPr>
      <w:sz w:val="18"/>
    </w:rPr>
  </w:style>
  <w:style w:type="character" w:customStyle="1" w:styleId="Table-ExpListNumberedChar">
    <w:name w:val="Table - Exp List (Numbered) Char"/>
    <w:basedOn w:val="ListnumberedChar"/>
    <w:link w:val="Table-ExpListNumbered"/>
    <w:uiPriority w:val="10"/>
    <w:rsid w:val="00401FDD"/>
    <w:rPr>
      <w:rFonts w:eastAsiaTheme="minorHAnsi"/>
      <w:sz w:val="18"/>
      <w:lang w:eastAsia="en-US"/>
    </w:rPr>
  </w:style>
  <w:style w:type="paragraph" w:customStyle="1" w:styleId="Table-ExpText">
    <w:name w:val="Table - Exp Text"/>
    <w:basedOn w:val="TableNText"/>
    <w:uiPriority w:val="10"/>
    <w:rsid w:val="00401FDD"/>
    <w:rPr>
      <w:sz w:val="18"/>
      <w:szCs w:val="17"/>
    </w:rPr>
  </w:style>
  <w:style w:type="paragraph" w:customStyle="1" w:styleId="TableNBullet">
    <w:name w:val="Table N Bullet"/>
    <w:basedOn w:val="Bullet"/>
    <w:link w:val="TableNBulletChar"/>
    <w:uiPriority w:val="9"/>
    <w:rsid w:val="00401FDD"/>
    <w:pPr>
      <w:numPr>
        <w:numId w:val="5"/>
      </w:numPr>
      <w:spacing w:before="60" w:after="60"/>
    </w:pPr>
  </w:style>
  <w:style w:type="character" w:customStyle="1" w:styleId="TableNBulletChar">
    <w:name w:val="Table N Bullet Char"/>
    <w:basedOn w:val="DefaultParagraphFont"/>
    <w:link w:val="TableNBullet"/>
    <w:uiPriority w:val="9"/>
    <w:rsid w:val="00401FDD"/>
    <w:rPr>
      <w:rFonts w:eastAsiaTheme="minorHAnsi"/>
      <w:lang w:eastAsia="en-US"/>
    </w:rPr>
  </w:style>
  <w:style w:type="paragraph" w:customStyle="1" w:styleId="TableNHeader">
    <w:name w:val="Table N Header"/>
    <w:basedOn w:val="TableNText"/>
    <w:next w:val="TableNText"/>
    <w:link w:val="TableNHeaderChar"/>
    <w:uiPriority w:val="9"/>
    <w:rsid w:val="00401FDD"/>
    <w:pPr>
      <w:spacing w:before="20" w:after="20"/>
    </w:pPr>
    <w:rPr>
      <w:b/>
      <w:color w:val="FFFFFF" w:themeColor="background1"/>
    </w:rPr>
  </w:style>
  <w:style w:type="character" w:customStyle="1" w:styleId="TableNHeaderChar">
    <w:name w:val="Table N Header Char"/>
    <w:basedOn w:val="TableNTextChar"/>
    <w:link w:val="TableNHeader"/>
    <w:uiPriority w:val="9"/>
    <w:rsid w:val="00401FDD"/>
    <w:rPr>
      <w:rFonts w:cs="Times New Roman"/>
      <w:b/>
      <w:color w:val="FFFFFF" w:themeColor="background1"/>
      <w:sz w:val="21"/>
      <w:szCs w:val="19"/>
    </w:rPr>
  </w:style>
  <w:style w:type="paragraph" w:customStyle="1" w:styleId="TableNListNumbered">
    <w:name w:val="Table N List (Numbered)"/>
    <w:basedOn w:val="Listnumbered"/>
    <w:link w:val="TableNListNumberedChar"/>
    <w:uiPriority w:val="9"/>
    <w:rsid w:val="00401FDD"/>
    <w:pPr>
      <w:numPr>
        <w:numId w:val="8"/>
      </w:numPr>
      <w:spacing w:before="60" w:after="60"/>
    </w:pPr>
  </w:style>
  <w:style w:type="character" w:customStyle="1" w:styleId="TableNListNumberedChar">
    <w:name w:val="Table N List (Numbered) Char"/>
    <w:basedOn w:val="ListnumberedChar"/>
    <w:link w:val="TableNListNumbered"/>
    <w:uiPriority w:val="9"/>
    <w:rsid w:val="00401FDD"/>
    <w:rPr>
      <w:rFonts w:eastAsiaTheme="minorHAnsi"/>
      <w:lang w:eastAsia="en-US"/>
    </w:rPr>
  </w:style>
  <w:style w:type="paragraph" w:customStyle="1" w:styleId="TableNText">
    <w:name w:val="Table N Text"/>
    <w:link w:val="TableNTextChar"/>
    <w:uiPriority w:val="9"/>
    <w:rsid w:val="00401FDD"/>
    <w:pPr>
      <w:spacing w:before="60" w:after="60"/>
    </w:pPr>
    <w:rPr>
      <w:rFonts w:cs="Times New Roman"/>
      <w:sz w:val="21"/>
      <w:szCs w:val="19"/>
    </w:rPr>
  </w:style>
  <w:style w:type="paragraph" w:customStyle="1" w:styleId="Titlecover">
    <w:name w:val="Title (cover)"/>
    <w:basedOn w:val="Normal"/>
    <w:uiPriority w:val="99"/>
    <w:semiHidden/>
    <w:rsid w:val="00401FDD"/>
    <w:pPr>
      <w:jc w:val="center"/>
    </w:pPr>
    <w:rPr>
      <w:color w:val="072F67"/>
      <w:sz w:val="44"/>
    </w:rPr>
  </w:style>
  <w:style w:type="paragraph" w:customStyle="1" w:styleId="URL-groupcomau">
    <w:name w:val="URL - group.com.au"/>
    <w:basedOn w:val="Normal"/>
    <w:link w:val="URL-groupcomauChar"/>
    <w:uiPriority w:val="89"/>
    <w:semiHidden/>
    <w:qFormat/>
    <w:rsid w:val="00401FDD"/>
    <w:pPr>
      <w:spacing w:after="0"/>
    </w:pPr>
    <w:rPr>
      <w:color w:val="003468" w:themeColor="text2"/>
      <w:spacing w:val="20"/>
      <w:sz w:val="14"/>
    </w:rPr>
  </w:style>
  <w:style w:type="character" w:customStyle="1" w:styleId="URL-groupcomauChar">
    <w:name w:val="URL - group.com.au Char"/>
    <w:basedOn w:val="DefaultParagraphFont"/>
    <w:link w:val="URL-groupcomau"/>
    <w:uiPriority w:val="89"/>
    <w:semiHidden/>
    <w:rsid w:val="00401FDD"/>
    <w:rPr>
      <w:rFonts w:cs="Times New Roman"/>
      <w:color w:val="003468" w:themeColor="text2"/>
      <w:spacing w:val="20"/>
      <w:sz w:val="14"/>
      <w:szCs w:val="19"/>
    </w:rPr>
  </w:style>
  <w:style w:type="paragraph" w:customStyle="1" w:styleId="URL-nous">
    <w:name w:val="URL - nous"/>
    <w:basedOn w:val="Normal"/>
    <w:link w:val="URL-nousChar"/>
    <w:uiPriority w:val="89"/>
    <w:semiHidden/>
    <w:qFormat/>
    <w:rsid w:val="00401FDD"/>
    <w:pPr>
      <w:spacing w:after="0"/>
    </w:pPr>
    <w:rPr>
      <w:color w:val="F8981D" w:themeColor="accent1"/>
      <w:spacing w:val="20"/>
      <w:sz w:val="14"/>
    </w:rPr>
  </w:style>
  <w:style w:type="character" w:customStyle="1" w:styleId="URL-nousChar">
    <w:name w:val="URL - nous Char"/>
    <w:basedOn w:val="DefaultParagraphFont"/>
    <w:link w:val="URL-nous"/>
    <w:uiPriority w:val="89"/>
    <w:semiHidden/>
    <w:rsid w:val="00401FDD"/>
    <w:rPr>
      <w:rFonts w:cs="Times New Roman"/>
      <w:color w:val="F8981D" w:themeColor="accent1"/>
      <w:spacing w:val="20"/>
      <w:sz w:val="14"/>
      <w:szCs w:val="19"/>
    </w:rPr>
  </w:style>
  <w:style w:type="character" w:customStyle="1" w:styleId="Heading7Char">
    <w:name w:val="Heading 7 Char"/>
    <w:basedOn w:val="DefaultParagraphFont"/>
    <w:link w:val="Heading7"/>
    <w:uiPriority w:val="99"/>
    <w:rsid w:val="00401FDD"/>
    <w:rPr>
      <w:rFonts w:asciiTheme="majorHAnsi" w:eastAsiaTheme="majorEastAsia" w:hAnsiTheme="majorHAnsi" w:cstheme="majorBidi"/>
      <w:i/>
      <w:iCs/>
      <w:color w:val="404040" w:themeColor="text1" w:themeTint="BF"/>
      <w:sz w:val="21"/>
      <w:szCs w:val="19"/>
    </w:rPr>
  </w:style>
  <w:style w:type="character" w:customStyle="1" w:styleId="Heading8Char">
    <w:name w:val="Heading 8 Char"/>
    <w:basedOn w:val="DefaultParagraphFont"/>
    <w:link w:val="Heading8"/>
    <w:uiPriority w:val="99"/>
    <w:rsid w:val="00401F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401FDD"/>
    <w:rPr>
      <w:rFonts w:asciiTheme="majorHAnsi" w:eastAsiaTheme="majorEastAsia" w:hAnsiTheme="majorHAnsi" w:cstheme="majorBidi"/>
      <w:i/>
      <w:iCs/>
      <w:color w:val="404040" w:themeColor="text1" w:themeTint="BF"/>
      <w:sz w:val="20"/>
      <w:szCs w:val="20"/>
      <w:lang w:eastAsia="en-US"/>
    </w:rPr>
  </w:style>
  <w:style w:type="character" w:styleId="PlaceholderText">
    <w:name w:val="Placeholder Text"/>
    <w:basedOn w:val="DefaultParagraphFont"/>
    <w:uiPriority w:val="99"/>
    <w:semiHidden/>
    <w:rsid w:val="00401FDD"/>
    <w:rPr>
      <w:color w:val="808080"/>
    </w:rPr>
  </w:style>
  <w:style w:type="paragraph" w:customStyle="1" w:styleId="xAppendixLevel1">
    <w:name w:val="xAppendix Level 1"/>
    <w:basedOn w:val="Heading1"/>
    <w:next w:val="Normal"/>
    <w:uiPriority w:val="98"/>
    <w:rsid w:val="00401FDD"/>
    <w:pPr>
      <w:pageBreakBefore/>
      <w:numPr>
        <w:numId w:val="7"/>
      </w:numPr>
    </w:pPr>
  </w:style>
  <w:style w:type="paragraph" w:customStyle="1" w:styleId="xAppendixLevel2">
    <w:name w:val="xAppendix Level 2"/>
    <w:basedOn w:val="Heading2"/>
    <w:next w:val="Normal"/>
    <w:uiPriority w:val="98"/>
    <w:rsid w:val="00401FDD"/>
    <w:pPr>
      <w:numPr>
        <w:numId w:val="7"/>
      </w:numPr>
    </w:pPr>
  </w:style>
  <w:style w:type="paragraph" w:customStyle="1" w:styleId="xAppendixLevel3">
    <w:name w:val="xAppendix Level 3"/>
    <w:basedOn w:val="Heading3"/>
    <w:next w:val="Normal"/>
    <w:uiPriority w:val="98"/>
    <w:rsid w:val="00401FDD"/>
    <w:pPr>
      <w:ind w:left="2268" w:hanging="2268"/>
    </w:pPr>
  </w:style>
  <w:style w:type="character" w:customStyle="1" w:styleId="TableNTextChar">
    <w:name w:val="Table N Text Char"/>
    <w:basedOn w:val="DefaultParagraphFont"/>
    <w:link w:val="TableNText"/>
    <w:uiPriority w:val="9"/>
    <w:rsid w:val="00401FDD"/>
    <w:rPr>
      <w:rFonts w:cs="Times New Roman"/>
      <w:sz w:val="21"/>
      <w:szCs w:val="19"/>
    </w:rPr>
  </w:style>
  <w:style w:type="paragraph" w:customStyle="1" w:styleId="Listnumbered">
    <w:name w:val="List (numbered)"/>
    <w:basedOn w:val="Normal"/>
    <w:link w:val="ListnumberedChar"/>
    <w:uiPriority w:val="4"/>
    <w:rsid w:val="00401FDD"/>
    <w:pPr>
      <w:numPr>
        <w:numId w:val="4"/>
      </w:numPr>
      <w:suppressAutoHyphens/>
    </w:pPr>
  </w:style>
  <w:style w:type="character" w:customStyle="1" w:styleId="ListnumberedChar">
    <w:name w:val="List (numbered) Char"/>
    <w:basedOn w:val="DefaultParagraphFont"/>
    <w:link w:val="Listnumbered"/>
    <w:uiPriority w:val="4"/>
    <w:rsid w:val="00401FDD"/>
    <w:rPr>
      <w:rFonts w:eastAsiaTheme="minorHAnsi"/>
      <w:lang w:eastAsia="en-US"/>
    </w:rPr>
  </w:style>
  <w:style w:type="paragraph" w:customStyle="1" w:styleId="Source">
    <w:name w:val="Source"/>
    <w:basedOn w:val="Normal"/>
    <w:next w:val="Normal"/>
    <w:link w:val="SourceChar"/>
    <w:uiPriority w:val="39"/>
    <w:rsid w:val="00401FDD"/>
    <w:pPr>
      <w:spacing w:before="120" w:after="240"/>
      <w:jc w:val="center"/>
    </w:pPr>
    <w:rPr>
      <w:i/>
      <w:sz w:val="19"/>
    </w:rPr>
  </w:style>
  <w:style w:type="character" w:customStyle="1" w:styleId="SourceChar">
    <w:name w:val="Source Char"/>
    <w:basedOn w:val="DefaultParagraphFont"/>
    <w:link w:val="Source"/>
    <w:uiPriority w:val="39"/>
    <w:rsid w:val="00401FDD"/>
    <w:rPr>
      <w:rFonts w:cs="Times New Roman"/>
      <w:i/>
      <w:sz w:val="19"/>
      <w:szCs w:val="19"/>
    </w:rPr>
  </w:style>
  <w:style w:type="paragraph" w:styleId="TOC1">
    <w:name w:val="toc 1"/>
    <w:basedOn w:val="Normal"/>
    <w:next w:val="Normal"/>
    <w:uiPriority w:val="39"/>
    <w:rsid w:val="00401FDD"/>
    <w:pPr>
      <w:tabs>
        <w:tab w:val="left" w:pos="568"/>
        <w:tab w:val="right" w:leader="dot" w:pos="8931"/>
      </w:tabs>
      <w:ind w:left="567" w:hanging="567"/>
    </w:pPr>
    <w:rPr>
      <w:rFonts w:ascii="Calibri" w:hAnsi="Calibri"/>
    </w:rPr>
  </w:style>
  <w:style w:type="paragraph" w:styleId="TOC2">
    <w:name w:val="toc 2"/>
    <w:basedOn w:val="Normal"/>
    <w:next w:val="Normal"/>
    <w:uiPriority w:val="39"/>
    <w:rsid w:val="00401FDD"/>
    <w:pPr>
      <w:tabs>
        <w:tab w:val="left" w:pos="1134"/>
        <w:tab w:val="right" w:leader="dot" w:pos="8931"/>
      </w:tabs>
      <w:ind w:left="1134" w:hanging="567"/>
    </w:pPr>
    <w:rPr>
      <w:rFonts w:ascii="Calibri" w:hAnsi="Calibri"/>
    </w:rPr>
  </w:style>
  <w:style w:type="paragraph" w:styleId="TOC3">
    <w:name w:val="toc 3"/>
    <w:basedOn w:val="Normal"/>
    <w:next w:val="Normal"/>
    <w:uiPriority w:val="39"/>
    <w:rsid w:val="00401FDD"/>
    <w:pPr>
      <w:tabs>
        <w:tab w:val="left" w:pos="1843"/>
        <w:tab w:val="right" w:leader="dot" w:pos="8931"/>
      </w:tabs>
      <w:ind w:left="1843" w:hanging="709"/>
    </w:pPr>
    <w:rPr>
      <w:rFonts w:ascii="Calibri" w:hAnsi="Calibri"/>
    </w:rPr>
  </w:style>
  <w:style w:type="paragraph" w:styleId="TOC4">
    <w:name w:val="toc 4"/>
    <w:basedOn w:val="Normal"/>
    <w:next w:val="Normal"/>
    <w:uiPriority w:val="39"/>
    <w:rsid w:val="0054001F"/>
    <w:pPr>
      <w:tabs>
        <w:tab w:val="left" w:pos="1134"/>
        <w:tab w:val="right" w:leader="dot" w:pos="8931"/>
      </w:tabs>
      <w:spacing w:after="100"/>
      <w:ind w:left="1134" w:hanging="1134"/>
    </w:pPr>
  </w:style>
  <w:style w:type="paragraph" w:styleId="TOC5">
    <w:name w:val="toc 5"/>
    <w:basedOn w:val="Normal"/>
    <w:next w:val="Normal"/>
    <w:uiPriority w:val="39"/>
    <w:rsid w:val="00401FDD"/>
    <w:pPr>
      <w:tabs>
        <w:tab w:val="left" w:pos="568"/>
        <w:tab w:val="right" w:leader="dot" w:pos="13000"/>
      </w:tabs>
      <w:spacing w:after="100"/>
      <w:ind w:left="567" w:hanging="567"/>
    </w:pPr>
    <w:rPr>
      <w:noProof/>
    </w:rPr>
  </w:style>
  <w:style w:type="paragraph" w:styleId="TOC6">
    <w:name w:val="toc 6"/>
    <w:basedOn w:val="Normal"/>
    <w:next w:val="Normal"/>
    <w:uiPriority w:val="39"/>
    <w:rsid w:val="00401FDD"/>
    <w:pPr>
      <w:tabs>
        <w:tab w:val="left" w:pos="1134"/>
        <w:tab w:val="right" w:leader="dot" w:pos="13000"/>
      </w:tabs>
      <w:spacing w:after="100"/>
      <w:ind w:left="1134" w:hanging="567"/>
    </w:pPr>
  </w:style>
  <w:style w:type="paragraph" w:styleId="TOC7">
    <w:name w:val="toc 7"/>
    <w:basedOn w:val="Normal"/>
    <w:next w:val="Normal"/>
    <w:uiPriority w:val="39"/>
    <w:rsid w:val="00401FDD"/>
    <w:pPr>
      <w:tabs>
        <w:tab w:val="left" w:pos="1843"/>
        <w:tab w:val="right" w:leader="dot" w:pos="13000"/>
      </w:tabs>
      <w:spacing w:after="100"/>
      <w:ind w:left="1843" w:hanging="709"/>
    </w:pPr>
  </w:style>
  <w:style w:type="paragraph" w:styleId="TOC8">
    <w:name w:val="toc 8"/>
    <w:basedOn w:val="Normal"/>
    <w:next w:val="Normal"/>
    <w:uiPriority w:val="39"/>
    <w:rsid w:val="0054001F"/>
    <w:pPr>
      <w:tabs>
        <w:tab w:val="left" w:pos="1134"/>
        <w:tab w:val="right" w:leader="dot" w:pos="13000"/>
      </w:tabs>
      <w:spacing w:after="100"/>
      <w:ind w:left="1134" w:hanging="1134"/>
    </w:p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Dot Point,NAST Quote,Body Bullets 1"/>
    <w:basedOn w:val="Normal"/>
    <w:link w:val="ListParagraphChar"/>
    <w:uiPriority w:val="99"/>
    <w:qFormat/>
    <w:rsid w:val="003A40B5"/>
    <w:pPr>
      <w:ind w:left="720"/>
      <w:contextualSpacing/>
    </w:p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locked/>
    <w:rsid w:val="003A40B5"/>
    <w:rPr>
      <w:rFonts w:eastAsiaTheme="minorHAnsi"/>
      <w:lang w:eastAsia="en-US"/>
    </w:rPr>
  </w:style>
  <w:style w:type="character" w:styleId="CommentReference">
    <w:name w:val="annotation reference"/>
    <w:basedOn w:val="DefaultParagraphFont"/>
    <w:uiPriority w:val="99"/>
    <w:semiHidden/>
    <w:unhideWhenUsed/>
    <w:rsid w:val="003A40B5"/>
    <w:rPr>
      <w:sz w:val="16"/>
      <w:szCs w:val="16"/>
    </w:rPr>
  </w:style>
  <w:style w:type="paragraph" w:styleId="CommentText">
    <w:name w:val="annotation text"/>
    <w:basedOn w:val="Normal"/>
    <w:link w:val="CommentTextChar"/>
    <w:uiPriority w:val="99"/>
    <w:unhideWhenUsed/>
    <w:rsid w:val="003A40B5"/>
    <w:pPr>
      <w:spacing w:line="240" w:lineRule="auto"/>
    </w:pPr>
    <w:rPr>
      <w:sz w:val="20"/>
      <w:szCs w:val="20"/>
    </w:rPr>
  </w:style>
  <w:style w:type="character" w:customStyle="1" w:styleId="CommentTextChar">
    <w:name w:val="Comment Text Char"/>
    <w:basedOn w:val="DefaultParagraphFont"/>
    <w:link w:val="CommentText"/>
    <w:uiPriority w:val="99"/>
    <w:rsid w:val="003A40B5"/>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5C1893"/>
    <w:rPr>
      <w:b/>
      <w:bCs/>
    </w:rPr>
  </w:style>
  <w:style w:type="character" w:customStyle="1" w:styleId="CommentSubjectChar">
    <w:name w:val="Comment Subject Char"/>
    <w:basedOn w:val="CommentTextChar"/>
    <w:link w:val="CommentSubject"/>
    <w:uiPriority w:val="99"/>
    <w:semiHidden/>
    <w:rsid w:val="005C1893"/>
    <w:rPr>
      <w:rFonts w:eastAsiaTheme="minorHAnsi"/>
      <w:b/>
      <w:bCs/>
      <w:sz w:val="20"/>
      <w:szCs w:val="20"/>
      <w:lang w:eastAsia="en-US"/>
    </w:rPr>
  </w:style>
  <w:style w:type="table" w:styleId="TableGrid">
    <w:name w:val="Table Grid"/>
    <w:basedOn w:val="TableNormal"/>
    <w:uiPriority w:val="59"/>
    <w:rsid w:val="003F275F"/>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37C7E"/>
    <w:pPr>
      <w:spacing w:after="120" w:line="240" w:lineRule="atLeast"/>
    </w:pPr>
    <w:rPr>
      <w:rFonts w:ascii="Arial" w:eastAsiaTheme="minorEastAsia" w:hAnsi="Arial" w:cs="Arial"/>
      <w:noProof/>
      <w:color w:val="000000" w:themeColor="text1"/>
      <w:lang w:eastAsia="en-AU"/>
    </w:rPr>
  </w:style>
  <w:style w:type="character" w:customStyle="1" w:styleId="EndNoteBibliographyChar">
    <w:name w:val="EndNote Bibliography Char"/>
    <w:basedOn w:val="DefaultParagraphFont"/>
    <w:link w:val="EndNoteBibliography"/>
    <w:rsid w:val="00237C7E"/>
    <w:rPr>
      <w:rFonts w:ascii="Arial" w:eastAsiaTheme="minorEastAsia" w:hAnsi="Arial" w:cs="Arial"/>
      <w:noProof/>
      <w:color w:val="000000" w:themeColor="text1"/>
    </w:rPr>
  </w:style>
  <w:style w:type="paragraph" w:styleId="NormalWeb">
    <w:name w:val="Normal (Web)"/>
    <w:basedOn w:val="Normal"/>
    <w:uiPriority w:val="99"/>
    <w:semiHidden/>
    <w:rsid w:val="00E02055"/>
    <w:rPr>
      <w:rFonts w:ascii="Times New Roman" w:hAnsi="Times New Roman" w:cs="Times New Roman"/>
      <w:sz w:val="24"/>
      <w:szCs w:val="24"/>
    </w:rPr>
  </w:style>
  <w:style w:type="table" w:customStyle="1" w:styleId="TableGrid1">
    <w:name w:val="Table Grid1"/>
    <w:basedOn w:val="TableNormal"/>
    <w:next w:val="TableGrid"/>
    <w:uiPriority w:val="59"/>
    <w:rsid w:val="003E1003"/>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60869"/>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2F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2574"/>
    <w:pPr>
      <w:keepLines/>
      <w:numPr>
        <w:numId w:val="0"/>
      </w:numPr>
      <w:spacing w:after="0"/>
      <w:outlineLvl w:val="9"/>
    </w:pPr>
    <w:rPr>
      <w:rFonts w:asciiTheme="majorHAnsi" w:eastAsiaTheme="majorEastAsia" w:hAnsiTheme="majorHAnsi" w:cstheme="majorBidi"/>
      <w:b/>
      <w:bCs/>
      <w:color w:val="C97306" w:themeColor="accent1" w:themeShade="BF"/>
      <w:sz w:val="28"/>
      <w:szCs w:val="28"/>
      <w:lang w:val="en-US" w:eastAsia="ja-JP"/>
    </w:rPr>
  </w:style>
  <w:style w:type="paragraph" w:styleId="TOC9">
    <w:name w:val="toc 9"/>
    <w:basedOn w:val="Normal"/>
    <w:next w:val="Normal"/>
    <w:autoRedefine/>
    <w:uiPriority w:val="39"/>
    <w:unhideWhenUsed/>
    <w:rsid w:val="00042574"/>
    <w:pPr>
      <w:spacing w:after="100"/>
      <w:ind w:left="1760"/>
    </w:pPr>
    <w:rPr>
      <w:rFonts w:eastAsiaTheme="minorEastAsia"/>
      <w:lang w:eastAsia="en-AU"/>
    </w:rPr>
  </w:style>
  <w:style w:type="character" w:styleId="IntenseEmphasis">
    <w:name w:val="Intense Emphasis"/>
    <w:uiPriority w:val="21"/>
    <w:qFormat/>
    <w:rsid w:val="004C115D"/>
  </w:style>
  <w:style w:type="paragraph" w:styleId="EndnoteText">
    <w:name w:val="endnote text"/>
    <w:basedOn w:val="Normal"/>
    <w:link w:val="EndnoteTextChar"/>
    <w:uiPriority w:val="99"/>
    <w:semiHidden/>
    <w:rsid w:val="000856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56B1"/>
    <w:rPr>
      <w:rFonts w:eastAsiaTheme="minorHAnsi"/>
      <w:sz w:val="20"/>
      <w:szCs w:val="20"/>
      <w:lang w:eastAsia="en-US"/>
    </w:rPr>
  </w:style>
  <w:style w:type="character" w:styleId="EndnoteReference">
    <w:name w:val="endnote reference"/>
    <w:basedOn w:val="DefaultParagraphFont"/>
    <w:uiPriority w:val="99"/>
    <w:semiHidden/>
    <w:rsid w:val="000856B1"/>
    <w:rPr>
      <w:vertAlign w:val="superscript"/>
    </w:rPr>
  </w:style>
  <w:style w:type="paragraph" w:styleId="Revision">
    <w:name w:val="Revision"/>
    <w:hidden/>
    <w:uiPriority w:val="99"/>
    <w:semiHidden/>
    <w:rsid w:val="006B6D8A"/>
    <w:pPr>
      <w:spacing w:after="0" w:line="240" w:lineRule="auto"/>
    </w:pPr>
    <w:rPr>
      <w:rFonts w:eastAsiaTheme="minorHAnsi"/>
      <w:lang w:eastAsia="en-US"/>
    </w:rPr>
  </w:style>
  <w:style w:type="paragraph" w:customStyle="1" w:styleId="H1">
    <w:name w:val="H1"/>
    <w:basedOn w:val="Heading1"/>
    <w:link w:val="H1Char"/>
    <w:rsid w:val="002A106A"/>
    <w:pPr>
      <w:numPr>
        <w:numId w:val="30"/>
      </w:numPr>
    </w:pPr>
  </w:style>
  <w:style w:type="paragraph" w:customStyle="1" w:styleId="H2">
    <w:name w:val="H2"/>
    <w:basedOn w:val="Heading1"/>
    <w:link w:val="H2Char"/>
    <w:qFormat/>
    <w:rsid w:val="00211750"/>
    <w:pPr>
      <w:spacing w:before="240"/>
      <w:outlineLvl w:val="1"/>
    </w:pPr>
  </w:style>
  <w:style w:type="character" w:customStyle="1" w:styleId="H1Char">
    <w:name w:val="H1 Char"/>
    <w:basedOn w:val="Heading1Char"/>
    <w:link w:val="H1"/>
    <w:rsid w:val="002A106A"/>
    <w:rPr>
      <w:rFonts w:eastAsiaTheme="minorHAnsi"/>
      <w:color w:val="003468" w:themeColor="text2"/>
      <w:sz w:val="44"/>
      <w:lang w:eastAsia="en-US"/>
    </w:rPr>
  </w:style>
  <w:style w:type="paragraph" w:customStyle="1" w:styleId="ExH2">
    <w:name w:val="Ex H2"/>
    <w:basedOn w:val="Heading1"/>
    <w:link w:val="ExH2Char"/>
    <w:qFormat/>
    <w:rsid w:val="002A106A"/>
    <w:pPr>
      <w:numPr>
        <w:numId w:val="0"/>
      </w:numPr>
      <w:spacing w:before="120" w:after="120"/>
      <w:ind w:left="432" w:hanging="432"/>
    </w:pPr>
  </w:style>
  <w:style w:type="character" w:customStyle="1" w:styleId="H2Char">
    <w:name w:val="H2 Char"/>
    <w:basedOn w:val="Heading1Char"/>
    <w:link w:val="H2"/>
    <w:rsid w:val="00211750"/>
    <w:rPr>
      <w:rFonts w:eastAsiaTheme="minorHAnsi"/>
      <w:color w:val="003468" w:themeColor="text2"/>
      <w:sz w:val="44"/>
      <w:lang w:eastAsia="en-US"/>
    </w:rPr>
  </w:style>
  <w:style w:type="paragraph" w:customStyle="1" w:styleId="ExH3">
    <w:name w:val="Ex H3"/>
    <w:basedOn w:val="ExH2"/>
    <w:link w:val="ExH3Char"/>
    <w:rsid w:val="002A106A"/>
  </w:style>
  <w:style w:type="character" w:customStyle="1" w:styleId="ExH2Char">
    <w:name w:val="Ex H2 Char"/>
    <w:basedOn w:val="Heading1Char"/>
    <w:link w:val="ExH2"/>
    <w:rsid w:val="002A106A"/>
    <w:rPr>
      <w:rFonts w:eastAsiaTheme="minorHAnsi"/>
      <w:color w:val="003468" w:themeColor="text2"/>
      <w:sz w:val="44"/>
      <w:lang w:eastAsia="en-US"/>
    </w:rPr>
  </w:style>
  <w:style w:type="character" w:customStyle="1" w:styleId="ExH3Char">
    <w:name w:val="Ex H3 Char"/>
    <w:basedOn w:val="ExH2Char"/>
    <w:link w:val="ExH3"/>
    <w:rsid w:val="002A106A"/>
    <w:rPr>
      <w:rFonts w:eastAsiaTheme="minorHAnsi"/>
      <w:color w:val="003468" w:themeColor="text2"/>
      <w:sz w:val="44"/>
      <w:lang w:eastAsia="en-US"/>
    </w:rPr>
  </w:style>
  <w:style w:type="paragraph" w:customStyle="1" w:styleId="ExHeader3">
    <w:name w:val="Ex Header3"/>
    <w:basedOn w:val="Normal"/>
    <w:link w:val="ExHeader3Char"/>
    <w:qFormat/>
    <w:rsid w:val="00211750"/>
    <w:pPr>
      <w:spacing w:before="120" w:after="120" w:line="240" w:lineRule="auto"/>
      <w:outlineLvl w:val="2"/>
    </w:pPr>
    <w:rPr>
      <w:color w:val="003468" w:themeColor="text2"/>
      <w:sz w:val="34"/>
    </w:rPr>
  </w:style>
  <w:style w:type="character" w:customStyle="1" w:styleId="ExHeader3Char">
    <w:name w:val="Ex Header3 Char"/>
    <w:basedOn w:val="DefaultParagraphFont"/>
    <w:link w:val="ExHeader3"/>
    <w:rsid w:val="00211750"/>
    <w:rPr>
      <w:rFonts w:eastAsiaTheme="minorHAnsi"/>
      <w:color w:val="003468" w:themeColor="text2"/>
      <w:sz w:val="34"/>
      <w:lang w:eastAsia="en-US"/>
    </w:rPr>
  </w:style>
  <w:style w:type="paragraph" w:customStyle="1" w:styleId="Header1">
    <w:name w:val="Header 1"/>
    <w:basedOn w:val="Heading1"/>
    <w:link w:val="Header1Char"/>
    <w:qFormat/>
    <w:rsid w:val="00C65A29"/>
    <w:pPr>
      <w:numPr>
        <w:numId w:val="0"/>
      </w:numPr>
    </w:pPr>
    <w:rPr>
      <w:color w:val="auto"/>
    </w:rPr>
  </w:style>
  <w:style w:type="paragraph" w:customStyle="1" w:styleId="H3">
    <w:name w:val="H3"/>
    <w:basedOn w:val="Heading2"/>
    <w:link w:val="H3Char"/>
    <w:qFormat/>
    <w:rsid w:val="00211750"/>
    <w:pPr>
      <w:spacing w:before="360"/>
      <w:ind w:left="578" w:hanging="578"/>
      <w:outlineLvl w:val="2"/>
    </w:pPr>
  </w:style>
  <w:style w:type="character" w:customStyle="1" w:styleId="Header1Char">
    <w:name w:val="Header 1 Char"/>
    <w:basedOn w:val="Heading1Char"/>
    <w:link w:val="Header1"/>
    <w:rsid w:val="00C65A29"/>
    <w:rPr>
      <w:rFonts w:eastAsiaTheme="minorHAnsi"/>
      <w:color w:val="003468" w:themeColor="text2"/>
      <w:sz w:val="44"/>
      <w:lang w:eastAsia="en-US"/>
    </w:rPr>
  </w:style>
  <w:style w:type="paragraph" w:customStyle="1" w:styleId="H4">
    <w:name w:val="H4"/>
    <w:basedOn w:val="Heading3"/>
    <w:link w:val="H4Char"/>
    <w:qFormat/>
    <w:rsid w:val="00211750"/>
    <w:pPr>
      <w:numPr>
        <w:ilvl w:val="2"/>
        <w:numId w:val="29"/>
      </w:numPr>
      <w:spacing w:line="240" w:lineRule="auto"/>
      <w:outlineLvl w:val="3"/>
    </w:pPr>
  </w:style>
  <w:style w:type="character" w:customStyle="1" w:styleId="H3Char">
    <w:name w:val="H3 Char"/>
    <w:basedOn w:val="Heading2Char"/>
    <w:link w:val="H3"/>
    <w:rsid w:val="00211750"/>
    <w:rPr>
      <w:rFonts w:eastAsiaTheme="minorHAnsi"/>
      <w:color w:val="003468" w:themeColor="text2"/>
      <w:sz w:val="34"/>
      <w:lang w:eastAsia="en-US"/>
    </w:rPr>
  </w:style>
  <w:style w:type="table" w:customStyle="1" w:styleId="TableGrid3">
    <w:name w:val="Table Grid3"/>
    <w:basedOn w:val="TableNormal"/>
    <w:next w:val="TableGrid"/>
    <w:uiPriority w:val="59"/>
    <w:rsid w:val="00122511"/>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4Char">
    <w:name w:val="H4 Char"/>
    <w:basedOn w:val="Heading3Char"/>
    <w:link w:val="H4"/>
    <w:rsid w:val="00211750"/>
    <w:rPr>
      <w:rFonts w:eastAsiaTheme="minorHAnsi"/>
      <w:color w:val="003468" w:themeColor="text2"/>
      <w:sz w:val="28"/>
      <w:lang w:eastAsia="en-US"/>
    </w:rPr>
  </w:style>
  <w:style w:type="table" w:customStyle="1" w:styleId="TableGrid31">
    <w:name w:val="Table Grid31"/>
    <w:basedOn w:val="TableNormal"/>
    <w:next w:val="TableGrid"/>
    <w:uiPriority w:val="59"/>
    <w:rsid w:val="00122511"/>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bold">
    <w:name w:val="h4 bold"/>
    <w:basedOn w:val="Normal"/>
    <w:link w:val="h4boldChar"/>
    <w:qFormat/>
    <w:rsid w:val="0093373A"/>
    <w:pPr>
      <w:spacing w:after="120"/>
      <w:outlineLvl w:val="3"/>
    </w:pPr>
    <w:rPr>
      <w:b/>
    </w:rPr>
  </w:style>
  <w:style w:type="paragraph" w:customStyle="1" w:styleId="tbsfigs">
    <w:name w:val="tbs figs"/>
    <w:basedOn w:val="Normal"/>
    <w:link w:val="tbsfigsChar"/>
    <w:qFormat/>
    <w:rsid w:val="00F3240A"/>
    <w:pPr>
      <w:keepNext/>
      <w:spacing w:after="0" w:line="240" w:lineRule="auto"/>
    </w:pPr>
    <w:rPr>
      <w:b/>
    </w:rPr>
  </w:style>
  <w:style w:type="character" w:customStyle="1" w:styleId="h4boldChar">
    <w:name w:val="h4 bold Char"/>
    <w:basedOn w:val="DefaultParagraphFont"/>
    <w:link w:val="h4bold"/>
    <w:rsid w:val="0093373A"/>
    <w:rPr>
      <w:rFonts w:eastAsiaTheme="minorHAnsi"/>
      <w:b/>
      <w:lang w:eastAsia="en-US"/>
    </w:rPr>
  </w:style>
  <w:style w:type="character" w:customStyle="1" w:styleId="tbsfigsChar">
    <w:name w:val="tbs figs Char"/>
    <w:basedOn w:val="DefaultParagraphFont"/>
    <w:link w:val="tbsfigs"/>
    <w:rsid w:val="00F3240A"/>
    <w:rPr>
      <w:rFonts w:eastAsiaTheme="minorHAnsi"/>
      <w:b/>
      <w:lang w:eastAsia="en-US"/>
    </w:rPr>
  </w:style>
  <w:style w:type="character" w:styleId="Strong">
    <w:name w:val="Strong"/>
    <w:basedOn w:val="DefaultParagraphFont"/>
    <w:uiPriority w:val="22"/>
    <w:qFormat/>
    <w:rsid w:val="00530D3D"/>
    <w:rPr>
      <w:b/>
      <w:bCs/>
    </w:rPr>
  </w:style>
  <w:style w:type="character" w:styleId="Emphasis">
    <w:name w:val="Emphasis"/>
    <w:basedOn w:val="DefaultParagraphFont"/>
    <w:uiPriority w:val="20"/>
    <w:qFormat/>
    <w:rsid w:val="0053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547">
      <w:bodyDiv w:val="1"/>
      <w:marLeft w:val="0"/>
      <w:marRight w:val="0"/>
      <w:marTop w:val="0"/>
      <w:marBottom w:val="0"/>
      <w:divBdr>
        <w:top w:val="none" w:sz="0" w:space="0" w:color="auto"/>
        <w:left w:val="none" w:sz="0" w:space="0" w:color="auto"/>
        <w:bottom w:val="none" w:sz="0" w:space="0" w:color="auto"/>
        <w:right w:val="none" w:sz="0" w:space="0" w:color="auto"/>
      </w:divBdr>
    </w:div>
    <w:div w:id="336035670">
      <w:bodyDiv w:val="1"/>
      <w:marLeft w:val="0"/>
      <w:marRight w:val="0"/>
      <w:marTop w:val="0"/>
      <w:marBottom w:val="0"/>
      <w:divBdr>
        <w:top w:val="none" w:sz="0" w:space="0" w:color="auto"/>
        <w:left w:val="none" w:sz="0" w:space="0" w:color="auto"/>
        <w:bottom w:val="none" w:sz="0" w:space="0" w:color="auto"/>
        <w:right w:val="none" w:sz="0" w:space="0" w:color="auto"/>
      </w:divBdr>
    </w:div>
    <w:div w:id="375013922">
      <w:bodyDiv w:val="1"/>
      <w:marLeft w:val="0"/>
      <w:marRight w:val="0"/>
      <w:marTop w:val="0"/>
      <w:marBottom w:val="0"/>
      <w:divBdr>
        <w:top w:val="none" w:sz="0" w:space="0" w:color="auto"/>
        <w:left w:val="none" w:sz="0" w:space="0" w:color="auto"/>
        <w:bottom w:val="none" w:sz="0" w:space="0" w:color="auto"/>
        <w:right w:val="none" w:sz="0" w:space="0" w:color="auto"/>
      </w:divBdr>
    </w:div>
    <w:div w:id="439033626">
      <w:bodyDiv w:val="1"/>
      <w:marLeft w:val="0"/>
      <w:marRight w:val="0"/>
      <w:marTop w:val="0"/>
      <w:marBottom w:val="0"/>
      <w:divBdr>
        <w:top w:val="none" w:sz="0" w:space="0" w:color="auto"/>
        <w:left w:val="none" w:sz="0" w:space="0" w:color="auto"/>
        <w:bottom w:val="none" w:sz="0" w:space="0" w:color="auto"/>
        <w:right w:val="none" w:sz="0" w:space="0" w:color="auto"/>
      </w:divBdr>
    </w:div>
    <w:div w:id="1112289631">
      <w:bodyDiv w:val="1"/>
      <w:marLeft w:val="0"/>
      <w:marRight w:val="0"/>
      <w:marTop w:val="0"/>
      <w:marBottom w:val="0"/>
      <w:divBdr>
        <w:top w:val="none" w:sz="0" w:space="0" w:color="auto"/>
        <w:left w:val="none" w:sz="0" w:space="0" w:color="auto"/>
        <w:bottom w:val="none" w:sz="0" w:space="0" w:color="auto"/>
        <w:right w:val="none" w:sz="0" w:space="0" w:color="auto"/>
      </w:divBdr>
    </w:div>
    <w:div w:id="1161237970">
      <w:bodyDiv w:val="1"/>
      <w:marLeft w:val="0"/>
      <w:marRight w:val="0"/>
      <w:marTop w:val="0"/>
      <w:marBottom w:val="0"/>
      <w:divBdr>
        <w:top w:val="none" w:sz="0" w:space="0" w:color="auto"/>
        <w:left w:val="none" w:sz="0" w:space="0" w:color="auto"/>
        <w:bottom w:val="none" w:sz="0" w:space="0" w:color="auto"/>
        <w:right w:val="none" w:sz="0" w:space="0" w:color="auto"/>
      </w:divBdr>
    </w:div>
    <w:div w:id="1293511321">
      <w:bodyDiv w:val="1"/>
      <w:marLeft w:val="0"/>
      <w:marRight w:val="0"/>
      <w:marTop w:val="0"/>
      <w:marBottom w:val="0"/>
      <w:divBdr>
        <w:top w:val="none" w:sz="0" w:space="0" w:color="auto"/>
        <w:left w:val="none" w:sz="0" w:space="0" w:color="auto"/>
        <w:bottom w:val="none" w:sz="0" w:space="0" w:color="auto"/>
        <w:right w:val="none" w:sz="0" w:space="0" w:color="auto"/>
      </w:divBdr>
    </w:div>
    <w:div w:id="1293632370">
      <w:bodyDiv w:val="1"/>
      <w:marLeft w:val="0"/>
      <w:marRight w:val="0"/>
      <w:marTop w:val="0"/>
      <w:marBottom w:val="0"/>
      <w:divBdr>
        <w:top w:val="none" w:sz="0" w:space="0" w:color="auto"/>
        <w:left w:val="none" w:sz="0" w:space="0" w:color="auto"/>
        <w:bottom w:val="none" w:sz="0" w:space="0" w:color="auto"/>
        <w:right w:val="none" w:sz="0" w:space="0" w:color="auto"/>
      </w:divBdr>
    </w:div>
    <w:div w:id="1346513835">
      <w:bodyDiv w:val="1"/>
      <w:marLeft w:val="0"/>
      <w:marRight w:val="0"/>
      <w:marTop w:val="0"/>
      <w:marBottom w:val="0"/>
      <w:divBdr>
        <w:top w:val="none" w:sz="0" w:space="0" w:color="auto"/>
        <w:left w:val="none" w:sz="0" w:space="0" w:color="auto"/>
        <w:bottom w:val="none" w:sz="0" w:space="0" w:color="auto"/>
        <w:right w:val="none" w:sz="0" w:space="0" w:color="auto"/>
      </w:divBdr>
    </w:div>
    <w:div w:id="1731076201">
      <w:bodyDiv w:val="1"/>
      <w:marLeft w:val="0"/>
      <w:marRight w:val="0"/>
      <w:marTop w:val="0"/>
      <w:marBottom w:val="0"/>
      <w:divBdr>
        <w:top w:val="none" w:sz="0" w:space="0" w:color="auto"/>
        <w:left w:val="none" w:sz="0" w:space="0" w:color="auto"/>
        <w:bottom w:val="none" w:sz="0" w:space="0" w:color="auto"/>
        <w:right w:val="none" w:sz="0" w:space="0" w:color="auto"/>
      </w:divBdr>
    </w:div>
    <w:div w:id="1856533648">
      <w:bodyDiv w:val="1"/>
      <w:marLeft w:val="0"/>
      <w:marRight w:val="0"/>
      <w:marTop w:val="0"/>
      <w:marBottom w:val="0"/>
      <w:divBdr>
        <w:top w:val="none" w:sz="0" w:space="0" w:color="auto"/>
        <w:left w:val="none" w:sz="0" w:space="0" w:color="auto"/>
        <w:bottom w:val="none" w:sz="0" w:space="0" w:color="auto"/>
        <w:right w:val="none" w:sz="0" w:space="0" w:color="auto"/>
      </w:divBdr>
    </w:div>
    <w:div w:id="2055082315">
      <w:bodyDiv w:val="1"/>
      <w:marLeft w:val="0"/>
      <w:marRight w:val="0"/>
      <w:marTop w:val="0"/>
      <w:marBottom w:val="0"/>
      <w:divBdr>
        <w:top w:val="none" w:sz="0" w:space="0" w:color="auto"/>
        <w:left w:val="none" w:sz="0" w:space="0" w:color="auto"/>
        <w:bottom w:val="none" w:sz="0" w:space="0" w:color="auto"/>
        <w:right w:val="none" w:sz="0" w:space="0" w:color="auto"/>
      </w:divBdr>
    </w:div>
    <w:div w:id="210155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ibrary.pmc.gov.au/wp-content/uploads/ccby.png" TargetMode="External"/><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dcm.nt.gov.au/supporting-government/office-of-aboriginal-affairs/remote-contracting-policy" TargetMode="Externa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s://www.dpmc.gov.au/indigenous-affairs/economic-development/indigenous-procurement-policy-ip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pmc.gov.au/government/its-honour" TargetMode="External"/><Relationship Id="rId20" Type="http://schemas.openxmlformats.org/officeDocument/2006/relationships/footer" Target="foot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humanservices.gov.au/customer/services/centrelink/rent-assistance"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cid:image005.png@01D31121.BD5A96E0"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www.healthabitat.com/what-we-do/what-the-housing-data-reveals/how-the-houses-perform" TargetMode="External"/><Relationship Id="rId13" Type="http://schemas.openxmlformats.org/officeDocument/2006/relationships/hyperlink" Target="http://caepr.anu.edu.au/sites/default/files/Publications/WP/CAEPRWP67_0.pdf" TargetMode="External"/><Relationship Id="rId18" Type="http://schemas.openxmlformats.org/officeDocument/2006/relationships/hyperlink" Target="http://www.aihw.gov.au/uploadedFiles/ClosingTheGap/Content/Publications/2012/ctgc-rs13.pdf" TargetMode="External"/><Relationship Id="rId3" Type="http://schemas.openxmlformats.org/officeDocument/2006/relationships/hyperlink" Target="https://www.dss.gov.au/sites/default/files/documents/05_2012/sihip_review.pdf" TargetMode="External"/><Relationship Id="rId21" Type="http://schemas.openxmlformats.org/officeDocument/2006/relationships/hyperlink" Target="http://fsi.gov.au/publications/final-report/" TargetMode="External"/><Relationship Id="rId7" Type="http://schemas.openxmlformats.org/officeDocument/2006/relationships/hyperlink" Target="http://www.pc.gov.au/research/ongoing/overcoming-indigenous-disadvantage/2016/report-documents/oid-2016-overcoming-indigenous-disadvantage-key-indicators-2016-report.pdf" TargetMode="External"/><Relationship Id="rId12" Type="http://schemas.openxmlformats.org/officeDocument/2006/relationships/hyperlink" Target="http://www.aihw.gov.au/WorkArea/DownloadAsset.aspx?id=6442472740" TargetMode="External"/><Relationship Id="rId17" Type="http://schemas.openxmlformats.org/officeDocument/2006/relationships/hyperlink" Target="https://www.dss.gov.au/sites/default/files/documents/05_2012/livingsunburntcountry.pdf" TargetMode="External"/><Relationship Id="rId2" Type="http://schemas.openxmlformats.org/officeDocument/2006/relationships/hyperlink" Target="https://www.dss.gov.au/sites/default/files/documents/05_2012/livingsunburntcountry.pdf" TargetMode="External"/><Relationship Id="rId16" Type="http://schemas.openxmlformats.org/officeDocument/2006/relationships/hyperlink" Target="http://www.aihw.gov.au/uploadedFiles/ClosingTheGap/Content/Publications/2012/ctgc-rs13.pdf" TargetMode="External"/><Relationship Id="rId20" Type="http://schemas.openxmlformats.org/officeDocument/2006/relationships/hyperlink" Target="https://www.dss.gov.au/review-of-australias-welfare-system" TargetMode="External"/><Relationship Id="rId1" Type="http://schemas.openxmlformats.org/officeDocument/2006/relationships/hyperlink" Target="https://www.dss.gov.au/sites/default/files/documents/05_2012/livingsunburntcountry.pdf" TargetMode="External"/><Relationship Id="rId6" Type="http://schemas.openxmlformats.org/officeDocument/2006/relationships/hyperlink" Target="http://www.health.gov.au/internet/main/publishing.nsf/content/cda-cdi3201a.htm" TargetMode="External"/><Relationship Id="rId11" Type="http://schemas.openxmlformats.org/officeDocument/2006/relationships/hyperlink" Target="https://aifs.gov.au/cfca/publications/child-abuse-and-neglect-indigenous-australian-communities" TargetMode="External"/><Relationship Id="rId5" Type="http://schemas.openxmlformats.org/officeDocument/2006/relationships/hyperlink" Target="http://www.health.gov.au/internet/main/publishing.nsf/Content/cda-cdi3303-pdf-cnt.htm/$FILE/cdi3303f.pdf" TargetMode="External"/><Relationship Id="rId15" Type="http://schemas.openxmlformats.org/officeDocument/2006/relationships/hyperlink" Target="http://www.ahuri.edu.au/research/final-reports/271" TargetMode="External"/><Relationship Id="rId10" Type="http://schemas.openxmlformats.org/officeDocument/2006/relationships/hyperlink" Target="https://www.ahuri.edu.au/__data/assets/pdf_file/0010/3016/AHURI_RAP_Issue_77_Public_housing_and_employment.pdf" TargetMode="External"/><Relationship Id="rId19" Type="http://schemas.openxmlformats.org/officeDocument/2006/relationships/hyperlink" Target="http://www.treasury.gov.au/~/media/Treasury/Consultations%20and%20Reviews/Consultations/2017/Social%20Impact%20Investing/Key%20Documents/PDF/Social_Impact_Investing_DP.ashx" TargetMode="External"/><Relationship Id="rId4" Type="http://schemas.openxmlformats.org/officeDocument/2006/relationships/hyperlink" Target="http://closingthegap.pmc.gov.au/sites/default/files/ctg-report-2017.pdf" TargetMode="External"/><Relationship Id="rId9" Type="http://schemas.openxmlformats.org/officeDocument/2006/relationships/hyperlink" Target="http://www.aihw.gov.au/WorkArea/DownloadAsset.aspx?id=60129548949" TargetMode="External"/><Relationship Id="rId14" Type="http://schemas.openxmlformats.org/officeDocument/2006/relationships/hyperlink" Target="http://www.aihw.gov.au/WorkArea/DownloadAsset.aspx?id=6442472740" TargetMode="External"/></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003468"/>
      </a:dk2>
      <a:lt2>
        <a:srgbClr val="717074"/>
      </a:lt2>
      <a:accent1>
        <a:srgbClr val="F8981D"/>
      </a:accent1>
      <a:accent2>
        <a:srgbClr val="717074"/>
      </a:accent2>
      <a:accent3>
        <a:srgbClr val="7BC043"/>
      </a:accent3>
      <a:accent4>
        <a:srgbClr val="009DDC"/>
      </a:accent4>
      <a:accent5>
        <a:srgbClr val="F05133"/>
      </a:accent5>
      <a:accent6>
        <a:srgbClr val="B890C2"/>
      </a:accent6>
      <a:hlink>
        <a:srgbClr val="717074"/>
      </a:hlink>
      <a:folHlink>
        <a:srgbClr val="7170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702c48-a3c7-4082-9316-722695441da0">
      <Value>1</Value>
    </TaxCatchAll>
    <ShareHubID xmlns="00702c48-a3c7-4082-9316-722695441da0">UDOC17-279441</ShareHubID>
    <PMCNotes xmlns="00702c48-a3c7-4082-9316-722695441da0" xsi:nil="true"/>
    <mc5611b894cf49d8aeeb8ebf39dc09bc xmlns="00702c48-a3c7-4082-9316-722695441da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00702c48-a3c7-4082-9316-722695441da0">
      <Terms xmlns="http://schemas.microsoft.com/office/infopath/2007/PartnerControls"/>
    </jd1c641577414dfdab1686c9d5d0dbd0>
    <NonRecordJustification xmlns="685f9fda-bd71-4433-b331-92feb9553089">None</NonRecordJust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EDF9262884EA524AA3AAF33D5DE35DE4" ma:contentTypeVersion="6" ma:contentTypeDescription="PMC Document" ma:contentTypeScope="" ma:versionID="2090420a6dd75b1fcaa7c7c65a2c6c19">
  <xsd:schema xmlns:xsd="http://www.w3.org/2001/XMLSchema" xmlns:xs="http://www.w3.org/2001/XMLSchema" xmlns:p="http://schemas.microsoft.com/office/2006/metadata/properties" xmlns:ns2="00702c48-a3c7-4082-9316-722695441da0" xmlns:ns3="685f9fda-bd71-4433-b331-92feb9553089" targetNamespace="http://schemas.microsoft.com/office/2006/metadata/properties" ma:root="true" ma:fieldsID="953425383040d323d666efef5a37b022" ns2:_="" ns3:_="">
    <xsd:import namespace="00702c48-a3c7-4082-9316-722695441da0"/>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02c48-a3c7-4082-9316-722695441da0"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e97cdad-9bdb-4555-a996-2348daca65e8}" ma:internalName="TaxCatchAll" ma:showField="CatchAllData" ma:web="00702c48-a3c7-4082-9316-722695441d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e97cdad-9bdb-4555-a996-2348daca65e8}" ma:internalName="TaxCatchAllLabel" ma:readOnly="true" ma:showField="CatchAllDataLabel" ma:web="00702c48-a3c7-4082-9316-722695441da0">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632A-23D5-46EE-875C-2D0F843D3A9B}">
  <ds:schemaRefs>
    <ds:schemaRef ds:uri="http://schemas.microsoft.com/office/infopath/2007/PartnerControls"/>
    <ds:schemaRef ds:uri="00702c48-a3c7-4082-9316-722695441da0"/>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685f9fda-bd71-4433-b331-92feb9553089"/>
    <ds:schemaRef ds:uri="http://www.w3.org/XML/1998/namespace"/>
    <ds:schemaRef ds:uri="http://purl.org/dc/terms/"/>
  </ds:schemaRefs>
</ds:datastoreItem>
</file>

<file path=customXml/itemProps2.xml><?xml version="1.0" encoding="utf-8"?>
<ds:datastoreItem xmlns:ds="http://schemas.openxmlformats.org/officeDocument/2006/customXml" ds:itemID="{529C945A-CA81-4100-A5E6-80DAB4F3EEE1}">
  <ds:schemaRefs>
    <ds:schemaRef ds:uri="http://schemas.microsoft.com/sharepoint/v3/contenttype/forms"/>
  </ds:schemaRefs>
</ds:datastoreItem>
</file>

<file path=customXml/itemProps3.xml><?xml version="1.0" encoding="utf-8"?>
<ds:datastoreItem xmlns:ds="http://schemas.openxmlformats.org/officeDocument/2006/customXml" ds:itemID="{C25B92FE-D853-4E3D-91C9-72657087F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02c48-a3c7-4082-9316-722695441da0"/>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D01C99-3484-43D7-88DF-9FCE895C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ECD37408</Template>
  <TotalTime>4</TotalTime>
  <Pages>104</Pages>
  <Words>29496</Words>
  <Characters>168129</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Remote Housing Review</vt:lpstr>
    </vt:vector>
  </TitlesOfParts>
  <Company>Deaprtment of the Prime Minister and Cabinet</Company>
  <LinksUpToDate>false</LinksUpToDate>
  <CharactersWithSpaces>197231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Housing Review</dc:title>
  <dc:subject>A review of the National Partnership Agreement on Remote Indigenous Housing and the Remote Housing Strategy (2008-2018)</dc:subject>
  <dc:creator>Deaprtment of the Prime Minister and Cabinet</dc:creator>
  <cp:lastModifiedBy>Roberts, Sarah</cp:lastModifiedBy>
  <cp:revision>6</cp:revision>
  <cp:lastPrinted>2017-03-16T23:42:00Z</cp:lastPrinted>
  <dcterms:created xsi:type="dcterms:W3CDTF">2017-08-10T06:09:00Z</dcterms:created>
  <dcterms:modified xsi:type="dcterms:W3CDTF">2017-08-11T02:48:00Z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0x0101002825A64A6E1845A99A9D8EE8A5686ECB00EDF9262884EA524AA3AAF33D5DE35DE4</vt:lpwstr>
  </property>
  <property fmtid="{D5CDD505-2E9C-101B-9397-08002B2CF9AE}" pid="3" name="HPRMSecurityCaveat">
    <vt:lpwstr/>
  </property>
  <property fmtid="{D5CDD505-2E9C-101B-9397-08002B2CF9AE}" pid="4" name="HPRMSecurityLevel">
    <vt:lpwstr>1;#UNCLASSIFIED|9c49a7c7-17c7-412f-8077-62dec89b9196</vt:lpwstr>
  </property>
</Properties>
</file>