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2821" w14:textId="7AC8AAA0" w:rsidR="003E626E" w:rsidRPr="002A5CB4" w:rsidRDefault="003E626E" w:rsidP="003E626E">
      <w:pPr>
        <w:keepNext/>
        <w:keepLines/>
        <w:spacing w:after="0" w:line="288" w:lineRule="auto"/>
        <w:jc w:val="center"/>
        <w:outlineLvl w:val="0"/>
        <w:rPr>
          <w:rFonts w:ascii="Century Gothic" w:hAnsi="Century Gothic" w:cstheme="majorBidi"/>
          <w:b/>
          <w:bCs/>
          <w:color w:val="25303B"/>
          <w:sz w:val="56"/>
          <w:szCs w:val="60"/>
        </w:rPr>
      </w:pPr>
      <w:bookmarkStart w:id="0" w:name="_Toc22296776"/>
      <w:r w:rsidRPr="002A5CB4">
        <w:rPr>
          <w:rFonts w:ascii="Century Gothic" w:hAnsi="Century Gothic" w:cstheme="majorBidi"/>
          <w:b/>
          <w:bCs/>
          <w:color w:val="25303B"/>
          <w:sz w:val="56"/>
          <w:szCs w:val="60"/>
        </w:rPr>
        <w:t xml:space="preserve">Terms of Reference </w:t>
      </w:r>
      <w:bookmarkEnd w:id="0"/>
    </w:p>
    <w:p w14:paraId="2BF14358" w14:textId="77777777" w:rsidR="003E626E" w:rsidRPr="002A5CB4" w:rsidRDefault="003E626E" w:rsidP="003E626E">
      <w:pPr>
        <w:keepNext/>
        <w:keepLines/>
        <w:spacing w:after="0" w:line="288" w:lineRule="auto"/>
        <w:jc w:val="center"/>
        <w:outlineLvl w:val="0"/>
        <w:rPr>
          <w:rFonts w:ascii="Century Gothic" w:hAnsi="Century Gothic" w:cstheme="majorBidi"/>
          <w:b/>
          <w:bCs/>
          <w:color w:val="25303B"/>
          <w:sz w:val="56"/>
          <w:szCs w:val="60"/>
        </w:rPr>
      </w:pPr>
      <w:r>
        <w:rPr>
          <w:rFonts w:ascii="Century Gothic" w:hAnsi="Century Gothic" w:cstheme="majorBidi"/>
          <w:b/>
          <w:bCs/>
          <w:color w:val="25303B"/>
          <w:sz w:val="56"/>
          <w:szCs w:val="60"/>
        </w:rPr>
        <w:t>Local &amp; Regional Co-D</w:t>
      </w:r>
      <w:r w:rsidRPr="002A5CB4">
        <w:rPr>
          <w:rFonts w:ascii="Century Gothic" w:hAnsi="Century Gothic" w:cstheme="majorBidi"/>
          <w:b/>
          <w:bCs/>
          <w:color w:val="25303B"/>
          <w:sz w:val="56"/>
          <w:szCs w:val="60"/>
        </w:rPr>
        <w:t>esign Group</w:t>
      </w:r>
    </w:p>
    <w:p w14:paraId="61B15A23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Context</w:t>
      </w:r>
    </w:p>
    <w:p w14:paraId="6BDBE261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The Government is committed to a </w:t>
      </w:r>
      <w:r w:rsidRPr="00C70DE3">
        <w:rPr>
          <w:rFonts w:ascii="Montserrat Light" w:hAnsi="Montserrat Light"/>
          <w:sz w:val="20"/>
          <w:szCs w:val="20"/>
          <w:lang w:val="en-US"/>
        </w:rPr>
        <w:t>process of co-design to determine options to improve local and regional decision-making and a national voice.</w:t>
      </w:r>
    </w:p>
    <w:p w14:paraId="6D889221" w14:textId="77777777" w:rsidR="003E626E" w:rsidRPr="00C70DE3" w:rsidRDefault="003E626E" w:rsidP="003E626E">
      <w:pPr>
        <w:pStyle w:val="ListParagraph"/>
        <w:spacing w:after="0" w:line="240" w:lineRule="auto"/>
        <w:ind w:left="426"/>
        <w:contextualSpacing w:val="0"/>
        <w:rPr>
          <w:rFonts w:ascii="Montserrat Light" w:hAnsi="Montserrat Light" w:cstheme="minorHAnsi"/>
          <w:sz w:val="20"/>
          <w:szCs w:val="20"/>
        </w:rPr>
      </w:pPr>
    </w:p>
    <w:p w14:paraId="2B5AF599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This approach reflects the Government’s commitment to working in partnership with Indigenous Australians, and their longstanding desire to have a greater involvement in the issues that affect them. </w:t>
      </w:r>
    </w:p>
    <w:p w14:paraId="5B8CC0ED" w14:textId="77777777" w:rsidR="003E626E" w:rsidRPr="00C70DE3" w:rsidRDefault="003E626E" w:rsidP="003E626E">
      <w:pPr>
        <w:pStyle w:val="ListParagraph"/>
        <w:rPr>
          <w:rFonts w:ascii="Montserrat Light" w:hAnsi="Montserrat Light" w:cstheme="minorHAnsi"/>
          <w:sz w:val="20"/>
          <w:szCs w:val="20"/>
        </w:rPr>
      </w:pPr>
    </w:p>
    <w:p w14:paraId="41D235D7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/>
          <w:sz w:val="20"/>
          <w:szCs w:val="20"/>
          <w:lang w:val="en-US"/>
        </w:rPr>
        <w:t>The co</w:t>
      </w:r>
      <w:r w:rsidRPr="00C70DE3">
        <w:rPr>
          <w:rFonts w:ascii="Montserrat Light" w:hAnsi="Montserrat Light"/>
          <w:sz w:val="20"/>
          <w:szCs w:val="20"/>
          <w:lang w:val="en-US"/>
        </w:rPr>
        <w:noBreakHyphen/>
        <w:t>design process to determine options for a voice will have two separate co-design groups, one to focus on local and regional decision-making (Local &amp; Regional Group) and the other to look at options for a national voice (National Group).</w:t>
      </w:r>
    </w:p>
    <w:p w14:paraId="3868489B" w14:textId="77777777" w:rsidR="003E626E" w:rsidRPr="00C70DE3" w:rsidRDefault="003E626E" w:rsidP="003E626E">
      <w:pPr>
        <w:spacing w:after="0" w:line="240" w:lineRule="auto"/>
        <w:rPr>
          <w:rFonts w:ascii="Montserrat Light" w:hAnsi="Montserrat Light" w:cstheme="minorHAnsi"/>
          <w:sz w:val="20"/>
          <w:szCs w:val="20"/>
        </w:rPr>
      </w:pPr>
    </w:p>
    <w:p w14:paraId="13B63170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Montserrat Light" w:hAnsi="Montserrat Light"/>
          <w:sz w:val="20"/>
          <w:szCs w:val="20"/>
        </w:rPr>
      </w:pPr>
      <w:r w:rsidRPr="00C70DE3">
        <w:rPr>
          <w:rFonts w:ascii="Montserrat Light" w:hAnsi="Montserrat Light"/>
          <w:sz w:val="20"/>
          <w:szCs w:val="20"/>
          <w:lang w:val="en-US"/>
        </w:rPr>
        <w:t xml:space="preserve">A </w:t>
      </w:r>
      <w:r w:rsidRPr="00C70DE3">
        <w:rPr>
          <w:rFonts w:ascii="Montserrat Light" w:hAnsi="Montserrat Light"/>
          <w:sz w:val="20"/>
          <w:szCs w:val="20"/>
        </w:rPr>
        <w:t>Senior Advisory Group</w:t>
      </w:r>
      <w:r w:rsidRPr="00C70DE3">
        <w:rPr>
          <w:rFonts w:ascii="Montserrat Light" w:hAnsi="Montserrat Light"/>
          <w:sz w:val="20"/>
          <w:szCs w:val="20"/>
          <w:lang w:val="en-US"/>
        </w:rPr>
        <w:t xml:space="preserve"> will provide advice and support across the co-design process for a voice and act as forum for the Minister for Indigenous Australians (the Minister) to test ideas and build consensus.</w:t>
      </w:r>
    </w:p>
    <w:p w14:paraId="4F9341F8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Purpose</w:t>
      </w:r>
    </w:p>
    <w:p w14:paraId="5F56AE58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The Local &amp; Regional </w:t>
      </w:r>
      <w:r>
        <w:rPr>
          <w:rFonts w:ascii="Montserrat Light" w:hAnsi="Montserrat Light" w:cstheme="minorHAnsi"/>
          <w:sz w:val="20"/>
          <w:szCs w:val="20"/>
        </w:rPr>
        <w:t>Co-design</w:t>
      </w:r>
      <w:r w:rsidRPr="00C70DE3">
        <w:rPr>
          <w:rFonts w:ascii="Montserrat Light" w:hAnsi="Montserrat Light" w:cstheme="minorHAnsi"/>
          <w:sz w:val="20"/>
          <w:szCs w:val="20"/>
        </w:rPr>
        <w:t xml:space="preserve"> Group (Local &amp; Regional Group) is commissioned to 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articulate preferred approaches to improved local and regional decision-making and Indigenous regional governance and provide advice on preferred options. </w:t>
      </w:r>
    </w:p>
    <w:p w14:paraId="1B6B4B59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 xml:space="preserve">Scope </w:t>
      </w:r>
    </w:p>
    <w:p w14:paraId="7E3665F4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principal focus of the Local &amp; Regional Group is to articulate effective regional mechanisms for improved local and regional decision-making by Indigenous Australians in partnership with governments, including their purpose and scope. The Local &amp; Regional Group will consider how existing regional mechanisms and Indigenous regional governance structures can give effect to the notion of a local and regional voice. </w:t>
      </w:r>
    </w:p>
    <w:p w14:paraId="07F22C91" w14:textId="77777777" w:rsidR="003E626E" w:rsidRPr="00C70DE3" w:rsidRDefault="003E626E" w:rsidP="003E626E">
      <w:pPr>
        <w:pStyle w:val="ListParagraph"/>
        <w:spacing w:after="0" w:line="240" w:lineRule="auto"/>
        <w:ind w:left="426"/>
        <w:contextualSpacing w:val="0"/>
        <w:rPr>
          <w:rFonts w:ascii="Montserrat Light" w:hAnsi="Montserrat Light" w:cstheme="minorHAnsi"/>
          <w:sz w:val="20"/>
          <w:szCs w:val="20"/>
        </w:rPr>
      </w:pPr>
    </w:p>
    <w:p w14:paraId="70A471F1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Local &amp; Regional Group will undertake this process in two stages: </w:t>
      </w:r>
    </w:p>
    <w:p w14:paraId="6FB41E63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786"/>
        <w:contextualSpacing w:val="0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Stage one – developing possible approaches (e.g. principles-based), models and options for broader </w:t>
      </w:r>
      <w:r>
        <w:rPr>
          <w:rFonts w:ascii="Montserrat Light" w:hAnsi="Montserrat Light" w:cstheme="minorHAnsi"/>
          <w:sz w:val="20"/>
          <w:szCs w:val="20"/>
          <w:lang w:val="en-US"/>
        </w:rPr>
        <w:t>conversations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 and engaging key stakeholders as needed. </w:t>
      </w:r>
    </w:p>
    <w:p w14:paraId="6BFEB545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78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>Stage two –</w:t>
      </w:r>
      <w:r>
        <w:rPr>
          <w:rFonts w:ascii="Montserrat Light" w:hAnsi="Montserrat Light" w:cstheme="minorHAnsi"/>
          <w:sz w:val="20"/>
          <w:szCs w:val="20"/>
          <w:lang w:val="en-US"/>
        </w:rPr>
        <w:t xml:space="preserve"> 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support </w:t>
      </w:r>
      <w:r>
        <w:rPr>
          <w:rFonts w:ascii="Montserrat Light" w:hAnsi="Montserrat Light" w:cstheme="minorHAnsi"/>
          <w:sz w:val="20"/>
          <w:szCs w:val="20"/>
          <w:lang w:val="en-US"/>
        </w:rPr>
        <w:t>conversations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 and engage with Indigenous leaders, communities and stakeholders across the country, and refine options and models, prior to providing them to the Government for consideration. </w:t>
      </w:r>
    </w:p>
    <w:p w14:paraId="257D1B45" w14:textId="09844655" w:rsidR="003E626E" w:rsidRPr="00D3505F" w:rsidRDefault="003E626E" w:rsidP="00D3505F">
      <w:pPr>
        <w:spacing w:after="0" w:line="240" w:lineRule="auto"/>
        <w:rPr>
          <w:rFonts w:ascii="Montserrat Light" w:hAnsi="Montserrat Light" w:cstheme="minorHAnsi"/>
          <w:sz w:val="20"/>
          <w:szCs w:val="20"/>
        </w:rPr>
      </w:pPr>
    </w:p>
    <w:p w14:paraId="4B8BDBA4" w14:textId="614E8943" w:rsidR="003E626E" w:rsidRPr="00F9514B" w:rsidRDefault="003E626E" w:rsidP="00F9514B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  <w:lang w:val="en-US"/>
        </w:rPr>
        <w:sectPr w:rsidR="003E626E" w:rsidRPr="00F9514B" w:rsidSect="002A5CB4">
          <w:headerReference w:type="default" r:id="rId11"/>
          <w:footerReference w:type="default" r:id="rId12"/>
          <w:pgSz w:w="11906" w:h="16838"/>
          <w:pgMar w:top="35" w:right="1077" w:bottom="1077" w:left="1077" w:header="709" w:footer="709" w:gutter="0"/>
          <w:cols w:space="708"/>
          <w:docGrid w:linePitch="360"/>
        </w:sectPr>
      </w:pPr>
      <w:r w:rsidRPr="00F9514B">
        <w:rPr>
          <w:rFonts w:ascii="Montserrat Light" w:hAnsi="Montserrat Light" w:cstheme="minorHAnsi"/>
          <w:sz w:val="20"/>
          <w:szCs w:val="20"/>
          <w:lang w:val="en-US"/>
        </w:rPr>
        <w:t>The Minister will be responsible for leading ongoing engagement with state and territory governments, as well as the cross-party Parliamentarians group and Government colleagues to build consensus around possible options. Local &amp; Regional Group members may be asked to provide advice or assist in these discussions, as required</w:t>
      </w:r>
      <w:r w:rsidR="00D3505F" w:rsidRPr="00F9514B">
        <w:rPr>
          <w:rFonts w:ascii="Montserrat Light" w:hAnsi="Montserrat Light" w:cstheme="minorHAnsi"/>
          <w:sz w:val="20"/>
          <w:szCs w:val="20"/>
          <w:lang w:val="en-US"/>
        </w:rPr>
        <w:t>.</w:t>
      </w:r>
    </w:p>
    <w:p w14:paraId="4F75F78C" w14:textId="77777777" w:rsidR="003E626E" w:rsidRPr="00F9514B" w:rsidRDefault="003E626E" w:rsidP="00F9514B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  <w:lang w:val="en-US"/>
        </w:rPr>
      </w:pPr>
      <w:r w:rsidRPr="00F9514B">
        <w:rPr>
          <w:rFonts w:ascii="Montserrat Light" w:hAnsi="Montserrat Light" w:cstheme="minorHAnsi"/>
          <w:sz w:val="20"/>
          <w:szCs w:val="20"/>
          <w:lang w:val="en-US"/>
        </w:rPr>
        <w:lastRenderedPageBreak/>
        <w:t xml:space="preserve">There will also be engagement, as required, between the Local &amp; Regional Group and the Senior Officials Group (representing local, state and Commonwealth). The extent and details of links between the officials’ group and the broader co-design process will be determined by co-chairs of the co-design groups, in consultation with the officials’ group. </w:t>
      </w:r>
    </w:p>
    <w:p w14:paraId="7BA68EF2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Activities</w:t>
      </w:r>
    </w:p>
    <w:p w14:paraId="3FC6D8FE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Local &amp; </w:t>
      </w:r>
      <w:r w:rsidRPr="00C70DE3">
        <w:rPr>
          <w:rFonts w:ascii="Montserrat Light" w:hAnsi="Montserrat Light" w:cstheme="minorHAnsi"/>
          <w:sz w:val="20"/>
          <w:szCs w:val="20"/>
        </w:rPr>
        <w:t xml:space="preserve">Regional Group 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>will:</w:t>
      </w:r>
    </w:p>
    <w:p w14:paraId="4A7F6483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Develop a work plan for the Group, which includes links with the broader co-design process</w:t>
      </w:r>
      <w:r>
        <w:rPr>
          <w:rFonts w:ascii="Montserrat Light" w:hAnsi="Montserrat Light" w:cstheme="minorHAnsi"/>
          <w:sz w:val="20"/>
          <w:szCs w:val="20"/>
        </w:rPr>
        <w:t>,</w:t>
      </w:r>
      <w:r w:rsidRPr="00C70DE3">
        <w:rPr>
          <w:rFonts w:ascii="Montserrat Light" w:hAnsi="Montserrat Light" w:cstheme="minorHAnsi"/>
          <w:sz w:val="20"/>
          <w:szCs w:val="20"/>
        </w:rPr>
        <w:t xml:space="preserve"> and </w:t>
      </w:r>
      <w:r>
        <w:rPr>
          <w:rFonts w:ascii="Montserrat Light" w:hAnsi="Montserrat Light" w:cstheme="minorHAnsi"/>
          <w:sz w:val="20"/>
          <w:szCs w:val="20"/>
        </w:rPr>
        <w:t>conversations</w:t>
      </w:r>
      <w:r w:rsidRPr="00C70DE3">
        <w:rPr>
          <w:rFonts w:ascii="Montserrat Light" w:hAnsi="Montserrat Light" w:cstheme="minorHAnsi"/>
          <w:sz w:val="20"/>
          <w:szCs w:val="20"/>
        </w:rPr>
        <w:t xml:space="preserve"> and engagement with Indigenous communities, Indigenous leaders, experts and other key stakeholders in stage two. This will be done in consultation with the Senior Advisory Group and the National Group.</w:t>
      </w:r>
    </w:p>
    <w:p w14:paraId="143FC012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Articulate how current regional and local arrangements and mechanisms can give effect to local and regional voices.</w:t>
      </w:r>
    </w:p>
    <w:p w14:paraId="6CB83B24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Identify options, such as principles and a framework for local and regional decision</w:t>
      </w:r>
      <w:r w:rsidRPr="00C70DE3">
        <w:rPr>
          <w:rFonts w:ascii="Montserrat Light" w:hAnsi="Montserrat Light" w:cstheme="minorHAnsi"/>
          <w:sz w:val="20"/>
          <w:szCs w:val="20"/>
        </w:rPr>
        <w:noBreakHyphen/>
        <w:t>making and Indigenous regional governance, which could underpin implementation across the country (regardless of existing mechanisms).</w:t>
      </w:r>
    </w:p>
    <w:p w14:paraId="72C1D4A7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Draw on the existing local and regional decision-making and Indigenous regional governance models, as well as the principles and design questions identified by the Joint Select Committee 2018, as a starting point for the development of possible future arrangements. </w:t>
      </w:r>
    </w:p>
    <w:p w14:paraId="1107FF2F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Consider the impact of the possible future arrangements on the existing regional models, and how these could be encompassed within the improved approach.</w:t>
      </w:r>
    </w:p>
    <w:p w14:paraId="7AD572EE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Provide input to inform discussions between levels of government on how to align and improve various existing regional governance and decision-making models, as appropriate. These discussions will be led by the Minister. </w:t>
      </w:r>
    </w:p>
    <w:p w14:paraId="69A711E4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Work in partnership with the National </w:t>
      </w:r>
      <w:r>
        <w:rPr>
          <w:rFonts w:ascii="Montserrat Light" w:hAnsi="Montserrat Light" w:cstheme="minorHAnsi"/>
          <w:sz w:val="20"/>
          <w:szCs w:val="20"/>
        </w:rPr>
        <w:t xml:space="preserve">and the Senior Advisory </w:t>
      </w:r>
      <w:r w:rsidRPr="00C70DE3">
        <w:rPr>
          <w:rFonts w:ascii="Montserrat Light" w:hAnsi="Montserrat Light" w:cstheme="minorHAnsi"/>
          <w:sz w:val="20"/>
          <w:szCs w:val="20"/>
        </w:rPr>
        <w:t>Group</w:t>
      </w:r>
      <w:r>
        <w:rPr>
          <w:rFonts w:ascii="Montserrat Light" w:hAnsi="Montserrat Light" w:cstheme="minorHAnsi"/>
          <w:sz w:val="20"/>
          <w:szCs w:val="20"/>
        </w:rPr>
        <w:t>s</w:t>
      </w:r>
      <w:r w:rsidRPr="00C70DE3">
        <w:rPr>
          <w:rFonts w:ascii="Montserrat Light" w:hAnsi="Montserrat Light" w:cstheme="minorHAnsi"/>
          <w:sz w:val="20"/>
          <w:szCs w:val="20"/>
        </w:rPr>
        <w:t xml:space="preserve"> at key points, to ensure local and regional elements of a voice can be considered as part of a national model. </w:t>
      </w:r>
    </w:p>
    <w:p w14:paraId="4966345D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Support and advise the Government on public messaging to update the broader community on the co</w:t>
      </w:r>
      <w:r w:rsidRPr="00C70DE3">
        <w:rPr>
          <w:rFonts w:ascii="Montserrat Light" w:hAnsi="Montserrat Light" w:cstheme="minorHAnsi"/>
          <w:sz w:val="20"/>
          <w:szCs w:val="20"/>
        </w:rPr>
        <w:noBreakHyphen/>
        <w:t>design process.</w:t>
      </w:r>
    </w:p>
    <w:p w14:paraId="70F3BA22" w14:textId="77777777" w:rsidR="003E626E" w:rsidRPr="009B77A2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9B77A2">
        <w:rPr>
          <w:rFonts w:ascii="Montserrat Light" w:hAnsi="Montserrat Light" w:cstheme="minorHAnsi"/>
          <w:sz w:val="20"/>
          <w:szCs w:val="20"/>
        </w:rPr>
        <w:t xml:space="preserve">Develop options and models to put forward to the Minister for </w:t>
      </w:r>
      <w:r>
        <w:rPr>
          <w:rFonts w:ascii="Montserrat Light" w:hAnsi="Montserrat Light" w:cstheme="minorHAnsi"/>
          <w:sz w:val="20"/>
          <w:szCs w:val="20"/>
        </w:rPr>
        <w:t>broader conversation</w:t>
      </w:r>
      <w:r w:rsidRPr="009B77A2">
        <w:rPr>
          <w:rFonts w:ascii="Montserrat Light" w:hAnsi="Montserrat Light" w:cstheme="minorHAnsi"/>
          <w:sz w:val="20"/>
          <w:szCs w:val="20"/>
        </w:rPr>
        <w:t xml:space="preserve"> and engagement, following consultation with the National Group and Senior Advisory Group.</w:t>
      </w:r>
    </w:p>
    <w:p w14:paraId="5138AF33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Support </w:t>
      </w:r>
      <w:r>
        <w:rPr>
          <w:rFonts w:ascii="Montserrat Light" w:hAnsi="Montserrat Light" w:cstheme="minorHAnsi"/>
          <w:sz w:val="20"/>
          <w:szCs w:val="20"/>
          <w:lang w:val="en-US"/>
        </w:rPr>
        <w:t>conversations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 and engagement with Indigenous leaders, communities and stakeholders across the country.</w:t>
      </w:r>
    </w:p>
    <w:p w14:paraId="06A61351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Refine options and models based on feedback from </w:t>
      </w:r>
      <w:r>
        <w:rPr>
          <w:rFonts w:ascii="Montserrat Light" w:hAnsi="Montserrat Light" w:cstheme="minorHAnsi"/>
          <w:sz w:val="20"/>
          <w:szCs w:val="20"/>
          <w:lang w:val="en-US"/>
        </w:rPr>
        <w:t>conversations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 and engagement.</w:t>
      </w:r>
    </w:p>
    <w:p w14:paraId="2C3FD176" w14:textId="77777777" w:rsidR="003E626E" w:rsidRPr="009B77A2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9B77A2">
        <w:rPr>
          <w:rFonts w:ascii="Montserrat Light" w:hAnsi="Montserrat Light" w:cstheme="minorHAnsi"/>
          <w:sz w:val="20"/>
          <w:szCs w:val="20"/>
        </w:rPr>
        <w:t xml:space="preserve">Provide a final report for the Minister after </w:t>
      </w:r>
      <w:r>
        <w:rPr>
          <w:rFonts w:ascii="Montserrat Light" w:hAnsi="Montserrat Light" w:cstheme="minorHAnsi"/>
          <w:sz w:val="20"/>
          <w:szCs w:val="20"/>
        </w:rPr>
        <w:t>conversations</w:t>
      </w:r>
      <w:r w:rsidRPr="009B77A2">
        <w:rPr>
          <w:rFonts w:ascii="Montserrat Light" w:hAnsi="Montserrat Light" w:cstheme="minorHAnsi"/>
          <w:sz w:val="20"/>
          <w:szCs w:val="20"/>
        </w:rPr>
        <w:t xml:space="preserve"> and refinement have been completed, with preferred options and models. The Senior Advisory Group will review these options and models and provide advice alongside the Local &amp; Regional Group’s report to the Minister.</w:t>
      </w:r>
    </w:p>
    <w:p w14:paraId="275356D6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Seek advice from the Senior Advisory Group and the National Group throughout the process, as appropriate.</w:t>
      </w:r>
    </w:p>
    <w:p w14:paraId="433727B5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Provide regular updates to the Minister and the Senior Advisory Group on progress and key issues as they emerge. </w:t>
      </w:r>
    </w:p>
    <w:p w14:paraId="35FB2E09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/>
          <w:sz w:val="20"/>
          <w:szCs w:val="20"/>
          <w:lang w:eastAsia="en-AU"/>
        </w:rPr>
        <w:t>The Local &amp; Regional Group may request technical expertise if needed, through the National Indigenous Australians Agency (NIAA).</w:t>
      </w:r>
    </w:p>
    <w:p w14:paraId="0021DC9A" w14:textId="77777777" w:rsidR="003E626E" w:rsidRPr="00C70DE3" w:rsidRDefault="003E626E" w:rsidP="003E626E">
      <w:pPr>
        <w:pStyle w:val="ListParagraph"/>
        <w:spacing w:after="0" w:line="240" w:lineRule="auto"/>
        <w:ind w:left="851"/>
        <w:rPr>
          <w:rFonts w:ascii="Montserrat Light" w:hAnsi="Montserrat Light" w:cstheme="minorHAnsi"/>
          <w:sz w:val="20"/>
          <w:szCs w:val="20"/>
        </w:rPr>
      </w:pPr>
    </w:p>
    <w:p w14:paraId="2E189E71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Timeframes</w:t>
      </w:r>
    </w:p>
    <w:p w14:paraId="01832C20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The process will be undertaken in two stages:</w:t>
      </w:r>
    </w:p>
    <w:p w14:paraId="204065AC" w14:textId="1AF21E13" w:rsidR="003E626E" w:rsidRPr="00873A22" w:rsidRDefault="001F2405" w:rsidP="003E626E">
      <w:pPr>
        <w:numPr>
          <w:ilvl w:val="1"/>
          <w:numId w:val="1"/>
        </w:numPr>
        <w:spacing w:after="0" w:line="240" w:lineRule="auto"/>
        <w:ind w:left="851" w:hanging="425"/>
        <w:contextualSpacing/>
        <w:rPr>
          <w:rFonts w:ascii="Montserrat Light" w:hAnsi="Montserrat Light" w:cstheme="minorHAnsi"/>
          <w:sz w:val="20"/>
          <w:szCs w:val="20"/>
        </w:rPr>
      </w:pPr>
      <w:r>
        <w:rPr>
          <w:rFonts w:ascii="Montserrat Light" w:hAnsi="Montserrat Light" w:cstheme="minorHAnsi"/>
          <w:sz w:val="20"/>
          <w:szCs w:val="20"/>
        </w:rPr>
        <w:t>Stage one – early</w:t>
      </w:r>
      <w:r w:rsidR="003E626E" w:rsidRPr="00873A22">
        <w:rPr>
          <w:rFonts w:ascii="Montserrat Light" w:hAnsi="Montserrat Light" w:cstheme="minorHAnsi"/>
          <w:sz w:val="20"/>
          <w:szCs w:val="20"/>
        </w:rPr>
        <w:t xml:space="preserve"> to </w:t>
      </w:r>
      <w:r>
        <w:rPr>
          <w:rFonts w:ascii="Montserrat Light" w:hAnsi="Montserrat Light" w:cstheme="minorHAnsi"/>
          <w:sz w:val="20"/>
          <w:szCs w:val="20"/>
        </w:rPr>
        <w:t>mid</w:t>
      </w:r>
      <w:r w:rsidR="003E626E" w:rsidRPr="00873A22">
        <w:rPr>
          <w:rFonts w:ascii="Montserrat Light" w:hAnsi="Montserrat Light" w:cstheme="minorHAnsi"/>
          <w:sz w:val="20"/>
          <w:szCs w:val="20"/>
        </w:rPr>
        <w:t xml:space="preserve"> 2020</w:t>
      </w:r>
    </w:p>
    <w:p w14:paraId="7A85BCF3" w14:textId="2BB71F5D" w:rsidR="00423CBA" w:rsidRDefault="003E626E" w:rsidP="00423CBA">
      <w:pPr>
        <w:numPr>
          <w:ilvl w:val="0"/>
          <w:numId w:val="5"/>
        </w:numPr>
        <w:spacing w:after="0" w:line="240" w:lineRule="auto"/>
        <w:contextualSpacing/>
        <w:rPr>
          <w:rFonts w:ascii="Montserrat Light" w:hAnsi="Montserrat Light" w:cstheme="minorHAnsi"/>
          <w:sz w:val="20"/>
          <w:szCs w:val="20"/>
        </w:rPr>
      </w:pPr>
      <w:r w:rsidRPr="00873A22">
        <w:rPr>
          <w:rFonts w:ascii="Montserrat Light" w:hAnsi="Montserrat Light" w:cstheme="minorHAnsi"/>
          <w:sz w:val="20"/>
          <w:szCs w:val="20"/>
        </w:rPr>
        <w:t>At the conclusion of stage one, options and models will b</w:t>
      </w:r>
      <w:r w:rsidR="00D5559D">
        <w:rPr>
          <w:rFonts w:ascii="Montserrat Light" w:hAnsi="Montserrat Light" w:cstheme="minorHAnsi"/>
          <w:sz w:val="20"/>
          <w:szCs w:val="20"/>
        </w:rPr>
        <w:t>e provided in an interim report (by mid 2020)</w:t>
      </w:r>
      <w:r w:rsidRPr="00873A22">
        <w:rPr>
          <w:rFonts w:ascii="Montserrat Light" w:hAnsi="Montserrat Light" w:cstheme="minorHAnsi"/>
          <w:sz w:val="20"/>
          <w:szCs w:val="20"/>
        </w:rPr>
        <w:t xml:space="preserve">. This report will be provided to the Minister alongside the advice of the Senior Advisory Group for decision by Government, ahead of the </w:t>
      </w:r>
      <w:r>
        <w:rPr>
          <w:rFonts w:ascii="Montserrat Light" w:hAnsi="Montserrat Light" w:cstheme="minorHAnsi"/>
          <w:sz w:val="20"/>
          <w:szCs w:val="20"/>
        </w:rPr>
        <w:t>conversation</w:t>
      </w:r>
      <w:r w:rsidRPr="00873A22">
        <w:rPr>
          <w:rFonts w:ascii="Montserrat Light" w:hAnsi="Montserrat Light" w:cstheme="minorHAnsi"/>
          <w:sz w:val="20"/>
          <w:szCs w:val="20"/>
        </w:rPr>
        <w:t xml:space="preserve"> and engagement stage. </w:t>
      </w:r>
    </w:p>
    <w:p w14:paraId="2B3AF134" w14:textId="665F7FA7" w:rsidR="00423CBA" w:rsidRDefault="00423CBA" w:rsidP="00423CBA">
      <w:pPr>
        <w:spacing w:after="0" w:line="240" w:lineRule="auto"/>
        <w:contextualSpacing/>
        <w:rPr>
          <w:rFonts w:ascii="Montserrat Light" w:hAnsi="Montserrat Light" w:cstheme="minorHAnsi"/>
          <w:sz w:val="20"/>
          <w:szCs w:val="20"/>
        </w:rPr>
      </w:pPr>
    </w:p>
    <w:p w14:paraId="78B10DB2" w14:textId="5DAD6D62" w:rsidR="00423CBA" w:rsidRDefault="00423CBA" w:rsidP="00423CBA">
      <w:pPr>
        <w:spacing w:after="0" w:line="240" w:lineRule="auto"/>
        <w:contextualSpacing/>
        <w:rPr>
          <w:rFonts w:ascii="Montserrat Light" w:hAnsi="Montserrat Light" w:cstheme="minorHAnsi"/>
          <w:sz w:val="20"/>
          <w:szCs w:val="20"/>
        </w:rPr>
      </w:pPr>
    </w:p>
    <w:p w14:paraId="614A42BC" w14:textId="77777777" w:rsidR="00423CBA" w:rsidRPr="00423CBA" w:rsidRDefault="00423CBA" w:rsidP="00423CBA">
      <w:pPr>
        <w:spacing w:after="0" w:line="240" w:lineRule="auto"/>
        <w:contextualSpacing/>
        <w:rPr>
          <w:rFonts w:ascii="Montserrat Light" w:hAnsi="Montserrat Light" w:cstheme="minorHAnsi"/>
          <w:sz w:val="20"/>
          <w:szCs w:val="20"/>
        </w:rPr>
      </w:pPr>
      <w:bookmarkStart w:id="1" w:name="_GoBack"/>
      <w:bookmarkEnd w:id="1"/>
    </w:p>
    <w:p w14:paraId="6B13250F" w14:textId="5D8C3A0F" w:rsidR="003E626E" w:rsidRPr="00C70DE3" w:rsidRDefault="001F2405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Montserrat Light" w:hAnsi="Montserrat Light" w:cstheme="minorHAnsi"/>
          <w:sz w:val="20"/>
          <w:szCs w:val="20"/>
        </w:rPr>
      </w:pPr>
      <w:r>
        <w:rPr>
          <w:rFonts w:ascii="Montserrat Light" w:hAnsi="Montserrat Light" w:cstheme="minorHAnsi"/>
          <w:sz w:val="20"/>
          <w:szCs w:val="20"/>
        </w:rPr>
        <w:lastRenderedPageBreak/>
        <w:t>Stage two – mid</w:t>
      </w:r>
      <w:r w:rsidR="003E626E" w:rsidRPr="00C70DE3">
        <w:rPr>
          <w:rFonts w:ascii="Montserrat Light" w:hAnsi="Montserrat Light" w:cstheme="minorHAnsi"/>
          <w:sz w:val="20"/>
          <w:szCs w:val="20"/>
        </w:rPr>
        <w:t xml:space="preserve"> to </w:t>
      </w:r>
      <w:r w:rsidR="00D5559D">
        <w:rPr>
          <w:rFonts w:ascii="Montserrat Light" w:hAnsi="Montserrat Light" w:cstheme="minorHAnsi"/>
          <w:sz w:val="20"/>
          <w:szCs w:val="20"/>
        </w:rPr>
        <w:t>late</w:t>
      </w:r>
      <w:r>
        <w:rPr>
          <w:rFonts w:ascii="Montserrat Light" w:hAnsi="Montserrat Light" w:cstheme="minorHAnsi"/>
          <w:sz w:val="20"/>
          <w:szCs w:val="20"/>
        </w:rPr>
        <w:t xml:space="preserve"> </w:t>
      </w:r>
      <w:r w:rsidR="003E626E" w:rsidRPr="00C70DE3">
        <w:rPr>
          <w:rFonts w:ascii="Montserrat Light" w:hAnsi="Montserrat Light" w:cstheme="minorHAnsi"/>
          <w:sz w:val="20"/>
          <w:szCs w:val="20"/>
        </w:rPr>
        <w:t xml:space="preserve">2020 </w:t>
      </w:r>
    </w:p>
    <w:p w14:paraId="5881954D" w14:textId="142F8D81" w:rsidR="003E626E" w:rsidRPr="009B77A2" w:rsidRDefault="003E626E" w:rsidP="003E626E">
      <w:pPr>
        <w:pStyle w:val="ListParagraph"/>
        <w:numPr>
          <w:ilvl w:val="2"/>
          <w:numId w:val="1"/>
        </w:numPr>
        <w:spacing w:after="120" w:line="240" w:lineRule="auto"/>
        <w:ind w:left="1134" w:hanging="141"/>
        <w:rPr>
          <w:rFonts w:ascii="Montserrat Light" w:hAnsi="Montserrat Light" w:cstheme="minorHAnsi"/>
          <w:sz w:val="20"/>
          <w:szCs w:val="20"/>
        </w:rPr>
      </w:pPr>
      <w:r w:rsidRPr="009B77A2">
        <w:rPr>
          <w:rFonts w:ascii="Montserrat Light" w:hAnsi="Montserrat Light" w:cstheme="minorHAnsi"/>
          <w:sz w:val="20"/>
          <w:szCs w:val="20"/>
        </w:rPr>
        <w:t xml:space="preserve">At the conclusion of stage two, a final report with options and models refined following </w:t>
      </w:r>
      <w:r>
        <w:rPr>
          <w:rFonts w:ascii="Montserrat Light" w:hAnsi="Montserrat Light" w:cstheme="minorHAnsi"/>
          <w:sz w:val="20"/>
          <w:szCs w:val="20"/>
        </w:rPr>
        <w:t>conversation</w:t>
      </w:r>
      <w:r w:rsidRPr="009B77A2">
        <w:rPr>
          <w:rFonts w:ascii="Montserrat Light" w:hAnsi="Montserrat Light" w:cstheme="minorHAnsi"/>
          <w:sz w:val="20"/>
          <w:szCs w:val="20"/>
        </w:rPr>
        <w:t xml:space="preserve"> and engagement will be provided to the Minister by</w:t>
      </w:r>
      <w:r w:rsidR="00D5559D">
        <w:rPr>
          <w:rFonts w:ascii="Montserrat Light" w:hAnsi="Montserrat Light" w:cstheme="minorHAnsi"/>
          <w:sz w:val="20"/>
          <w:szCs w:val="20"/>
        </w:rPr>
        <w:t xml:space="preserve"> late</w:t>
      </w:r>
      <w:r w:rsidRPr="009B77A2">
        <w:rPr>
          <w:rFonts w:ascii="Montserrat Light" w:hAnsi="Montserrat Light" w:cstheme="minorHAnsi"/>
          <w:sz w:val="20"/>
          <w:szCs w:val="20"/>
        </w:rPr>
        <w:t xml:space="preserve"> 2020, alongside advice from the Senior Advisory Group.</w:t>
      </w:r>
    </w:p>
    <w:p w14:paraId="7E4997B1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Membership</w:t>
      </w:r>
    </w:p>
    <w:p w14:paraId="684D50A4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>The Minister will invite individuals to participate in the Local &amp; Regional Group, following consultation with the Senior Advisory Group, and appoint a co-chair from among Indigenous non-government members. The second co-chair will be a senior official from the NIAA.</w:t>
      </w:r>
    </w:p>
    <w:p w14:paraId="791BA0C8" w14:textId="77777777" w:rsidR="003E626E" w:rsidRPr="00C70DE3" w:rsidRDefault="003E626E" w:rsidP="003E626E">
      <w:pPr>
        <w:pStyle w:val="ListParagraph"/>
        <w:spacing w:after="120" w:line="240" w:lineRule="auto"/>
        <w:ind w:left="426"/>
        <w:rPr>
          <w:rFonts w:ascii="Montserrat Light" w:hAnsi="Montserrat Light" w:cstheme="minorHAnsi"/>
          <w:sz w:val="20"/>
          <w:szCs w:val="20"/>
          <w:lang w:val="en-US"/>
        </w:rPr>
      </w:pPr>
    </w:p>
    <w:p w14:paraId="33F40681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Local &amp; Regional Group will be responsible for determining how they conduct discussions. The </w:t>
      </w:r>
      <w:r w:rsidRPr="00C70DE3">
        <w:rPr>
          <w:rFonts w:ascii="Montserrat Light" w:hAnsi="Montserrat Light" w:cstheme="minorHAnsi"/>
          <w:sz w:val="20"/>
          <w:szCs w:val="20"/>
        </w:rPr>
        <w:t xml:space="preserve">two co-chairs will chair meetings and 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>ensure work progresses out of session.</w:t>
      </w:r>
    </w:p>
    <w:p w14:paraId="33AA416E" w14:textId="77777777" w:rsidR="003E626E" w:rsidRPr="00C70DE3" w:rsidRDefault="003E626E" w:rsidP="003E626E">
      <w:pPr>
        <w:pStyle w:val="ListParagraph"/>
        <w:rPr>
          <w:rFonts w:ascii="Montserrat Light" w:hAnsi="Montserrat Light" w:cstheme="minorHAnsi"/>
          <w:sz w:val="20"/>
          <w:szCs w:val="20"/>
          <w:lang w:val="en-US"/>
        </w:rPr>
      </w:pPr>
    </w:p>
    <w:p w14:paraId="259CE624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</w:t>
      </w:r>
      <w:r w:rsidRPr="00C70DE3">
        <w:rPr>
          <w:rFonts w:ascii="Montserrat Light" w:hAnsi="Montserrat Light" w:cstheme="minorHAnsi"/>
          <w:sz w:val="20"/>
          <w:szCs w:val="20"/>
        </w:rPr>
        <w:t>two co-chairs will also be key contacts and representatives for the Local &amp; Regional Group. They will lead engagement with the</w:t>
      </w:r>
      <w:r w:rsidRPr="00873A22">
        <w:rPr>
          <w:rFonts w:ascii="Montserrat Light" w:hAnsi="Montserrat Light" w:cstheme="minorHAnsi"/>
          <w:sz w:val="20"/>
          <w:szCs w:val="20"/>
        </w:rPr>
        <w:t xml:space="preserve"> </w:t>
      </w:r>
      <w:r w:rsidRPr="009B77A2">
        <w:rPr>
          <w:rFonts w:ascii="Montserrat Light" w:hAnsi="Montserrat Light" w:cstheme="minorHAnsi"/>
          <w:sz w:val="20"/>
          <w:szCs w:val="20"/>
        </w:rPr>
        <w:t xml:space="preserve">Senior Advisory Group and the National Group, </w:t>
      </w:r>
      <w:r w:rsidRPr="00C70DE3">
        <w:rPr>
          <w:rFonts w:ascii="Montserrat Light" w:hAnsi="Montserrat Light" w:cstheme="minorHAnsi"/>
          <w:sz w:val="20"/>
          <w:szCs w:val="20"/>
        </w:rPr>
        <w:t>Minister and the Government at key points, as required.</w:t>
      </w:r>
    </w:p>
    <w:p w14:paraId="0F35AA01" w14:textId="77777777" w:rsidR="003E626E" w:rsidRPr="00C70DE3" w:rsidRDefault="003E626E" w:rsidP="003E626E">
      <w:pPr>
        <w:pStyle w:val="ListParagraph"/>
        <w:spacing w:after="120" w:line="240" w:lineRule="auto"/>
        <w:ind w:left="426"/>
        <w:rPr>
          <w:rFonts w:ascii="Montserrat Light" w:hAnsi="Montserrat Light" w:cstheme="minorHAnsi"/>
          <w:sz w:val="20"/>
          <w:szCs w:val="20"/>
          <w:lang w:val="en-US"/>
        </w:rPr>
      </w:pPr>
    </w:p>
    <w:p w14:paraId="18C7A150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non-government members of the Local &amp; Regional Group will comprise a majority of </w:t>
      </w:r>
      <w:r w:rsidRPr="00C70DE3">
        <w:rPr>
          <w:rFonts w:ascii="Montserrat Light" w:hAnsi="Montserrat Light" w:cstheme="minorHAnsi"/>
          <w:sz w:val="20"/>
          <w:szCs w:val="20"/>
        </w:rPr>
        <w:t xml:space="preserve">Indigenous </w:t>
      </w: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regional leaders and others with expertise relevant to Indigenous regional governance and decision-making. Consideration will also be given to achieving a balance of gender, representation across jurisdictions, and the urban, regional, and remote spectrum, as much as possible. </w:t>
      </w:r>
      <w:r w:rsidRPr="00C70DE3">
        <w:rPr>
          <w:rFonts w:ascii="Montserrat Light" w:hAnsi="Montserrat Light" w:cstheme="minorHAnsi"/>
          <w:b/>
          <w:sz w:val="20"/>
          <w:szCs w:val="20"/>
          <w:lang w:val="en-US"/>
        </w:rPr>
        <w:t xml:space="preserve"> </w:t>
      </w:r>
    </w:p>
    <w:p w14:paraId="3D842F56" w14:textId="77777777" w:rsidR="003E626E" w:rsidRPr="00C70DE3" w:rsidRDefault="003E626E" w:rsidP="003E626E">
      <w:pPr>
        <w:pStyle w:val="ListParagraph"/>
        <w:spacing w:after="120" w:line="240" w:lineRule="auto"/>
        <w:ind w:left="426"/>
        <w:rPr>
          <w:rFonts w:ascii="Montserrat Light" w:hAnsi="Montserrat Light" w:cstheme="minorHAnsi"/>
          <w:sz w:val="20"/>
          <w:szCs w:val="20"/>
          <w:lang w:val="en-US"/>
        </w:rPr>
      </w:pPr>
    </w:p>
    <w:p w14:paraId="1318D5B4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  <w:lang w:val="en-US"/>
        </w:rPr>
        <w:t xml:space="preserve">The Regional Group will comprise up to 20 members, (inclusive of one government co-chair and one Indigenous non-government co-chair) as determined by the Minister. </w:t>
      </w:r>
    </w:p>
    <w:p w14:paraId="3ACB1D9A" w14:textId="77777777" w:rsidR="003E626E" w:rsidRPr="00C70DE3" w:rsidRDefault="003E626E" w:rsidP="003E626E">
      <w:pPr>
        <w:pStyle w:val="ListParagraph"/>
        <w:rPr>
          <w:rFonts w:ascii="Montserrat Light" w:hAnsi="Montserrat Light" w:cstheme="minorHAnsi"/>
          <w:sz w:val="20"/>
          <w:szCs w:val="20"/>
          <w:lang w:val="en-US"/>
        </w:rPr>
      </w:pPr>
    </w:p>
    <w:p w14:paraId="1D3B742A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C70DE3">
        <w:rPr>
          <w:rFonts w:ascii="Montserrat Light" w:hAnsi="Montserrat Light" w:cstheme="minorHAnsi"/>
          <w:sz w:val="20"/>
          <w:szCs w:val="20"/>
        </w:rPr>
        <w:t>Deliberations of the Local &amp; Regional Group, discussions with the Minister, any sub</w:t>
      </w:r>
      <w:r w:rsidRPr="00C70DE3">
        <w:rPr>
          <w:rFonts w:ascii="Montserrat Light" w:hAnsi="Montserrat Light" w:cstheme="minorHAnsi"/>
          <w:sz w:val="20"/>
          <w:szCs w:val="20"/>
        </w:rPr>
        <w:noBreakHyphen/>
        <w:t>groups and external experts will be confidential. Liaising outside the group to discuss potential options should have prior agreement from the Local &amp; Regional Group co-chairs. Public comment about the Group’s deliberations and discussions will be subject to a media protocol and code of conduct.</w:t>
      </w:r>
    </w:p>
    <w:p w14:paraId="0CE43339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Secretariat</w:t>
      </w:r>
    </w:p>
    <w:p w14:paraId="298DBB85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All secretariat, logistical and administrative support will be provided by NIAA. This will include planning, logistics, travel arrangements and meeting support.</w:t>
      </w:r>
    </w:p>
    <w:p w14:paraId="3D5F9E6E" w14:textId="77777777" w:rsidR="003E626E" w:rsidRPr="00C70DE3" w:rsidRDefault="003E626E" w:rsidP="003E626E">
      <w:pPr>
        <w:pStyle w:val="ListParagraph"/>
        <w:spacing w:after="120" w:line="240" w:lineRule="auto"/>
        <w:ind w:left="426"/>
        <w:rPr>
          <w:rFonts w:ascii="Montserrat Light" w:hAnsi="Montserrat Light" w:cstheme="minorHAnsi"/>
        </w:rPr>
      </w:pPr>
    </w:p>
    <w:p w14:paraId="184DB5E2" w14:textId="77777777" w:rsidR="003E626E" w:rsidRPr="008D5214" w:rsidRDefault="003E626E" w:rsidP="003E626E">
      <w:pPr>
        <w:pBdr>
          <w:bottom w:val="single" w:sz="12" w:space="1" w:color="25303B"/>
        </w:pBdr>
        <w:spacing w:before="240" w:after="120" w:line="288" w:lineRule="auto"/>
        <w:ind w:right="227"/>
        <w:rPr>
          <w:rFonts w:ascii="Montserrat Semi Bold" w:hAnsi="Montserrat Semi Bold" w:cs="Calibri"/>
          <w:color w:val="008F8B"/>
        </w:rPr>
      </w:pPr>
      <w:r w:rsidRPr="008D5214">
        <w:rPr>
          <w:rFonts w:ascii="Montserrat Semi Bold" w:hAnsi="Montserrat Semi Bold" w:cs="Calibri"/>
          <w:color w:val="008F8B"/>
        </w:rPr>
        <w:t>Out of Scope</w:t>
      </w:r>
    </w:p>
    <w:p w14:paraId="7847635C" w14:textId="77777777" w:rsidR="003E626E" w:rsidRPr="00C70DE3" w:rsidRDefault="003E626E" w:rsidP="003E626E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The following matters are out of scope for the Local &amp; Regional Group:</w:t>
      </w:r>
    </w:p>
    <w:p w14:paraId="65BBAC77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Design of options for a national voice, other than considering linkages of local and regional elements and a national voice</w:t>
      </w:r>
      <w:r>
        <w:rPr>
          <w:rFonts w:ascii="Montserrat Light" w:hAnsi="Montserrat Light" w:cstheme="minorHAnsi"/>
          <w:sz w:val="20"/>
          <w:szCs w:val="20"/>
        </w:rPr>
        <w:t>, in order not to duplicate work across the two co-design groups</w:t>
      </w:r>
      <w:r w:rsidRPr="00C70DE3">
        <w:rPr>
          <w:rFonts w:ascii="Montserrat Light" w:hAnsi="Montserrat Light" w:cstheme="minorHAnsi"/>
          <w:sz w:val="20"/>
          <w:szCs w:val="20"/>
        </w:rPr>
        <w:t>.</w:t>
      </w:r>
    </w:p>
    <w:p w14:paraId="6BD44EBC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Final decision on which options progress to </w:t>
      </w:r>
      <w:r>
        <w:rPr>
          <w:rFonts w:ascii="Montserrat Light" w:hAnsi="Montserrat Light" w:cstheme="minorHAnsi"/>
          <w:sz w:val="20"/>
          <w:szCs w:val="20"/>
        </w:rPr>
        <w:t>conversations</w:t>
      </w:r>
      <w:r w:rsidRPr="00C70DE3">
        <w:rPr>
          <w:rFonts w:ascii="Montserrat Light" w:hAnsi="Montserrat Light" w:cstheme="minorHAnsi"/>
          <w:sz w:val="20"/>
          <w:szCs w:val="20"/>
        </w:rPr>
        <w:t xml:space="preserve"> and engagement in stage two.</w:t>
      </w:r>
    </w:p>
    <w:p w14:paraId="4ADD65A7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Making recommendations</w:t>
      </w:r>
      <w:r>
        <w:rPr>
          <w:rFonts w:ascii="Montserrat Light" w:hAnsi="Montserrat Light" w:cstheme="minorHAnsi"/>
          <w:sz w:val="20"/>
          <w:szCs w:val="20"/>
        </w:rPr>
        <w:t xml:space="preserve"> as a Group</w:t>
      </w:r>
      <w:r w:rsidRPr="00C70DE3">
        <w:rPr>
          <w:rFonts w:ascii="Montserrat Light" w:hAnsi="Montserrat Light" w:cstheme="minorHAnsi"/>
          <w:sz w:val="20"/>
          <w:szCs w:val="20"/>
        </w:rPr>
        <w:t xml:space="preserve"> through this co-design process on constitutional recognition, including the referendum question or when a referendum should be held.</w:t>
      </w:r>
    </w:p>
    <w:p w14:paraId="2A918C1D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 xml:space="preserve">Making recommendations </w:t>
      </w:r>
      <w:r>
        <w:rPr>
          <w:rFonts w:ascii="Montserrat Light" w:hAnsi="Montserrat Light" w:cstheme="minorHAnsi"/>
          <w:sz w:val="20"/>
          <w:szCs w:val="20"/>
        </w:rPr>
        <w:t xml:space="preserve">as a Group </w:t>
      </w:r>
      <w:r w:rsidRPr="00C70DE3">
        <w:rPr>
          <w:rFonts w:ascii="Montserrat Light" w:hAnsi="Montserrat Light" w:cstheme="minorHAnsi"/>
          <w:sz w:val="20"/>
          <w:szCs w:val="20"/>
        </w:rPr>
        <w:t>through this co-design process on the establishment of a Makarrata Commission (as called for by the Uluru Statement from the Heart), agreement making, treaty and truth-telling.</w:t>
      </w:r>
    </w:p>
    <w:p w14:paraId="2CB90336" w14:textId="77777777" w:rsidR="003E626E" w:rsidRPr="00C70DE3" w:rsidRDefault="003E626E" w:rsidP="003E626E">
      <w:pPr>
        <w:pStyle w:val="ListParagraph"/>
        <w:numPr>
          <w:ilvl w:val="1"/>
          <w:numId w:val="1"/>
        </w:numPr>
        <w:spacing w:after="0" w:line="240" w:lineRule="auto"/>
        <w:ind w:left="851" w:hanging="425"/>
        <w:contextualSpacing w:val="0"/>
        <w:rPr>
          <w:rFonts w:ascii="Montserrat Light" w:hAnsi="Montserrat Light" w:cstheme="minorHAnsi"/>
          <w:sz w:val="20"/>
          <w:szCs w:val="20"/>
        </w:rPr>
      </w:pPr>
      <w:r w:rsidRPr="00C70DE3">
        <w:rPr>
          <w:rFonts w:ascii="Montserrat Light" w:hAnsi="Montserrat Light" w:cstheme="minorHAnsi"/>
          <w:sz w:val="20"/>
          <w:szCs w:val="20"/>
        </w:rPr>
        <w:t>Overall budget, deliverables and associated timing and the overarching timeframe for the co-design process.</w:t>
      </w:r>
    </w:p>
    <w:p w14:paraId="50BCFDD1" w14:textId="77777777" w:rsidR="003E626E" w:rsidRPr="00FF64F3" w:rsidRDefault="003E626E" w:rsidP="003E626E">
      <w:pPr>
        <w:ind w:left="426"/>
        <w:rPr>
          <w:rFonts w:ascii="Montserrat Light" w:hAnsi="Montserrat Light"/>
          <w:sz w:val="20"/>
          <w:szCs w:val="20"/>
        </w:rPr>
      </w:pPr>
    </w:p>
    <w:p w14:paraId="4EFAF04E" w14:textId="77777777" w:rsidR="0032638C" w:rsidRPr="003E626E" w:rsidRDefault="0032638C" w:rsidP="003E626E"/>
    <w:sectPr w:rsidR="0032638C" w:rsidRPr="003E626E" w:rsidSect="002A5CB4">
      <w:headerReference w:type="even" r:id="rId13"/>
      <w:headerReference w:type="default" r:id="rId14"/>
      <w:headerReference w:type="first" r:id="rId15"/>
      <w:pgSz w:w="11906" w:h="16838"/>
      <w:pgMar w:top="35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12DA" w14:textId="77777777" w:rsidR="00505CF8" w:rsidRDefault="00505CF8" w:rsidP="00371575">
      <w:pPr>
        <w:spacing w:after="0" w:line="240" w:lineRule="auto"/>
      </w:pPr>
      <w:r>
        <w:separator/>
      </w:r>
    </w:p>
  </w:endnote>
  <w:endnote w:type="continuationSeparator" w:id="0">
    <w:p w14:paraId="3CAD1913" w14:textId="77777777" w:rsidR="00505CF8" w:rsidRDefault="00505CF8" w:rsidP="00371575">
      <w:pPr>
        <w:spacing w:after="0" w:line="240" w:lineRule="auto"/>
      </w:pPr>
      <w:r>
        <w:continuationSeparator/>
      </w:r>
    </w:p>
  </w:endnote>
  <w:endnote w:type="continuationNotice" w:id="1">
    <w:p w14:paraId="31F0F3D7" w14:textId="77777777" w:rsidR="00505CF8" w:rsidRDefault="00505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272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AA5F2" w14:textId="29BB8295" w:rsidR="003E626E" w:rsidRDefault="003E62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C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C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CE64B" w14:textId="77777777" w:rsidR="003E626E" w:rsidRDefault="003E626E" w:rsidP="00E279C7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156A" w14:textId="77777777" w:rsidR="00505CF8" w:rsidRDefault="00505CF8" w:rsidP="00371575">
      <w:pPr>
        <w:spacing w:after="0" w:line="240" w:lineRule="auto"/>
      </w:pPr>
      <w:r>
        <w:separator/>
      </w:r>
    </w:p>
  </w:footnote>
  <w:footnote w:type="continuationSeparator" w:id="0">
    <w:p w14:paraId="2D2158A1" w14:textId="77777777" w:rsidR="00505CF8" w:rsidRDefault="00505CF8" w:rsidP="00371575">
      <w:pPr>
        <w:spacing w:after="0" w:line="240" w:lineRule="auto"/>
      </w:pPr>
      <w:r>
        <w:continuationSeparator/>
      </w:r>
    </w:p>
  </w:footnote>
  <w:footnote w:type="continuationNotice" w:id="1">
    <w:p w14:paraId="1554D9B8" w14:textId="77777777" w:rsidR="00505CF8" w:rsidRDefault="00505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B2B1" w14:textId="77777777" w:rsidR="003E626E" w:rsidRPr="002A5CB4" w:rsidRDefault="003E626E" w:rsidP="002A5CB4">
    <w:pPr>
      <w:spacing w:after="120"/>
      <w:ind w:right="1871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86912" behindDoc="0" locked="0" layoutInCell="1" allowOverlap="1" wp14:anchorId="30614274" wp14:editId="1E3F1FE1">
          <wp:simplePos x="0" y="0"/>
          <wp:positionH relativeFrom="page">
            <wp:posOffset>715645</wp:posOffset>
          </wp:positionH>
          <wp:positionV relativeFrom="page">
            <wp:posOffset>616173</wp:posOffset>
          </wp:positionV>
          <wp:extent cx="2123440" cy="640080"/>
          <wp:effectExtent l="0" t="0" r="0" b="7620"/>
          <wp:wrapNone/>
          <wp:docPr id="35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603D">
      <w:rPr>
        <w:rStyle w:val="TableTextChar"/>
        <w:rFonts w:ascii="Montserrat Light" w:hAnsi="Montserrat Light"/>
        <w:caps/>
        <w:noProof/>
        <w:color w:val="9E2232"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6B6B601" wp14:editId="5A713833">
              <wp:simplePos x="0" y="0"/>
              <wp:positionH relativeFrom="page">
                <wp:posOffset>2926715</wp:posOffset>
              </wp:positionH>
              <wp:positionV relativeFrom="page">
                <wp:posOffset>625887</wp:posOffset>
              </wp:positionV>
              <wp:extent cx="0" cy="619760"/>
              <wp:effectExtent l="0" t="0" r="19050" b="2794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9760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21F8E8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0.45pt,49.3pt" to="230.4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" strokecolor="white [3212]">
              <v:stroke joinstyle="miter"/>
              <w10:wrap anchorx="page" anchory="page"/>
            </v:line>
          </w:pict>
        </mc:Fallback>
      </mc:AlternateContent>
    </w:r>
    <w:r w:rsidRPr="005F1637">
      <w:rPr>
        <w:noProof/>
        <w:color w:val="25303B"/>
        <w:lang w:eastAsia="en-AU"/>
      </w:rPr>
      <w:drawing>
        <wp:anchor distT="0" distB="0" distL="114300" distR="114300" simplePos="0" relativeHeight="251688960" behindDoc="0" locked="1" layoutInCell="1" allowOverlap="1" wp14:anchorId="4485F5D6" wp14:editId="6234EF80">
          <wp:simplePos x="0" y="0"/>
          <wp:positionH relativeFrom="page">
            <wp:posOffset>3081020</wp:posOffset>
          </wp:positionH>
          <wp:positionV relativeFrom="page">
            <wp:posOffset>699770</wp:posOffset>
          </wp:positionV>
          <wp:extent cx="1583690" cy="518160"/>
          <wp:effectExtent l="0" t="0" r="0" b="0"/>
          <wp:wrapNone/>
          <wp:docPr id="37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5888" behindDoc="1" locked="0" layoutInCell="1" allowOverlap="1" wp14:anchorId="23D4FCC2" wp14:editId="3CF17099">
          <wp:simplePos x="0" y="0"/>
          <wp:positionH relativeFrom="column">
            <wp:posOffset>-133350</wp:posOffset>
          </wp:positionH>
          <wp:positionV relativeFrom="page">
            <wp:posOffset>351155</wp:posOffset>
          </wp:positionV>
          <wp:extent cx="6822440" cy="1251585"/>
          <wp:effectExtent l="0" t="0" r="0" b="5715"/>
          <wp:wrapThrough wrapText="bothSides">
            <wp:wrapPolygon edited="0">
              <wp:start x="181" y="986"/>
              <wp:lineTo x="181" y="21370"/>
              <wp:lineTo x="21532" y="21370"/>
              <wp:lineTo x="21532" y="986"/>
              <wp:lineTo x="181" y="986"/>
            </wp:wrapPolygon>
          </wp:wrapThrough>
          <wp:docPr id="38" name="Graphic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Graphic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6822440" cy="1251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394">
      <w:rPr>
        <w:rFonts w:ascii="Montserrat Semi Bold" w:hAnsi="Montserrat Semi Bold" w:cs="Arial"/>
        <w:noProof/>
        <w:color w:val="9E2232"/>
        <w:sz w:val="36"/>
        <w:szCs w:val="36"/>
        <w:lang w:eastAsia="en-AU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15797A6C" wp14:editId="705A36BB">
              <wp:simplePos x="0" y="0"/>
              <wp:positionH relativeFrom="column">
                <wp:posOffset>4610100</wp:posOffset>
              </wp:positionH>
              <wp:positionV relativeFrom="paragraph">
                <wp:posOffset>95250</wp:posOffset>
              </wp:positionV>
              <wp:extent cx="2009775" cy="619125"/>
              <wp:effectExtent l="0" t="0" r="0" b="0"/>
              <wp:wrapSquare wrapText="bothSides"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4512B" w14:textId="1E588CB4" w:rsidR="003E626E" w:rsidRPr="006A47CF" w:rsidRDefault="00976FDC" w:rsidP="002A5CB4">
                          <w:pPr>
                            <w:jc w:val="center"/>
                            <w:rPr>
                              <w:color w:val="FFFFFF" w:themeColor="background1"/>
                              <w:spacing w:val="-8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   Local and Regional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br/>
                            <w:t xml:space="preserve">    </w:t>
                          </w:r>
                          <w:r w:rsidR="003E626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Co-Design </w:t>
                          </w:r>
                          <w:r w:rsidR="003E626E" w:rsidRPr="00BB38B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97A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pt;margin-top:7.5pt;width:158.25pt;height: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" filled="f" stroked="f">
              <v:textbox>
                <w:txbxContent>
                  <w:p w14:paraId="3894512B" w14:textId="1E588CB4" w:rsidR="003E626E" w:rsidRPr="006A47CF" w:rsidRDefault="00976FDC" w:rsidP="002A5CB4">
                    <w:pPr>
                      <w:jc w:val="center"/>
                      <w:rPr>
                        <w:color w:val="FFFFFF" w:themeColor="background1"/>
                        <w:spacing w:val="-8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    Local and Regional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br/>
                      <w:t xml:space="preserve">    </w:t>
                    </w:r>
                    <w:r w:rsidR="003E626E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Co-Design </w:t>
                    </w:r>
                    <w:r w:rsidR="003E626E" w:rsidRPr="00BB38BC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Group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1940" w14:textId="566F48EA" w:rsidR="00DB66E8" w:rsidRDefault="00DB6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F6CD" w14:textId="064D1A0B" w:rsidR="002A5CB4" w:rsidRPr="002A5CB4" w:rsidRDefault="002A5CB4" w:rsidP="002A5CB4">
    <w:pPr>
      <w:spacing w:after="120"/>
      <w:ind w:right="1871"/>
    </w:pPr>
    <w:r w:rsidRPr="003F603D">
      <w:rPr>
        <w:rStyle w:val="TableTextChar"/>
        <w:rFonts w:ascii="Montserrat Light" w:hAnsi="Montserrat Light"/>
        <w:caps/>
        <w:noProof/>
        <w:color w:val="9E2232"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C3F64F" wp14:editId="52CCF476">
              <wp:simplePos x="0" y="0"/>
              <wp:positionH relativeFrom="page">
                <wp:posOffset>2926856</wp:posOffset>
              </wp:positionH>
              <wp:positionV relativeFrom="page">
                <wp:posOffset>663575</wp:posOffset>
              </wp:positionV>
              <wp:extent cx="0" cy="619760"/>
              <wp:effectExtent l="0" t="0" r="38100" b="2794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9760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7CEF7" id="Straight Connector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0.45pt,52.25pt" to="230.4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" strokecolor="white [3212]">
              <v:stroke joinstyle="miter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59E7" w14:textId="4060A38E" w:rsidR="00DB66E8" w:rsidRDefault="00DB6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040"/>
    <w:multiLevelType w:val="multilevel"/>
    <w:tmpl w:val="9A94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940A1D"/>
    <w:multiLevelType w:val="hybridMultilevel"/>
    <w:tmpl w:val="4920E540"/>
    <w:lvl w:ilvl="0" w:tplc="DBC249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70B9"/>
    <w:multiLevelType w:val="hybridMultilevel"/>
    <w:tmpl w:val="ED22B9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126BE"/>
    <w:multiLevelType w:val="hybridMultilevel"/>
    <w:tmpl w:val="E25683AA"/>
    <w:lvl w:ilvl="0" w:tplc="0C09001B">
      <w:start w:val="1"/>
      <w:numFmt w:val="lowerRoman"/>
      <w:lvlText w:val="%1."/>
      <w:lvlJc w:val="righ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5611603"/>
    <w:multiLevelType w:val="hybridMultilevel"/>
    <w:tmpl w:val="1DE435EC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92"/>
    <w:rsid w:val="00013F1A"/>
    <w:rsid w:val="00021000"/>
    <w:rsid w:val="0002531E"/>
    <w:rsid w:val="00033614"/>
    <w:rsid w:val="000364E6"/>
    <w:rsid w:val="00044FF1"/>
    <w:rsid w:val="00047161"/>
    <w:rsid w:val="00052160"/>
    <w:rsid w:val="00053E4C"/>
    <w:rsid w:val="00070359"/>
    <w:rsid w:val="00071449"/>
    <w:rsid w:val="00075BCC"/>
    <w:rsid w:val="0009138C"/>
    <w:rsid w:val="000A1483"/>
    <w:rsid w:val="000A773F"/>
    <w:rsid w:val="000B1452"/>
    <w:rsid w:val="000B2746"/>
    <w:rsid w:val="000B70B2"/>
    <w:rsid w:val="000C7B45"/>
    <w:rsid w:val="000D2339"/>
    <w:rsid w:val="000D23C8"/>
    <w:rsid w:val="000D2769"/>
    <w:rsid w:val="000E31B9"/>
    <w:rsid w:val="000E518A"/>
    <w:rsid w:val="000F10CE"/>
    <w:rsid w:val="000F3BC6"/>
    <w:rsid w:val="000F7C95"/>
    <w:rsid w:val="00103EA2"/>
    <w:rsid w:val="00110475"/>
    <w:rsid w:val="00113C0B"/>
    <w:rsid w:val="00113D15"/>
    <w:rsid w:val="001204F3"/>
    <w:rsid w:val="00122F9F"/>
    <w:rsid w:val="0012309C"/>
    <w:rsid w:val="001259BF"/>
    <w:rsid w:val="00133C49"/>
    <w:rsid w:val="00137332"/>
    <w:rsid w:val="00140334"/>
    <w:rsid w:val="0014207B"/>
    <w:rsid w:val="001434A2"/>
    <w:rsid w:val="00152528"/>
    <w:rsid w:val="0015257A"/>
    <w:rsid w:val="00153A22"/>
    <w:rsid w:val="00156D75"/>
    <w:rsid w:val="00157615"/>
    <w:rsid w:val="0015782A"/>
    <w:rsid w:val="00157DAF"/>
    <w:rsid w:val="00163722"/>
    <w:rsid w:val="00163A9E"/>
    <w:rsid w:val="00180A55"/>
    <w:rsid w:val="00187AB6"/>
    <w:rsid w:val="00191DC8"/>
    <w:rsid w:val="00192B1B"/>
    <w:rsid w:val="001A0F12"/>
    <w:rsid w:val="001A1464"/>
    <w:rsid w:val="001A4CCB"/>
    <w:rsid w:val="001A79B5"/>
    <w:rsid w:val="001B1198"/>
    <w:rsid w:val="001B1C89"/>
    <w:rsid w:val="001C1940"/>
    <w:rsid w:val="001C4EA9"/>
    <w:rsid w:val="001C79CA"/>
    <w:rsid w:val="001D41E4"/>
    <w:rsid w:val="001D4DC4"/>
    <w:rsid w:val="001E0DE0"/>
    <w:rsid w:val="001E2BD1"/>
    <w:rsid w:val="001E5197"/>
    <w:rsid w:val="001E7C42"/>
    <w:rsid w:val="001F2405"/>
    <w:rsid w:val="001F30ED"/>
    <w:rsid w:val="001F446D"/>
    <w:rsid w:val="001F6E73"/>
    <w:rsid w:val="002026CA"/>
    <w:rsid w:val="00204C2F"/>
    <w:rsid w:val="00204E64"/>
    <w:rsid w:val="00214B41"/>
    <w:rsid w:val="00214F61"/>
    <w:rsid w:val="0022301B"/>
    <w:rsid w:val="002242D6"/>
    <w:rsid w:val="00242F42"/>
    <w:rsid w:val="002549F3"/>
    <w:rsid w:val="00264141"/>
    <w:rsid w:val="00267EA0"/>
    <w:rsid w:val="00275696"/>
    <w:rsid w:val="00283C06"/>
    <w:rsid w:val="0028533D"/>
    <w:rsid w:val="00286B42"/>
    <w:rsid w:val="0028708C"/>
    <w:rsid w:val="0029416A"/>
    <w:rsid w:val="00295DE9"/>
    <w:rsid w:val="002A1541"/>
    <w:rsid w:val="002A5CB4"/>
    <w:rsid w:val="002A5E64"/>
    <w:rsid w:val="002B22A3"/>
    <w:rsid w:val="002D190B"/>
    <w:rsid w:val="002D1C45"/>
    <w:rsid w:val="002D5195"/>
    <w:rsid w:val="002F4981"/>
    <w:rsid w:val="002F5E36"/>
    <w:rsid w:val="002F70A2"/>
    <w:rsid w:val="00312647"/>
    <w:rsid w:val="00316B90"/>
    <w:rsid w:val="003243E9"/>
    <w:rsid w:val="003247B6"/>
    <w:rsid w:val="0032638C"/>
    <w:rsid w:val="00327EB2"/>
    <w:rsid w:val="00330E77"/>
    <w:rsid w:val="00331336"/>
    <w:rsid w:val="003350CB"/>
    <w:rsid w:val="00335C52"/>
    <w:rsid w:val="00337479"/>
    <w:rsid w:val="00341EFA"/>
    <w:rsid w:val="003434D6"/>
    <w:rsid w:val="00345A0F"/>
    <w:rsid w:val="00350B9D"/>
    <w:rsid w:val="00354371"/>
    <w:rsid w:val="0035679F"/>
    <w:rsid w:val="00357F9D"/>
    <w:rsid w:val="003610F5"/>
    <w:rsid w:val="003662D5"/>
    <w:rsid w:val="00367507"/>
    <w:rsid w:val="00371575"/>
    <w:rsid w:val="003768ED"/>
    <w:rsid w:val="003828E5"/>
    <w:rsid w:val="0039012B"/>
    <w:rsid w:val="00390A78"/>
    <w:rsid w:val="00397169"/>
    <w:rsid w:val="003A030C"/>
    <w:rsid w:val="003A0F8C"/>
    <w:rsid w:val="003B1C07"/>
    <w:rsid w:val="003B2311"/>
    <w:rsid w:val="003B2DC5"/>
    <w:rsid w:val="003B3353"/>
    <w:rsid w:val="003C371F"/>
    <w:rsid w:val="003C5B28"/>
    <w:rsid w:val="003D434C"/>
    <w:rsid w:val="003E1AC3"/>
    <w:rsid w:val="003E268A"/>
    <w:rsid w:val="003E626E"/>
    <w:rsid w:val="0040115D"/>
    <w:rsid w:val="00401AA3"/>
    <w:rsid w:val="004047B6"/>
    <w:rsid w:val="00422585"/>
    <w:rsid w:val="0042283E"/>
    <w:rsid w:val="00423CBA"/>
    <w:rsid w:val="00426EA5"/>
    <w:rsid w:val="00430AEE"/>
    <w:rsid w:val="00432CF8"/>
    <w:rsid w:val="004332A2"/>
    <w:rsid w:val="0043757C"/>
    <w:rsid w:val="004408ED"/>
    <w:rsid w:val="0044342E"/>
    <w:rsid w:val="00443BBE"/>
    <w:rsid w:val="0045036F"/>
    <w:rsid w:val="00451C2C"/>
    <w:rsid w:val="00454445"/>
    <w:rsid w:val="004555F7"/>
    <w:rsid w:val="00455AC2"/>
    <w:rsid w:val="00456EB4"/>
    <w:rsid w:val="00460B33"/>
    <w:rsid w:val="0046262A"/>
    <w:rsid w:val="00462819"/>
    <w:rsid w:val="00476FEB"/>
    <w:rsid w:val="00483870"/>
    <w:rsid w:val="004A2929"/>
    <w:rsid w:val="004A3424"/>
    <w:rsid w:val="004A76B4"/>
    <w:rsid w:val="004B01B6"/>
    <w:rsid w:val="004B1B0E"/>
    <w:rsid w:val="004B56CD"/>
    <w:rsid w:val="004C0877"/>
    <w:rsid w:val="004C0A8F"/>
    <w:rsid w:val="004C3175"/>
    <w:rsid w:val="004D3874"/>
    <w:rsid w:val="004E158A"/>
    <w:rsid w:val="004E5C92"/>
    <w:rsid w:val="004E7EE5"/>
    <w:rsid w:val="004F0993"/>
    <w:rsid w:val="004F597E"/>
    <w:rsid w:val="004F74E7"/>
    <w:rsid w:val="00504197"/>
    <w:rsid w:val="00504CC9"/>
    <w:rsid w:val="00505CF8"/>
    <w:rsid w:val="00530E6B"/>
    <w:rsid w:val="00531C6D"/>
    <w:rsid w:val="005327D6"/>
    <w:rsid w:val="005328B0"/>
    <w:rsid w:val="00534ABA"/>
    <w:rsid w:val="0053508F"/>
    <w:rsid w:val="00535278"/>
    <w:rsid w:val="005466F4"/>
    <w:rsid w:val="00553DC4"/>
    <w:rsid w:val="0055401C"/>
    <w:rsid w:val="005550B5"/>
    <w:rsid w:val="00555F0B"/>
    <w:rsid w:val="005563CE"/>
    <w:rsid w:val="0055743A"/>
    <w:rsid w:val="00564696"/>
    <w:rsid w:val="005706FC"/>
    <w:rsid w:val="005738D1"/>
    <w:rsid w:val="0057426F"/>
    <w:rsid w:val="00574CE9"/>
    <w:rsid w:val="0057523F"/>
    <w:rsid w:val="00582704"/>
    <w:rsid w:val="005853AE"/>
    <w:rsid w:val="0059650E"/>
    <w:rsid w:val="00597399"/>
    <w:rsid w:val="005B0B76"/>
    <w:rsid w:val="005B2095"/>
    <w:rsid w:val="005B7886"/>
    <w:rsid w:val="005D3496"/>
    <w:rsid w:val="005E0EFB"/>
    <w:rsid w:val="005E1781"/>
    <w:rsid w:val="005E1C30"/>
    <w:rsid w:val="005E1DD5"/>
    <w:rsid w:val="005E49EF"/>
    <w:rsid w:val="005F0AC5"/>
    <w:rsid w:val="005F3A40"/>
    <w:rsid w:val="00603803"/>
    <w:rsid w:val="0061292E"/>
    <w:rsid w:val="00615381"/>
    <w:rsid w:val="00615581"/>
    <w:rsid w:val="006177B4"/>
    <w:rsid w:val="00620187"/>
    <w:rsid w:val="006230B4"/>
    <w:rsid w:val="00623E4B"/>
    <w:rsid w:val="00631B66"/>
    <w:rsid w:val="006320A4"/>
    <w:rsid w:val="0063755F"/>
    <w:rsid w:val="00643965"/>
    <w:rsid w:val="00644616"/>
    <w:rsid w:val="00647C56"/>
    <w:rsid w:val="006561E7"/>
    <w:rsid w:val="00670A72"/>
    <w:rsid w:val="0067177C"/>
    <w:rsid w:val="006725FB"/>
    <w:rsid w:val="006753F5"/>
    <w:rsid w:val="00682B6A"/>
    <w:rsid w:val="00686624"/>
    <w:rsid w:val="00693C98"/>
    <w:rsid w:val="006944F6"/>
    <w:rsid w:val="006A1B49"/>
    <w:rsid w:val="006A37E5"/>
    <w:rsid w:val="006A4373"/>
    <w:rsid w:val="006A5768"/>
    <w:rsid w:val="006A6769"/>
    <w:rsid w:val="006B5214"/>
    <w:rsid w:val="006C10D4"/>
    <w:rsid w:val="006C4B99"/>
    <w:rsid w:val="006C7793"/>
    <w:rsid w:val="006D03D3"/>
    <w:rsid w:val="006D14ED"/>
    <w:rsid w:val="006D27D8"/>
    <w:rsid w:val="006D2AF2"/>
    <w:rsid w:val="006D4987"/>
    <w:rsid w:val="006D5B12"/>
    <w:rsid w:val="006E0CB4"/>
    <w:rsid w:val="006E1797"/>
    <w:rsid w:val="006E4C6D"/>
    <w:rsid w:val="006E6C2D"/>
    <w:rsid w:val="006E6C36"/>
    <w:rsid w:val="007028EA"/>
    <w:rsid w:val="00703F60"/>
    <w:rsid w:val="00704A82"/>
    <w:rsid w:val="00706593"/>
    <w:rsid w:val="00717973"/>
    <w:rsid w:val="0072256E"/>
    <w:rsid w:val="00724714"/>
    <w:rsid w:val="00732859"/>
    <w:rsid w:val="007354E8"/>
    <w:rsid w:val="00735FBD"/>
    <w:rsid w:val="00743810"/>
    <w:rsid w:val="00746724"/>
    <w:rsid w:val="007508A3"/>
    <w:rsid w:val="007573EF"/>
    <w:rsid w:val="00760FA1"/>
    <w:rsid w:val="00762ACB"/>
    <w:rsid w:val="00762DEB"/>
    <w:rsid w:val="007647DA"/>
    <w:rsid w:val="0076560D"/>
    <w:rsid w:val="00767272"/>
    <w:rsid w:val="007733F8"/>
    <w:rsid w:val="007757AA"/>
    <w:rsid w:val="00776812"/>
    <w:rsid w:val="00794400"/>
    <w:rsid w:val="007A02BE"/>
    <w:rsid w:val="007A12F7"/>
    <w:rsid w:val="007B2FD4"/>
    <w:rsid w:val="007C0EB6"/>
    <w:rsid w:val="007C2AA0"/>
    <w:rsid w:val="007C2ED7"/>
    <w:rsid w:val="007C386B"/>
    <w:rsid w:val="007D26CE"/>
    <w:rsid w:val="007D428D"/>
    <w:rsid w:val="00802773"/>
    <w:rsid w:val="00825701"/>
    <w:rsid w:val="00827817"/>
    <w:rsid w:val="008311EC"/>
    <w:rsid w:val="00832CBD"/>
    <w:rsid w:val="00837E2F"/>
    <w:rsid w:val="00845AF2"/>
    <w:rsid w:val="00854C6C"/>
    <w:rsid w:val="00855B16"/>
    <w:rsid w:val="00856B66"/>
    <w:rsid w:val="00862B27"/>
    <w:rsid w:val="00873A22"/>
    <w:rsid w:val="008A58DD"/>
    <w:rsid w:val="008A5B7E"/>
    <w:rsid w:val="008A69C6"/>
    <w:rsid w:val="008B021D"/>
    <w:rsid w:val="008B0FAD"/>
    <w:rsid w:val="008B359E"/>
    <w:rsid w:val="008B6485"/>
    <w:rsid w:val="008C13EC"/>
    <w:rsid w:val="008C23E0"/>
    <w:rsid w:val="008C2F18"/>
    <w:rsid w:val="008D211E"/>
    <w:rsid w:val="008D2858"/>
    <w:rsid w:val="008D2D67"/>
    <w:rsid w:val="008D3E74"/>
    <w:rsid w:val="008D3FFB"/>
    <w:rsid w:val="008D5214"/>
    <w:rsid w:val="008D5CC5"/>
    <w:rsid w:val="008E37C5"/>
    <w:rsid w:val="008F07F7"/>
    <w:rsid w:val="008F0FBB"/>
    <w:rsid w:val="008F38D4"/>
    <w:rsid w:val="008F4B6A"/>
    <w:rsid w:val="00905B83"/>
    <w:rsid w:val="0092399E"/>
    <w:rsid w:val="009254CF"/>
    <w:rsid w:val="00927300"/>
    <w:rsid w:val="00930596"/>
    <w:rsid w:val="00935306"/>
    <w:rsid w:val="0093570A"/>
    <w:rsid w:val="009417D8"/>
    <w:rsid w:val="0094743F"/>
    <w:rsid w:val="00952BF0"/>
    <w:rsid w:val="00955019"/>
    <w:rsid w:val="00955F1F"/>
    <w:rsid w:val="009570C5"/>
    <w:rsid w:val="00960D89"/>
    <w:rsid w:val="00963884"/>
    <w:rsid w:val="00966217"/>
    <w:rsid w:val="00971E3A"/>
    <w:rsid w:val="00972AC3"/>
    <w:rsid w:val="00974FED"/>
    <w:rsid w:val="00976FDC"/>
    <w:rsid w:val="00977BE8"/>
    <w:rsid w:val="00977FE9"/>
    <w:rsid w:val="00990435"/>
    <w:rsid w:val="009938C2"/>
    <w:rsid w:val="0099569F"/>
    <w:rsid w:val="0099736A"/>
    <w:rsid w:val="009977E9"/>
    <w:rsid w:val="009A2245"/>
    <w:rsid w:val="009A2D3C"/>
    <w:rsid w:val="009A6079"/>
    <w:rsid w:val="009B2B4B"/>
    <w:rsid w:val="009B332F"/>
    <w:rsid w:val="009C0B9B"/>
    <w:rsid w:val="009C257D"/>
    <w:rsid w:val="009C3B14"/>
    <w:rsid w:val="009D2A1B"/>
    <w:rsid w:val="009E3E2D"/>
    <w:rsid w:val="009F0B00"/>
    <w:rsid w:val="00A02FA1"/>
    <w:rsid w:val="00A20784"/>
    <w:rsid w:val="00A211A0"/>
    <w:rsid w:val="00A21BEF"/>
    <w:rsid w:val="00A37F0D"/>
    <w:rsid w:val="00A4734D"/>
    <w:rsid w:val="00A50ED9"/>
    <w:rsid w:val="00A52A4B"/>
    <w:rsid w:val="00A53AEC"/>
    <w:rsid w:val="00A54117"/>
    <w:rsid w:val="00A63DF4"/>
    <w:rsid w:val="00A6591B"/>
    <w:rsid w:val="00A70F7A"/>
    <w:rsid w:val="00A73039"/>
    <w:rsid w:val="00A73133"/>
    <w:rsid w:val="00A7339D"/>
    <w:rsid w:val="00A775BF"/>
    <w:rsid w:val="00A77CAD"/>
    <w:rsid w:val="00A82153"/>
    <w:rsid w:val="00A93F4C"/>
    <w:rsid w:val="00A96E67"/>
    <w:rsid w:val="00AA162B"/>
    <w:rsid w:val="00AA66D9"/>
    <w:rsid w:val="00AA6863"/>
    <w:rsid w:val="00AA6E85"/>
    <w:rsid w:val="00AB1621"/>
    <w:rsid w:val="00AB3508"/>
    <w:rsid w:val="00AB3E42"/>
    <w:rsid w:val="00AB4185"/>
    <w:rsid w:val="00AB7182"/>
    <w:rsid w:val="00AB7A58"/>
    <w:rsid w:val="00AC126E"/>
    <w:rsid w:val="00AE1920"/>
    <w:rsid w:val="00AE1D30"/>
    <w:rsid w:val="00AE2EBF"/>
    <w:rsid w:val="00AE4A4F"/>
    <w:rsid w:val="00AE4B80"/>
    <w:rsid w:val="00AF1071"/>
    <w:rsid w:val="00AF4247"/>
    <w:rsid w:val="00AF6814"/>
    <w:rsid w:val="00AF7372"/>
    <w:rsid w:val="00B035EC"/>
    <w:rsid w:val="00B105A0"/>
    <w:rsid w:val="00B116FD"/>
    <w:rsid w:val="00B17DAB"/>
    <w:rsid w:val="00B25B90"/>
    <w:rsid w:val="00B25C96"/>
    <w:rsid w:val="00B262B0"/>
    <w:rsid w:val="00B26629"/>
    <w:rsid w:val="00B27B94"/>
    <w:rsid w:val="00B30B83"/>
    <w:rsid w:val="00B44954"/>
    <w:rsid w:val="00B4533B"/>
    <w:rsid w:val="00B46191"/>
    <w:rsid w:val="00B463F3"/>
    <w:rsid w:val="00B47F8A"/>
    <w:rsid w:val="00B50594"/>
    <w:rsid w:val="00B51A36"/>
    <w:rsid w:val="00B51F03"/>
    <w:rsid w:val="00B646F5"/>
    <w:rsid w:val="00B751E1"/>
    <w:rsid w:val="00B82EFF"/>
    <w:rsid w:val="00B9494D"/>
    <w:rsid w:val="00B96AA7"/>
    <w:rsid w:val="00BA2CA5"/>
    <w:rsid w:val="00BA42A8"/>
    <w:rsid w:val="00BA6212"/>
    <w:rsid w:val="00BA746E"/>
    <w:rsid w:val="00BB36CC"/>
    <w:rsid w:val="00BB5CCD"/>
    <w:rsid w:val="00BB7185"/>
    <w:rsid w:val="00BB73EA"/>
    <w:rsid w:val="00BC37BD"/>
    <w:rsid w:val="00BC51EF"/>
    <w:rsid w:val="00BE2E91"/>
    <w:rsid w:val="00C063ED"/>
    <w:rsid w:val="00C14859"/>
    <w:rsid w:val="00C21A72"/>
    <w:rsid w:val="00C22E88"/>
    <w:rsid w:val="00C24F3B"/>
    <w:rsid w:val="00C25055"/>
    <w:rsid w:val="00C341EE"/>
    <w:rsid w:val="00C3753D"/>
    <w:rsid w:val="00C438E6"/>
    <w:rsid w:val="00C532ED"/>
    <w:rsid w:val="00C56B79"/>
    <w:rsid w:val="00C61A8D"/>
    <w:rsid w:val="00C65E55"/>
    <w:rsid w:val="00C65EAE"/>
    <w:rsid w:val="00C70DE3"/>
    <w:rsid w:val="00C744C5"/>
    <w:rsid w:val="00C81858"/>
    <w:rsid w:val="00C823CC"/>
    <w:rsid w:val="00C83124"/>
    <w:rsid w:val="00C9145E"/>
    <w:rsid w:val="00CA7901"/>
    <w:rsid w:val="00CB1D9A"/>
    <w:rsid w:val="00CB5B8A"/>
    <w:rsid w:val="00CC02D8"/>
    <w:rsid w:val="00CC4856"/>
    <w:rsid w:val="00CC4A82"/>
    <w:rsid w:val="00CC5332"/>
    <w:rsid w:val="00CC5A0D"/>
    <w:rsid w:val="00CC689B"/>
    <w:rsid w:val="00CD1AAD"/>
    <w:rsid w:val="00CD4AE4"/>
    <w:rsid w:val="00CE1125"/>
    <w:rsid w:val="00D0450D"/>
    <w:rsid w:val="00D04A86"/>
    <w:rsid w:val="00D0553C"/>
    <w:rsid w:val="00D05723"/>
    <w:rsid w:val="00D122F4"/>
    <w:rsid w:val="00D13FF1"/>
    <w:rsid w:val="00D147DE"/>
    <w:rsid w:val="00D21077"/>
    <w:rsid w:val="00D24156"/>
    <w:rsid w:val="00D26E54"/>
    <w:rsid w:val="00D26FBA"/>
    <w:rsid w:val="00D3505F"/>
    <w:rsid w:val="00D36199"/>
    <w:rsid w:val="00D36FD3"/>
    <w:rsid w:val="00D45948"/>
    <w:rsid w:val="00D470A3"/>
    <w:rsid w:val="00D5559D"/>
    <w:rsid w:val="00D55A77"/>
    <w:rsid w:val="00D57951"/>
    <w:rsid w:val="00D6079B"/>
    <w:rsid w:val="00D653B9"/>
    <w:rsid w:val="00D65A4B"/>
    <w:rsid w:val="00D660CF"/>
    <w:rsid w:val="00D667D0"/>
    <w:rsid w:val="00D670DB"/>
    <w:rsid w:val="00D70F59"/>
    <w:rsid w:val="00D712D9"/>
    <w:rsid w:val="00D72255"/>
    <w:rsid w:val="00D7400B"/>
    <w:rsid w:val="00D74723"/>
    <w:rsid w:val="00D808E6"/>
    <w:rsid w:val="00D81646"/>
    <w:rsid w:val="00D818F3"/>
    <w:rsid w:val="00D8420B"/>
    <w:rsid w:val="00D90434"/>
    <w:rsid w:val="00D9114A"/>
    <w:rsid w:val="00D9263F"/>
    <w:rsid w:val="00DA1D38"/>
    <w:rsid w:val="00DA22B6"/>
    <w:rsid w:val="00DA5A48"/>
    <w:rsid w:val="00DB5EFE"/>
    <w:rsid w:val="00DB66E8"/>
    <w:rsid w:val="00DC52C0"/>
    <w:rsid w:val="00DD4286"/>
    <w:rsid w:val="00DE3E4D"/>
    <w:rsid w:val="00DE5031"/>
    <w:rsid w:val="00DE70F3"/>
    <w:rsid w:val="00DF05A6"/>
    <w:rsid w:val="00DF0D6C"/>
    <w:rsid w:val="00DF76C1"/>
    <w:rsid w:val="00E12D97"/>
    <w:rsid w:val="00E22C7E"/>
    <w:rsid w:val="00E240AD"/>
    <w:rsid w:val="00E279C7"/>
    <w:rsid w:val="00E32A7A"/>
    <w:rsid w:val="00E37F41"/>
    <w:rsid w:val="00E4075C"/>
    <w:rsid w:val="00E40D77"/>
    <w:rsid w:val="00E4527E"/>
    <w:rsid w:val="00E458AE"/>
    <w:rsid w:val="00E55BEF"/>
    <w:rsid w:val="00E61E1E"/>
    <w:rsid w:val="00E63B57"/>
    <w:rsid w:val="00E778F3"/>
    <w:rsid w:val="00E810AD"/>
    <w:rsid w:val="00E85312"/>
    <w:rsid w:val="00EA0BD2"/>
    <w:rsid w:val="00EA1BE8"/>
    <w:rsid w:val="00EA58C3"/>
    <w:rsid w:val="00EB0EC4"/>
    <w:rsid w:val="00EB115E"/>
    <w:rsid w:val="00EB6FBD"/>
    <w:rsid w:val="00EC0069"/>
    <w:rsid w:val="00EC03B5"/>
    <w:rsid w:val="00EC1504"/>
    <w:rsid w:val="00EC1EF1"/>
    <w:rsid w:val="00EC3F77"/>
    <w:rsid w:val="00EC6A66"/>
    <w:rsid w:val="00ED2EF2"/>
    <w:rsid w:val="00ED3E0F"/>
    <w:rsid w:val="00ED7ABA"/>
    <w:rsid w:val="00EE0B97"/>
    <w:rsid w:val="00EE287B"/>
    <w:rsid w:val="00EE52AA"/>
    <w:rsid w:val="00EF5A34"/>
    <w:rsid w:val="00F029E7"/>
    <w:rsid w:val="00F074F5"/>
    <w:rsid w:val="00F16D73"/>
    <w:rsid w:val="00F24E2D"/>
    <w:rsid w:val="00F25D3D"/>
    <w:rsid w:val="00F25DEE"/>
    <w:rsid w:val="00F2745C"/>
    <w:rsid w:val="00F3559A"/>
    <w:rsid w:val="00F37954"/>
    <w:rsid w:val="00F44471"/>
    <w:rsid w:val="00F54C4E"/>
    <w:rsid w:val="00F61A3C"/>
    <w:rsid w:val="00F64949"/>
    <w:rsid w:val="00F66967"/>
    <w:rsid w:val="00F71BF8"/>
    <w:rsid w:val="00F7691E"/>
    <w:rsid w:val="00F77992"/>
    <w:rsid w:val="00F8266A"/>
    <w:rsid w:val="00F932A3"/>
    <w:rsid w:val="00F939BB"/>
    <w:rsid w:val="00F95055"/>
    <w:rsid w:val="00F9514B"/>
    <w:rsid w:val="00F97F8A"/>
    <w:rsid w:val="00FA0864"/>
    <w:rsid w:val="00FA20A1"/>
    <w:rsid w:val="00FA3DBD"/>
    <w:rsid w:val="00FA59D3"/>
    <w:rsid w:val="00FA7901"/>
    <w:rsid w:val="00FB0742"/>
    <w:rsid w:val="00FB6629"/>
    <w:rsid w:val="00FC6086"/>
    <w:rsid w:val="00FD27E0"/>
    <w:rsid w:val="00FD40CF"/>
    <w:rsid w:val="00FE12DA"/>
    <w:rsid w:val="00FF0412"/>
    <w:rsid w:val="00FF408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4AE61C6"/>
  <w15:chartTrackingRefBased/>
  <w15:docId w15:val="{2319B88C-C112-43E9-8F7D-6718FEC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7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B - List Bullet,List Bullet Cab,Recommendation,List Paragraph1,List Paragraph11,Bullet point,List Paragraph Number,First level bullet point,figure text numbered,L,CV text,Table text,F5 List Paragraph,Dot pt,Medium Grid 1 - Accent 21"/>
    <w:basedOn w:val="Normal"/>
    <w:link w:val="ListParagraphChar"/>
    <w:uiPriority w:val="34"/>
    <w:qFormat/>
    <w:rsid w:val="004E5C92"/>
    <w:pPr>
      <w:ind w:left="720"/>
      <w:contextualSpacing/>
    </w:pPr>
  </w:style>
  <w:style w:type="paragraph" w:customStyle="1" w:styleId="Default">
    <w:name w:val="Default"/>
    <w:rsid w:val="004E5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27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15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5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5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0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CD"/>
  </w:style>
  <w:style w:type="paragraph" w:styleId="Footer">
    <w:name w:val="footer"/>
    <w:basedOn w:val="Normal"/>
    <w:link w:val="FooterChar"/>
    <w:uiPriority w:val="99"/>
    <w:unhideWhenUsed/>
    <w:rsid w:val="00BB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CD"/>
  </w:style>
  <w:style w:type="character" w:customStyle="1" w:styleId="Heading1Char">
    <w:name w:val="Heading 1 Char"/>
    <w:basedOn w:val="DefaultParagraphFont"/>
    <w:link w:val="Heading1"/>
    <w:uiPriority w:val="9"/>
    <w:rsid w:val="000C7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CAB - List Bullet Char,List Bullet Cab Char,Recommendation Char,List Paragraph1 Char,List Paragraph11 Char,Bullet point Char,List Paragraph Number Char,First level bullet point Char,figure text numbered Char,L Char,CV text Char"/>
    <w:link w:val="ListParagraph"/>
    <w:uiPriority w:val="34"/>
    <w:locked/>
    <w:rsid w:val="00153A22"/>
  </w:style>
  <w:style w:type="paragraph" w:customStyle="1" w:styleId="TableText">
    <w:name w:val="Table Text"/>
    <w:basedOn w:val="Normal"/>
    <w:link w:val="TableTextChar"/>
    <w:rsid w:val="002A5CB4"/>
    <w:pPr>
      <w:spacing w:before="60" w:after="60" w:line="240" w:lineRule="auto"/>
      <w:ind w:firstLine="360"/>
    </w:pPr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TableTextChar">
    <w:name w:val="Table Text Char"/>
    <w:link w:val="TableText"/>
    <w:rsid w:val="002A5CB4"/>
    <w:rPr>
      <w:rFonts w:ascii="Arial" w:eastAsia="MS Mincho" w:hAnsi="Arial" w:cs="Times New Roman"/>
      <w:sz w:val="18"/>
      <w:szCs w:val="20"/>
      <w:lang w:eastAsia="ja-JP"/>
    </w:rPr>
  </w:style>
  <w:style w:type="paragraph" w:styleId="Title">
    <w:name w:val="Title"/>
    <w:next w:val="Normal"/>
    <w:link w:val="TitleChar"/>
    <w:uiPriority w:val="10"/>
    <w:qFormat/>
    <w:rsid w:val="004D3874"/>
    <w:pPr>
      <w:spacing w:before="360" w:after="200" w:line="276" w:lineRule="auto"/>
      <w:jc w:val="center"/>
    </w:pPr>
    <w:rPr>
      <w:rFonts w:ascii="Montserrat Semi Bold" w:hAnsi="Montserrat Semi Bold"/>
      <w:caps/>
      <w:color w:val="1B2A39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D3874"/>
    <w:rPr>
      <w:rFonts w:ascii="Montserrat Semi Bold" w:hAnsi="Montserrat Semi Bold"/>
      <w:caps/>
      <w:color w:val="1B2A3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268">
                      <w:marLeft w:val="150"/>
                      <w:marRight w:val="150"/>
                      <w:marTop w:val="0"/>
                      <w:marBottom w:val="0"/>
                      <w:divBdr>
                        <w:top w:val="single" w:sz="3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9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3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13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6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a54cc862-5b0c-49e8-ac5e-59fe11de1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a54cc862-5b0c-49e8-ac5e-59fe11de14e4">
      <Terms xmlns="http://schemas.microsoft.com/office/infopath/2007/PartnerControls"/>
    </jd1c641577414dfdab1686c9d5d0dbd0>
    <b3a59e5bf6934a139c33b073fd86b253 xmlns="a54cc862-5b0c-49e8-ac5e-59fe11de14e4">
      <Terms xmlns="http://schemas.microsoft.com/office/infopath/2007/PartnerControls"/>
    </b3a59e5bf6934a139c33b073fd86b253>
    <ShareHubID xmlns="a54cc862-5b0c-49e8-ac5e-59fe11de14e4">PDOC20-10104</ShareHubID>
    <TaxCatchAll xmlns="a54cc862-5b0c-49e8-ac5e-59fe11de14e4">
      <Value>35</Value>
    </TaxCatchAll>
    <NonRecordJustification xmlns="685f9fda-bd71-4433-b331-92feb9553089">None</NonRecordJustification>
    <PMCNotes xmlns="a54cc862-5b0c-49e8-ac5e-59fe11de1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A74D4CBDD81834EA62AED602FFFF5F3" ma:contentTypeVersion="10" ma:contentTypeDescription="ShareHub Document" ma:contentTypeScope="" ma:versionID="3567af2a42e1bb39edbe3049afb7f766">
  <xsd:schema xmlns:xsd="http://www.w3.org/2001/XMLSchema" xmlns:xs="http://www.w3.org/2001/XMLSchema" xmlns:p="http://schemas.microsoft.com/office/2006/metadata/properties" xmlns:ns1="a54cc862-5b0c-49e8-ac5e-59fe11de14e4" xmlns:ns3="685f9fda-bd71-4433-b331-92feb9553089" targetNamespace="http://schemas.microsoft.com/office/2006/metadata/properties" ma:root="true" ma:fieldsID="fca7c200f953a82c0a4817f60e26df3b" ns1:_="" ns3:_="">
    <xsd:import namespace="a54cc862-5b0c-49e8-ac5e-59fe11de14e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b3a59e5bf6934a139c33b073fd86b25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c862-5b0c-49e8-ac5e-59fe11de14e4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dff2fcf-1c31-4c66-bb4b-60c0f38cb1ee}" ma:internalName="TaxCatchAll" ma:showField="CatchAllData" ma:web="a54cc862-5b0c-49e8-ac5e-59fe11de1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dff2fcf-1c31-4c66-bb4b-60c0f38cb1ee}" ma:internalName="TaxCatchAllLabel" ma:readOnly="true" ma:showField="CatchAllDataLabel" ma:web="a54cc862-5b0c-49e8-ac5e-59fe11de1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3a59e5bf6934a139c33b073fd86b253" ma:index="18" nillable="true" ma:taxonomy="true" ma:internalName="b3a59e5bf6934a139c33b073fd86b253" ma:taxonomyFieldName="ESearchTags" ma:displayName="Tags" ma:fieldId="{b3a59e5b-f693-4a13-9c33-b073fd86b25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F49D-DC45-44C1-A801-EE265C81785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5f9fda-bd71-4433-b331-92feb9553089"/>
    <ds:schemaRef ds:uri="a54cc862-5b0c-49e8-ac5e-59fe11de14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1442F8-7341-43CD-8DB8-C382F5D0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cc862-5b0c-49e8-ac5e-59fe11de14e4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EC95F-0C24-4F80-B915-C311F6A3D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D503A-B3BB-4AB0-8C68-FF04226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65A8A5DB</Template>
  <TotalTime>25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Minister &amp; Cabinet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Joanna.DaRocha@pmc.gov.au</dc:creator>
  <cp:keywords/>
  <dc:description/>
  <cp:lastModifiedBy>Hanigan, Radha</cp:lastModifiedBy>
  <cp:revision>16</cp:revision>
  <cp:lastPrinted>2020-01-31T03:03:00Z</cp:lastPrinted>
  <dcterms:created xsi:type="dcterms:W3CDTF">2020-02-28T02:03:00Z</dcterms:created>
  <dcterms:modified xsi:type="dcterms:W3CDTF">2020-03-13T04:34:00Z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0x0101002825A64A6E1845A99A9D8EE8A5686ECB004A74D4CBDD81834EA62AED602FFFF5F3</vt:lpwstr>
  </property>
  <property fmtid="{D5CDD505-2E9C-101B-9397-08002B2CF9AE}" pid="3" name="ESearchTags">
    <vt:lpwstr/>
  </property>
  <property fmtid="{D5CDD505-2E9C-101B-9397-08002B2CF9AE}" pid="4" name="HPRMSecurityLevel">
    <vt:lpwstr>35;#OFFICIAL|11463c70-78df-4e3b-b0ff-f66cd3cb26ec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2020-03-13T15:20:32</vt:lpwstr>
  </property>
</Properties>
</file>