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655F9" w14:textId="77777777" w:rsidR="004163FA" w:rsidRDefault="004163FA" w:rsidP="004163FA">
      <w:pPr>
        <w:pStyle w:val="ProtectiveMarking"/>
        <w:rPr>
          <w:caps w:val="0"/>
          <w:noProof w:val="0"/>
          <w:color w:val="191919" w:themeColor="text1" w:themeTint="E6"/>
        </w:rPr>
      </w:pPr>
    </w:p>
    <w:p w14:paraId="50A655FA" w14:textId="77777777" w:rsidR="0086672B" w:rsidRPr="00562166" w:rsidRDefault="0040648D" w:rsidP="00EF112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0A6562D" wp14:editId="50A6562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565B" w14:textId="77777777" w:rsidR="0040648D" w:rsidRPr="00C91A83" w:rsidRDefault="0040648D" w:rsidP="0040648D">
                            <w:pPr>
                              <w:pStyle w:val="SectionNameRev"/>
                            </w:pPr>
                          </w:p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6562D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p w14:paraId="50A6565B" w14:textId="77777777" w:rsidR="0040648D" w:rsidRPr="00C91A83" w:rsidRDefault="0040648D" w:rsidP="0040648D">
                      <w:pPr>
                        <w:pStyle w:val="SectionNameRev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EF112B" w:rsidRPr="00EF112B">
        <w:rPr>
          <w:rStyle w:val="Heading1Char"/>
        </w:rPr>
        <w:t>Indigenous Ranger Sector Strategy Information Sheet</w:t>
      </w:r>
      <w:r w:rsidR="00EF112B">
        <w:rPr>
          <w:b/>
          <w:sz w:val="60"/>
          <w:szCs w:val="60"/>
        </w:rPr>
        <w:br/>
      </w:r>
      <w:r w:rsidR="00EF112B" w:rsidRPr="00EF112B">
        <w:rPr>
          <w:rStyle w:val="SubtitleChar"/>
        </w:rPr>
        <w:t xml:space="preserve">Strong </w:t>
      </w:r>
      <w:r w:rsidR="00237078">
        <w:rPr>
          <w:rStyle w:val="SubtitleChar"/>
        </w:rPr>
        <w:t>Economy (Skills)</w:t>
      </w:r>
      <w:r w:rsidR="00EF112B" w:rsidRPr="00EF112B">
        <w:rPr>
          <w:rStyle w:val="SubtitleChar"/>
        </w:rPr>
        <w:t xml:space="preserve"> – Proposed Actions</w:t>
      </w:r>
    </w:p>
    <w:p w14:paraId="50A655FB" w14:textId="77777777" w:rsidR="00EF38A6" w:rsidRPr="00EF112B" w:rsidRDefault="00EF112B" w:rsidP="002C0B94">
      <w:pPr>
        <w:pStyle w:val="EmphasisPanelBody"/>
      </w:pPr>
      <w:r w:rsidRPr="00EF112B">
        <w:t>This Information Sheet explains why each lead action in the Draft Strategy is</w:t>
      </w:r>
      <w:r>
        <w:rPr>
          <w:b/>
        </w:rPr>
        <w:t xml:space="preserve"> </w:t>
      </w:r>
      <w:r w:rsidRPr="00EF112B">
        <w:t>important. It suggests ideas to implement the lead action. Some of these ideas were</w:t>
      </w:r>
      <w:r>
        <w:rPr>
          <w:b/>
        </w:rPr>
        <w:t xml:space="preserve"> </w:t>
      </w:r>
      <w:r w:rsidRPr="00EF112B">
        <w:t xml:space="preserve">proposed by Indigenous </w:t>
      </w:r>
      <w:r w:rsidRPr="002C0B94">
        <w:t>ranger organisations in earlier</w:t>
      </w:r>
      <w:r>
        <w:rPr>
          <w:b/>
        </w:rPr>
        <w:t xml:space="preserve"> </w:t>
      </w:r>
      <w:r w:rsidRPr="00EF112B">
        <w:t>consultations.</w:t>
      </w:r>
    </w:p>
    <w:p w14:paraId="50A655FC" w14:textId="77777777" w:rsidR="00A346CA" w:rsidRDefault="00237078" w:rsidP="00237078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50A6562F" wp14:editId="50A65630">
            <wp:simplePos x="0" y="0"/>
            <wp:positionH relativeFrom="margin">
              <wp:posOffset>-60960</wp:posOffset>
            </wp:positionH>
            <wp:positionV relativeFrom="paragraph">
              <wp:posOffset>109855</wp:posOffset>
            </wp:positionV>
            <wp:extent cx="927100" cy="933450"/>
            <wp:effectExtent l="0" t="0" r="6350" b="0"/>
            <wp:wrapSquare wrapText="bothSides"/>
            <wp:docPr id="4" name="Picture 4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12B">
        <w:t xml:space="preserve">Action </w:t>
      </w:r>
      <w:r>
        <w:t>2</w:t>
      </w:r>
      <w:r w:rsidR="00EF112B">
        <w:t xml:space="preserve">.1 – </w:t>
      </w:r>
      <w:r>
        <w:t>Accessible, tailored and culturally relevant training courses</w:t>
      </w:r>
    </w:p>
    <w:p w14:paraId="50A655FD" w14:textId="77777777" w:rsidR="00A346CA" w:rsidRDefault="00EF112B" w:rsidP="00EF112B">
      <w:pPr>
        <w:pStyle w:val="Heading3"/>
      </w:pPr>
      <w:r w:rsidRPr="00EF112B">
        <w:t>Why this is important</w:t>
      </w:r>
    </w:p>
    <w:p w14:paraId="50A655FE" w14:textId="77777777" w:rsidR="00EF112B" w:rsidRDefault="00237078" w:rsidP="00237078">
      <w:pPr>
        <w:pStyle w:val="BulletedListlvl1"/>
      </w:pPr>
      <w:r w:rsidRPr="00237078">
        <w:t>Indigenous ranger organisations told us they need accredited training that:</w:t>
      </w:r>
    </w:p>
    <w:p w14:paraId="50A655FF" w14:textId="77777777" w:rsidR="00237078" w:rsidRDefault="00237078" w:rsidP="00237078">
      <w:pPr>
        <w:pStyle w:val="BulletedListlvl2"/>
      </w:pPr>
      <w:r w:rsidRPr="00237078">
        <w:t>is delivered in or near their communities;</w:t>
      </w:r>
    </w:p>
    <w:p w14:paraId="50A65600" w14:textId="77777777" w:rsidR="00237078" w:rsidRDefault="00237078" w:rsidP="00237078">
      <w:pPr>
        <w:pStyle w:val="BulletedListlvl2"/>
      </w:pPr>
      <w:r>
        <w:t>covers the varied operational, administrative and management skills they need to successfully manage and deliver land and water projects;</w:t>
      </w:r>
    </w:p>
    <w:p w14:paraId="50A65601" w14:textId="77777777" w:rsidR="00237078" w:rsidRDefault="00237078" w:rsidP="00237078">
      <w:pPr>
        <w:pStyle w:val="BulletedListlvl2"/>
      </w:pPr>
      <w:r w:rsidRPr="00237078">
        <w:t>has a curriculum tailored to their land and water management needs;</w:t>
      </w:r>
    </w:p>
    <w:p w14:paraId="50A65602" w14:textId="77777777" w:rsidR="00237078" w:rsidRDefault="00237078" w:rsidP="00237078">
      <w:pPr>
        <w:pStyle w:val="BulletedListlvl2"/>
      </w:pPr>
      <w:r w:rsidRPr="00237078">
        <w:t>incorporates and recognises traditional knowledge and cultural learning;</w:t>
      </w:r>
    </w:p>
    <w:p w14:paraId="50A65603" w14:textId="77777777" w:rsidR="00237078" w:rsidRDefault="00237078" w:rsidP="00237078">
      <w:pPr>
        <w:pStyle w:val="BulletedListlvl2"/>
      </w:pPr>
      <w:r w:rsidRPr="00237078">
        <w:t>is potentially community-led (rangers training rangers).</w:t>
      </w:r>
    </w:p>
    <w:p w14:paraId="50A65604" w14:textId="77777777" w:rsidR="00237078" w:rsidRDefault="00237078" w:rsidP="00237078">
      <w:pPr>
        <w:pStyle w:val="BulletedListlvl1"/>
        <w:numPr>
          <w:ilvl w:val="0"/>
          <w:numId w:val="14"/>
        </w:numPr>
      </w:pPr>
      <w:r>
        <w:t>Some ranger organisations have developed partnerships to deliver tailored training. But for many it is a challenge to find and deliver the right courses and content.</w:t>
      </w:r>
      <w:bookmarkStart w:id="0" w:name="_GoBack"/>
      <w:bookmarkEnd w:id="0"/>
    </w:p>
    <w:p w14:paraId="50A65605" w14:textId="77777777" w:rsidR="003F5F4B" w:rsidRDefault="00EF112B" w:rsidP="00EF112B">
      <w:pPr>
        <w:pStyle w:val="Heading3"/>
      </w:pPr>
      <w:r w:rsidRPr="00EF112B">
        <w:t>What might be done?</w:t>
      </w:r>
    </w:p>
    <w:p w14:paraId="50A65606" w14:textId="77777777" w:rsidR="00237078" w:rsidRDefault="00237078" w:rsidP="00237078">
      <w:pPr>
        <w:pStyle w:val="BulletedListlvl1"/>
      </w:pPr>
      <w:r>
        <w:t>Conduct an investigation to analyse current course availability and suitability for Indigenous rangers throughout Australia (Short term action).</w:t>
      </w:r>
    </w:p>
    <w:p w14:paraId="50A65607" w14:textId="77777777" w:rsidR="00237078" w:rsidRDefault="00237078" w:rsidP="00237078">
      <w:pPr>
        <w:pStyle w:val="BulletedListlvl2"/>
      </w:pPr>
      <w:r w:rsidRPr="00237078">
        <w:t xml:space="preserve">This would identify needs and gaps and what is currently working. </w:t>
      </w:r>
    </w:p>
    <w:p w14:paraId="50A65608" w14:textId="77777777" w:rsidR="00237078" w:rsidRDefault="00237078" w:rsidP="00237078">
      <w:pPr>
        <w:pStyle w:val="BulletedListlvl2"/>
      </w:pPr>
      <w:r>
        <w:t xml:space="preserve">Would cover the range of relevant courses at traineeship, pre-vocational, vocational, and higher </w:t>
      </w:r>
      <w:r>
        <w:br/>
        <w:t xml:space="preserve">education levels. </w:t>
      </w:r>
    </w:p>
    <w:p w14:paraId="50A65609" w14:textId="77777777" w:rsidR="00237078" w:rsidRDefault="00237078" w:rsidP="00237078">
      <w:pPr>
        <w:pStyle w:val="BulletedListlvl1"/>
        <w:numPr>
          <w:ilvl w:val="0"/>
          <w:numId w:val="14"/>
        </w:numPr>
      </w:pPr>
      <w:r>
        <w:t xml:space="preserve">Collaborate with agencies, education providers and stakeholders to develop regional ranger training to address organisations’ needs. </w:t>
      </w:r>
    </w:p>
    <w:p w14:paraId="50A6560A" w14:textId="77777777" w:rsidR="00237078" w:rsidRDefault="00237078" w:rsidP="00237078">
      <w:pPr>
        <w:pStyle w:val="BulletedListlvl2"/>
      </w:pPr>
      <w:r w:rsidRPr="00237078">
        <w:t xml:space="preserve">Might include community-led training pilots. </w:t>
      </w:r>
    </w:p>
    <w:p w14:paraId="50A6560B" w14:textId="77777777" w:rsidR="00237078" w:rsidRDefault="00237078" w:rsidP="00237078">
      <w:pPr>
        <w:pStyle w:val="BulletedListlvl1"/>
        <w:numPr>
          <w:ilvl w:val="0"/>
          <w:numId w:val="14"/>
        </w:numPr>
      </w:pPr>
      <w:r>
        <w:lastRenderedPageBreak/>
        <w:t xml:space="preserve">Establish sector training standards and curriculum (e.g. through a national Indigenous land and water management training package). </w:t>
      </w:r>
    </w:p>
    <w:p w14:paraId="50A6560C" w14:textId="77777777" w:rsidR="00EF37D9" w:rsidRDefault="00237078" w:rsidP="00237078">
      <w:pPr>
        <w:pStyle w:val="BulletedListlvl2"/>
      </w:pPr>
      <w:r>
        <w:t xml:space="preserve">This could be supported by an Indigenous Ranger Sector Industry Body, if established (discussed on p. 12 of the Conversation Guide). </w:t>
      </w:r>
    </w:p>
    <w:p w14:paraId="50A6560D" w14:textId="77777777" w:rsidR="00EF37D9" w:rsidRDefault="00EF37D9" w:rsidP="00EF37D9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50A65631" wp14:editId="50A65632">
            <wp:simplePos x="0" y="0"/>
            <wp:positionH relativeFrom="margin">
              <wp:posOffset>-64135</wp:posOffset>
            </wp:positionH>
            <wp:positionV relativeFrom="paragraph">
              <wp:posOffset>635</wp:posOffset>
            </wp:positionV>
            <wp:extent cx="933450" cy="933450"/>
            <wp:effectExtent l="0" t="0" r="0" b="0"/>
            <wp:wrapSquare wrapText="bothSides"/>
            <wp:docPr id="5" name="Picture 5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Action</w:t>
      </w:r>
      <w:r w:rsidR="00306D17">
        <w:t>s</w:t>
      </w:r>
      <w:r>
        <w:t xml:space="preserve"> </w:t>
      </w:r>
      <w:r w:rsidR="009E7A16">
        <w:t>2</w:t>
      </w:r>
      <w:r>
        <w:t xml:space="preserve">.2 </w:t>
      </w:r>
      <w:r w:rsidR="009E7A16">
        <w:t xml:space="preserve">&amp; 2.3 </w:t>
      </w:r>
      <w:r>
        <w:t xml:space="preserve">– </w:t>
      </w:r>
      <w:r w:rsidR="009E7A16" w:rsidRPr="009E7A16">
        <w:t>Education and training support programs</w:t>
      </w:r>
    </w:p>
    <w:p w14:paraId="50A6560E" w14:textId="77777777" w:rsidR="00EF37D9" w:rsidRDefault="009E7A16" w:rsidP="00EF37D9">
      <w:pPr>
        <w:pStyle w:val="Heading3"/>
      </w:pPr>
      <w:r>
        <w:br/>
      </w:r>
      <w:r w:rsidR="00EF37D9" w:rsidRPr="00EF112B">
        <w:t>Why this is important</w:t>
      </w:r>
    </w:p>
    <w:p w14:paraId="50A6560F" w14:textId="77777777" w:rsidR="00EF37D9" w:rsidRDefault="009E7A16" w:rsidP="009E7A16">
      <w:pPr>
        <w:pStyle w:val="BulletedListlvl1"/>
      </w:pPr>
      <w:r w:rsidRPr="009E7A16">
        <w:t>Cost and community responsibilities can be a barrier to rangers and prospective rangers gaining qualifications at all education levels including higher education degrees.</w:t>
      </w:r>
    </w:p>
    <w:p w14:paraId="50A65610" w14:textId="77777777" w:rsidR="00EF37D9" w:rsidRDefault="009E7A16" w:rsidP="009E7A16">
      <w:pPr>
        <w:pStyle w:val="BulletedListlvl1"/>
      </w:pPr>
      <w:r w:rsidRPr="009E7A16">
        <w:t>Some government programs offer tertiary study travel, accommodation and other support to Indigenous people.</w:t>
      </w:r>
    </w:p>
    <w:p w14:paraId="50A65611" w14:textId="77777777" w:rsidR="00EF37D9" w:rsidRDefault="00EF37D9" w:rsidP="00EF37D9">
      <w:pPr>
        <w:pStyle w:val="Heading3"/>
      </w:pPr>
      <w:r w:rsidRPr="00EF112B">
        <w:t>What might be done?</w:t>
      </w:r>
    </w:p>
    <w:p w14:paraId="50A65612" w14:textId="77777777" w:rsidR="00EF37D9" w:rsidRDefault="009E7A16" w:rsidP="009E7A16">
      <w:pPr>
        <w:pStyle w:val="BulletedListlvl1"/>
      </w:pPr>
      <w:r w:rsidRPr="009E7A16">
        <w:t>Education support program information on web platform.</w:t>
      </w:r>
    </w:p>
    <w:p w14:paraId="50A65613" w14:textId="77777777" w:rsidR="00EF37D9" w:rsidRDefault="009E7A16" w:rsidP="009E7A16">
      <w:pPr>
        <w:pStyle w:val="BulletedListlvl1"/>
      </w:pPr>
      <w:r w:rsidRPr="009E7A16">
        <w:t>A project to examine adequacy of, and recommend on, support programs for Indigenous rangers’ needs.</w:t>
      </w:r>
    </w:p>
    <w:p w14:paraId="50A65614" w14:textId="77777777" w:rsidR="00EF37D9" w:rsidRDefault="009E7A16" w:rsidP="009E7A16">
      <w:pPr>
        <w:pStyle w:val="BulletedListlvl1"/>
      </w:pPr>
      <w:r>
        <w:t>Building awareness of the education and career pathways available (e.g. a career wheel).</w:t>
      </w:r>
    </w:p>
    <w:p w14:paraId="50A65615" w14:textId="77777777" w:rsidR="00EF37D9" w:rsidRDefault="00EF37D9" w:rsidP="00EF37D9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50A65633" wp14:editId="50A65634">
            <wp:simplePos x="0" y="0"/>
            <wp:positionH relativeFrom="margin">
              <wp:posOffset>-64135</wp:posOffset>
            </wp:positionH>
            <wp:positionV relativeFrom="paragraph">
              <wp:posOffset>189865</wp:posOffset>
            </wp:positionV>
            <wp:extent cx="933450" cy="933450"/>
            <wp:effectExtent l="0" t="0" r="0" b="0"/>
            <wp:wrapSquare wrapText="bothSides"/>
            <wp:docPr id="6" name="Picture 6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Action </w:t>
      </w:r>
      <w:r w:rsidR="009E7A16">
        <w:t>2</w:t>
      </w:r>
      <w:r>
        <w:t>.</w:t>
      </w:r>
      <w:r w:rsidR="009E7A16">
        <w:t>4</w:t>
      </w:r>
      <w:r>
        <w:t xml:space="preserve"> – </w:t>
      </w:r>
      <w:r w:rsidR="009E7A16" w:rsidRPr="009E7A16">
        <w:t>Youth learning on Country programs run by Indigenous rangers</w:t>
      </w:r>
    </w:p>
    <w:p w14:paraId="50A65616" w14:textId="77777777" w:rsidR="00EF37D9" w:rsidRDefault="00EF37D9" w:rsidP="00EF37D9">
      <w:pPr>
        <w:pStyle w:val="Heading3"/>
      </w:pPr>
      <w:r w:rsidRPr="00EF112B">
        <w:t>Why this is important</w:t>
      </w:r>
    </w:p>
    <w:p w14:paraId="50A65617" w14:textId="77777777" w:rsidR="00EF37D9" w:rsidRDefault="009E7A16" w:rsidP="009E7A16">
      <w:pPr>
        <w:pStyle w:val="BulletedListlvl1"/>
      </w:pPr>
      <w:r w:rsidRPr="009E7A16">
        <w:t>Youth programs benefit young people educationally, socially and culturally and can be a pathway to employment.</w:t>
      </w:r>
    </w:p>
    <w:p w14:paraId="50A65618" w14:textId="77777777" w:rsidR="00EF37D9" w:rsidRDefault="009E7A16" w:rsidP="009E7A16">
      <w:pPr>
        <w:pStyle w:val="BulletedListlvl1"/>
      </w:pPr>
      <w:r w:rsidRPr="009E7A16">
        <w:t>Youth programs are an important part of rangers’ role in their communities.</w:t>
      </w:r>
    </w:p>
    <w:p w14:paraId="50A65619" w14:textId="77777777" w:rsidR="009E7A16" w:rsidRDefault="009E7A16" w:rsidP="009E7A16">
      <w:pPr>
        <w:pStyle w:val="BulletedListlvl1"/>
      </w:pPr>
      <w:r w:rsidRPr="009E7A16">
        <w:t xml:space="preserve">Demand for youth programs outpaces the resources of many ranger organisations to deliver programs </w:t>
      </w:r>
      <w:r>
        <w:br/>
      </w:r>
      <w:r w:rsidRPr="009E7A16">
        <w:t>(if they wish to do so).</w:t>
      </w:r>
    </w:p>
    <w:p w14:paraId="50A6561A" w14:textId="77777777" w:rsidR="009E7A16" w:rsidRDefault="009E7A16" w:rsidP="009E7A16">
      <w:pPr>
        <w:pStyle w:val="BulletedListlvl1"/>
      </w:pPr>
      <w:r w:rsidRPr="009E7A16">
        <w:t xml:space="preserve">Some on-Country programs are delivered by ranger organisations with specific government funding and </w:t>
      </w:r>
      <w:r>
        <w:br/>
      </w:r>
      <w:r w:rsidRPr="009E7A16">
        <w:t>curriculum support.</w:t>
      </w:r>
    </w:p>
    <w:p w14:paraId="50A6561B" w14:textId="77777777" w:rsidR="00EF37D9" w:rsidRDefault="00EF37D9" w:rsidP="00EF37D9">
      <w:pPr>
        <w:pStyle w:val="Heading3"/>
      </w:pPr>
      <w:r w:rsidRPr="00EF112B">
        <w:t>What might be done?</w:t>
      </w:r>
    </w:p>
    <w:p w14:paraId="50A6561C" w14:textId="77777777" w:rsidR="00EF37D9" w:rsidRDefault="009E7A16" w:rsidP="009E7A16">
      <w:pPr>
        <w:pStyle w:val="BulletedListlvl1"/>
      </w:pPr>
      <w:r w:rsidRPr="009E7A16">
        <w:t>Investigate ways to build awareness of the benefits of, and extend resources and educational support for, ranger-delivered youth on-Country programs.</w:t>
      </w:r>
    </w:p>
    <w:p w14:paraId="50A6561D" w14:textId="77777777" w:rsidR="00EF37D9" w:rsidRDefault="009E7A16" w:rsidP="009E7A16">
      <w:pPr>
        <w:pStyle w:val="BulletedListlvl1"/>
      </w:pPr>
      <w:r w:rsidRPr="009E7A16">
        <w:lastRenderedPageBreak/>
        <w:t xml:space="preserve">Regional coordinator or organisation position with educational qualifications to assist with youth program </w:t>
      </w:r>
      <w:r>
        <w:br/>
      </w:r>
      <w:r w:rsidRPr="009E7A16">
        <w:t>design and delivery.</w:t>
      </w:r>
    </w:p>
    <w:p w14:paraId="50A6561E" w14:textId="77777777" w:rsidR="00EF37D9" w:rsidRDefault="009E7A16" w:rsidP="009E7A16">
      <w:pPr>
        <w:pStyle w:val="BulletedListlvl1"/>
      </w:pPr>
      <w:r w:rsidRPr="009E7A16">
        <w:t>Develop curriculum guidance and materials.</w:t>
      </w:r>
    </w:p>
    <w:p w14:paraId="50A6561F" w14:textId="77777777" w:rsidR="00EF37D9" w:rsidRDefault="00237078" w:rsidP="00616B1C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50A65635" wp14:editId="50A65636">
            <wp:simplePos x="0" y="0"/>
            <wp:positionH relativeFrom="margin">
              <wp:posOffset>-60960</wp:posOffset>
            </wp:positionH>
            <wp:positionV relativeFrom="paragraph">
              <wp:posOffset>635</wp:posOffset>
            </wp:positionV>
            <wp:extent cx="932815" cy="927100"/>
            <wp:effectExtent l="0" t="0" r="635" b="6350"/>
            <wp:wrapSquare wrapText="bothSides"/>
            <wp:docPr id="8" name="Picture 8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7D9">
        <w:t xml:space="preserve">Action </w:t>
      </w:r>
      <w:r w:rsidR="009E7A16">
        <w:t>2</w:t>
      </w:r>
      <w:r w:rsidR="00EF37D9">
        <w:t>.</w:t>
      </w:r>
      <w:r w:rsidR="009E7A16">
        <w:t>5</w:t>
      </w:r>
      <w:r w:rsidR="00EF37D9">
        <w:t xml:space="preserve"> – </w:t>
      </w:r>
      <w:r w:rsidR="009E7A16" w:rsidRPr="009E7A16">
        <w:t>Language, literacy and numeracy needs</w:t>
      </w:r>
    </w:p>
    <w:p w14:paraId="50A65620" w14:textId="77777777" w:rsidR="00EF37D9" w:rsidRDefault="00EF37D9" w:rsidP="00EF37D9">
      <w:pPr>
        <w:pStyle w:val="Heading3"/>
      </w:pPr>
      <w:r w:rsidRPr="00EF112B">
        <w:t>Why this is important</w:t>
      </w:r>
    </w:p>
    <w:p w14:paraId="50A65621" w14:textId="77777777" w:rsidR="00EF37D9" w:rsidRDefault="009E7A16" w:rsidP="009E7A16">
      <w:pPr>
        <w:pStyle w:val="BulletedListlvl1"/>
      </w:pPr>
      <w:r w:rsidRPr="009E7A16">
        <w:t>Proficiency in literacy, language and numeracy is needed to enter and complete many courses required for ranger work (e.g. certificate-level courses).</w:t>
      </w:r>
    </w:p>
    <w:p w14:paraId="50A65622" w14:textId="77777777" w:rsidR="009E7A16" w:rsidRDefault="009E7A16" w:rsidP="009E7A16">
      <w:pPr>
        <w:pStyle w:val="BulletedListlvl1"/>
      </w:pPr>
      <w:r w:rsidRPr="009E7A16">
        <w:t>Some community-based pilots are running.</w:t>
      </w:r>
    </w:p>
    <w:p w14:paraId="50A65623" w14:textId="77777777" w:rsidR="00EF37D9" w:rsidRDefault="00EF37D9" w:rsidP="00EF37D9">
      <w:pPr>
        <w:pStyle w:val="Heading3"/>
      </w:pPr>
      <w:r w:rsidRPr="00EF112B">
        <w:t>What might be done?</w:t>
      </w:r>
    </w:p>
    <w:p w14:paraId="50A65624" w14:textId="77777777" w:rsidR="00616B1C" w:rsidRDefault="009E7A16" w:rsidP="009E7A16">
      <w:pPr>
        <w:pStyle w:val="BulletedListlvl1"/>
      </w:pPr>
      <w:r w:rsidRPr="009E7A16">
        <w:t>Investigate ways to resource and deliver appropriate literacy, language and numeracy training to rangers and young people interested in ranger work.</w:t>
      </w:r>
    </w:p>
    <w:p w14:paraId="50A65625" w14:textId="77777777" w:rsidR="00616B1C" w:rsidRDefault="00616B1C" w:rsidP="00616B1C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71552" behindDoc="0" locked="0" layoutInCell="1" allowOverlap="1" wp14:anchorId="50A65637" wp14:editId="50A65638">
            <wp:simplePos x="0" y="0"/>
            <wp:positionH relativeFrom="margin">
              <wp:posOffset>-13970</wp:posOffset>
            </wp:positionH>
            <wp:positionV relativeFrom="paragraph">
              <wp:posOffset>153670</wp:posOffset>
            </wp:positionV>
            <wp:extent cx="838200" cy="927100"/>
            <wp:effectExtent l="0" t="0" r="0" b="6350"/>
            <wp:wrapSquare wrapText="bothSides"/>
            <wp:docPr id="9" name="Picture 9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Action </w:t>
      </w:r>
      <w:r w:rsidR="009E7A16">
        <w:t>2</w:t>
      </w:r>
      <w:r>
        <w:t>.</w:t>
      </w:r>
      <w:r w:rsidR="009E7A16">
        <w:t>6</w:t>
      </w:r>
      <w:r>
        <w:t xml:space="preserve"> – </w:t>
      </w:r>
      <w:r w:rsidR="009E7A16" w:rsidRPr="009E7A16">
        <w:t>Biosecurity and other compliance training</w:t>
      </w:r>
    </w:p>
    <w:p w14:paraId="50A65626" w14:textId="77777777" w:rsidR="00616B1C" w:rsidRDefault="00616B1C" w:rsidP="00616B1C">
      <w:pPr>
        <w:pStyle w:val="Heading3"/>
      </w:pPr>
      <w:r w:rsidRPr="00EF112B">
        <w:t>Why this is important</w:t>
      </w:r>
    </w:p>
    <w:p w14:paraId="50A65627" w14:textId="77777777" w:rsidR="00616B1C" w:rsidRDefault="009E7A16" w:rsidP="009E7A16">
      <w:pPr>
        <w:pStyle w:val="BulletedListlvl1"/>
      </w:pPr>
      <w:r w:rsidRPr="009E7A16">
        <w:t xml:space="preserve">Compliance work (e.g. for biosecurity, fisheries, land access enforcement or monitoring) </w:t>
      </w:r>
      <w:r w:rsidR="000662CF">
        <w:t>provides</w:t>
      </w:r>
      <w:r w:rsidRPr="009E7A16">
        <w:t xml:space="preserve"> major fee-for-service opportunities for ranger organisations, especially in northern Australia.</w:t>
      </w:r>
    </w:p>
    <w:p w14:paraId="50A65628" w14:textId="77777777" w:rsidR="00616B1C" w:rsidRDefault="009E7A16" w:rsidP="009E7A16">
      <w:pPr>
        <w:pStyle w:val="BulletedListlvl1"/>
      </w:pPr>
      <w:r w:rsidRPr="009E7A16">
        <w:t>Delivery of training varies across agencies.</w:t>
      </w:r>
    </w:p>
    <w:p w14:paraId="50A65629" w14:textId="77777777" w:rsidR="009E7A16" w:rsidRDefault="009E7A16" w:rsidP="009E7A16">
      <w:pPr>
        <w:pStyle w:val="BulletedListlvl1"/>
      </w:pPr>
      <w:r w:rsidRPr="009E7A16">
        <w:t>Some ranger organisations seek more resources for accessible compliance training.</w:t>
      </w:r>
    </w:p>
    <w:p w14:paraId="50A6562A" w14:textId="77777777" w:rsidR="00616B1C" w:rsidRDefault="00616B1C" w:rsidP="00616B1C">
      <w:pPr>
        <w:pStyle w:val="Heading3"/>
      </w:pPr>
      <w:r w:rsidRPr="00EF112B">
        <w:t>What might be done?</w:t>
      </w:r>
    </w:p>
    <w:p w14:paraId="50A6562B" w14:textId="77777777" w:rsidR="00616B1C" w:rsidRDefault="009E7A16" w:rsidP="009E7A16">
      <w:pPr>
        <w:pStyle w:val="BulletedListlvl1"/>
      </w:pPr>
      <w:r w:rsidRPr="009E7A16">
        <w:t>Examine and recommend on compliance training for rangers across jurisdictions, including course content, accessibility and resourcing.</w:t>
      </w:r>
    </w:p>
    <w:p w14:paraId="50A6562C" w14:textId="77777777" w:rsidR="00166BA7" w:rsidRPr="00EF112B" w:rsidRDefault="00166BA7" w:rsidP="00166BA7">
      <w:pPr>
        <w:pStyle w:val="BodyText"/>
      </w:pPr>
    </w:p>
    <w:sectPr w:rsidR="00166BA7" w:rsidRPr="00EF112B" w:rsidSect="001E4245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6563B" w14:textId="77777777" w:rsidR="00EF112B" w:rsidRDefault="00EF112B" w:rsidP="00B95533">
      <w:pPr>
        <w:spacing w:after="0" w:line="240" w:lineRule="auto"/>
      </w:pPr>
      <w:r>
        <w:separator/>
      </w:r>
    </w:p>
  </w:endnote>
  <w:endnote w:type="continuationSeparator" w:id="0">
    <w:p w14:paraId="50A6563C" w14:textId="77777777" w:rsidR="00EF112B" w:rsidRDefault="00EF112B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5640" w14:textId="77777777" w:rsidR="009672EB" w:rsidRPr="00B87E45" w:rsidRDefault="009672EB" w:rsidP="001007B9">
    <w:pPr>
      <w:pStyle w:val="ProtectiveMarking"/>
    </w:pPr>
  </w:p>
  <w:p w14:paraId="50A65641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0A65649" wp14:editId="50A6564A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974E8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50A6564B" wp14:editId="50A6564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6565C" w14:textId="1A3D7292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C371CB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656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50A6565C" w14:textId="1A3D7292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C371CB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0A65642" w14:textId="77777777" w:rsidR="009672EB" w:rsidRPr="0040648D" w:rsidRDefault="00166BA7" w:rsidP="00166BA7">
    <w:pPr>
      <w:pStyle w:val="Footer"/>
      <w:rPr>
        <w:color w:val="25303B" w:themeColor="accent1"/>
      </w:rPr>
    </w:pPr>
    <w:r w:rsidRPr="00166BA7">
      <w:rPr>
        <w:color w:val="25303B" w:themeColor="accent1"/>
      </w:rPr>
      <w:t xml:space="preserve">NIAA | </w:t>
    </w:r>
    <w:r w:rsidRPr="00166BA7">
      <w:rPr>
        <w:b/>
        <w:color w:val="25303B" w:themeColor="accent1"/>
      </w:rPr>
      <w:t>Indigenous Ranger Sector Strategy Information Sheet</w:t>
    </w:r>
    <w:r w:rsidRPr="00166BA7">
      <w:rPr>
        <w:color w:val="25303B" w:themeColor="accent1"/>
      </w:rPr>
      <w:t xml:space="preserve"> | </w:t>
    </w:r>
    <w:r w:rsidR="009E7A16" w:rsidRPr="009E7A16">
      <w:rPr>
        <w:color w:val="25303B" w:themeColor="accent1"/>
      </w:rPr>
      <w:t>Strong Economy (Skills) – Proposed Actions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5644" w14:textId="77777777" w:rsidR="009672EB" w:rsidRPr="00B87E45" w:rsidRDefault="009672EB" w:rsidP="00917F95">
    <w:pPr>
      <w:pStyle w:val="ProtectiveMarking"/>
    </w:pPr>
  </w:p>
  <w:p w14:paraId="50A65645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0A65657" wp14:editId="50A65658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53CD7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50A65646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50A65659" wp14:editId="50A6565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6565E" w14:textId="612C17C6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C371CB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6565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50A6565E" w14:textId="612C17C6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C371CB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r w:rsidR="00166BA7" w:rsidRPr="009E7A16">
      <w:rPr>
        <w:b/>
        <w:color w:val="25303B" w:themeColor="accent1"/>
      </w:rPr>
      <w:t>Indigenous Ranger Sector Strategy Information Sheet</w:t>
    </w:r>
    <w:r w:rsidR="00166BA7">
      <w:rPr>
        <w:color w:val="25303B" w:themeColor="accent1"/>
      </w:rPr>
      <w:t xml:space="preserve"> | </w:t>
    </w:r>
    <w:r w:rsidR="009E7A16" w:rsidRPr="009E7A16">
      <w:rPr>
        <w:color w:val="25303B" w:themeColor="accent1"/>
      </w:rPr>
      <w:t>Strong Economy (Skills) – Proposed Actions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65639" w14:textId="77777777" w:rsidR="00EF112B" w:rsidRPr="007A6FC6" w:rsidRDefault="00EF112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50A6563A" w14:textId="77777777" w:rsidR="00EF112B" w:rsidRPr="007A6FC6" w:rsidRDefault="00EF112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563D" w14:textId="77777777" w:rsidR="002C0B0E" w:rsidRDefault="002C0B0E" w:rsidP="00510499">
    <w:pPr>
      <w:pStyle w:val="ProtectiveMarking"/>
    </w:pPr>
  </w:p>
  <w:p w14:paraId="50A6563E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50A65647" wp14:editId="50A65648">
          <wp:simplePos x="0" y="0"/>
          <wp:positionH relativeFrom="margin">
            <wp:posOffset>2540</wp:posOffset>
          </wp:positionH>
          <wp:positionV relativeFrom="page">
            <wp:posOffset>648335</wp:posOffset>
          </wp:positionV>
          <wp:extent cx="6479540" cy="147320"/>
          <wp:effectExtent l="0" t="0" r="0" b="508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47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A6563F" w14:textId="77777777"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5643" w14:textId="77777777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50A6564D" wp14:editId="50A6564E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A9C19E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50A6564F" wp14:editId="50A65650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6565D" w14:textId="77777777" w:rsidR="00FB385B" w:rsidRPr="00A41F97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</w:pPr>
                          <w:r w:rsidRPr="00A41F97"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6564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50A6565D" w14:textId="77777777" w:rsidR="00FB385B" w:rsidRPr="00A41F97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</w:pPr>
                    <w:r w:rsidRPr="00A41F97"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50A65651" wp14:editId="7D66CDFC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40" name="Graphic 16" descr="NI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50A65653" wp14:editId="3AFB7FB9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1" name="Graphic 19" descr="Australian Government National Indigenous Australians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50A65655" wp14:editId="50A65656">
          <wp:simplePos x="0" y="0"/>
          <wp:positionH relativeFrom="page">
            <wp:posOffset>133350</wp:posOffset>
          </wp:positionH>
          <wp:positionV relativeFrom="page">
            <wp:posOffset>83820</wp:posOffset>
          </wp:positionV>
          <wp:extent cx="7314565" cy="1212215"/>
          <wp:effectExtent l="0" t="0" r="635" b="6985"/>
          <wp:wrapSquare wrapText="bothSides"/>
          <wp:docPr id="42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212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7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8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5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4"/>
  </w:num>
  <w:num w:numId="20">
    <w:abstractNumId w:val="9"/>
  </w:num>
  <w:num w:numId="21">
    <w:abstractNumId w:val="0"/>
  </w:num>
  <w:num w:numId="22">
    <w:abstractNumId w:val="7"/>
  </w:num>
  <w:num w:numId="23">
    <w:abstractNumId w:val="7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B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662CF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31315"/>
    <w:rsid w:val="00132268"/>
    <w:rsid w:val="001336CF"/>
    <w:rsid w:val="00143288"/>
    <w:rsid w:val="0015537B"/>
    <w:rsid w:val="00166BA7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B15EA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078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0B0E"/>
    <w:rsid w:val="002C0B94"/>
    <w:rsid w:val="002C5F5B"/>
    <w:rsid w:val="002C777D"/>
    <w:rsid w:val="002D40B1"/>
    <w:rsid w:val="002D45CD"/>
    <w:rsid w:val="002D75F9"/>
    <w:rsid w:val="002E07AC"/>
    <w:rsid w:val="002E6AA1"/>
    <w:rsid w:val="002F57C6"/>
    <w:rsid w:val="00306D17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16FF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6B1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E7A16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1F97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371CB"/>
    <w:rsid w:val="00C464A7"/>
    <w:rsid w:val="00C511C3"/>
    <w:rsid w:val="00C51C42"/>
    <w:rsid w:val="00C52329"/>
    <w:rsid w:val="00C53F29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3AB9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12B"/>
    <w:rsid w:val="00EF125F"/>
    <w:rsid w:val="00EF2497"/>
    <w:rsid w:val="00EF37D9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6A0D"/>
    <w:rsid w:val="00FE7253"/>
    <w:rsid w:val="00FE7827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A655F9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0662CF"/>
    <w:pPr>
      <w:numPr>
        <w:numId w:val="5"/>
      </w:numPr>
      <w:spacing w:after="60"/>
      <w:ind w:left="568" w:hanging="284"/>
    </w:pPr>
    <w:rPr>
      <w:sz w:val="22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0662CF"/>
    <w:rPr>
      <w:sz w:val="22"/>
    </w:rPr>
  </w:style>
  <w:style w:type="character" w:customStyle="1" w:styleId="BodyTextChar">
    <w:name w:val="Body Text Char"/>
    <w:basedOn w:val="DefaultParagraphFont"/>
    <w:link w:val="BodyText"/>
    <w:rsid w:val="000662CF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0662CF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ascii="Century Gothic" w:eastAsia="Times New Roman" w:hAnsi="Century Gothic" w:cstheme="minorHAnsi"/>
      <w:sz w:val="22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EF112B"/>
    <w:pPr>
      <w:numPr>
        <w:ilvl w:val="1"/>
      </w:numPr>
      <w:spacing w:before="24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EF112B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>Choos Classification</Classification>
  <DLM/>
  <SectionName/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</Terms>
    </hc4a8f51d7584793bcee84017ea96cb3>
    <ShareHubID xmlns="166541c0-0594-4e6a-9105-c24d4b6de6f7">DOC22-81841</ShareHubID>
    <TaxCatchAll xmlns="166541c0-0594-4e6a-9105-c24d4b6de6f7">
      <Value>29</Value>
      <Value>57</Value>
    </TaxCatchAll>
    <PMCNotes xmlns="166541c0-0594-4e6a-9105-c24d4b6de6f7" xsi:nil="true"/>
    <NonRecordJustification xmlns="685f9fda-bd71-4433-b331-92feb9553089">None</NonRecordJustification>
    <SharedWithUsers xmlns="166541c0-0594-4e6a-9105-c24d4b6de6f7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6036C59A-073A-4A49-97AA-EAFE336C0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532BF-9699-4AF3-BF19-8799330420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DA9E1-6056-4724-93E5-7B82D12DF99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http://purl.org/dc/terms/"/>
    <ds:schemaRef ds:uri="166541c0-0594-4e6a-9105-c24d4b6de6f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1F3B78-BE69-4E30-8CBB-0E995F54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3654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Ranger Sector Strategy Information Sheet - Strong Economy (Skills)</dc:title>
  <dc:subject/>
  <dc:creator/>
  <cp:keywords/>
  <dc:description/>
  <cp:lastModifiedBy/>
  <cp:revision>1</cp:revision>
  <dcterms:created xsi:type="dcterms:W3CDTF">2022-03-22T01:52:00Z</dcterms:created>
  <dcterms:modified xsi:type="dcterms:W3CDTF">2022-03-22T01:52:00Z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4" name="ESearchTags">
    <vt:lpwstr>29;#Training|2f396fb6-baad-479d-8254-1550153bbe31</vt:lpwstr>
  </property>
  <property fmtid="{D5CDD505-2E9C-101B-9397-08002B2CF9AE}" pid="7" name="HPRMSecurityLevel">
    <vt:lpwstr>57;#OFFICIAL|11463c70-78df-4e3b-b0ff-f66cd3cb26ec</vt:lpwstr>
  </property>
  <property fmtid="{D5CDD505-2E9C-101B-9397-08002B2CF9AE}" pid="10" name="HPRMSecurityCaveat">
    <vt:lpwstr/>
  </property>
  <property fmtid="{D5CDD505-2E9C-101B-9397-08002B2CF9AE}" pid="11" name="PMC.ESearch.TagGeneratedTime">
    <vt:lpwstr>2022-04-01T09:23:03</vt:lpwstr>
  </property>
</Properties>
</file>