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331B" w14:textId="77777777" w:rsidR="004163FA" w:rsidRDefault="004163FA" w:rsidP="004163FA">
      <w:pPr>
        <w:pStyle w:val="ProtectiveMarking"/>
        <w:rPr>
          <w:caps w:val="0"/>
          <w:noProof w:val="0"/>
          <w:color w:val="191919" w:themeColor="text1" w:themeTint="E6"/>
        </w:rPr>
      </w:pPr>
    </w:p>
    <w:p w14:paraId="7D98331C" w14:textId="77777777" w:rsidR="0086672B" w:rsidRPr="00562166" w:rsidRDefault="0040648D" w:rsidP="00EF112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983346" wp14:editId="7D98334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83370" w14:textId="77777777" w:rsidR="0040648D" w:rsidRPr="00C91A83" w:rsidRDefault="0040648D" w:rsidP="0040648D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8334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p w14:paraId="7D983370" w14:textId="77777777" w:rsidR="0040648D" w:rsidRPr="00C91A83" w:rsidRDefault="0040648D" w:rsidP="0040648D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F112B" w:rsidRPr="00EF112B">
        <w:rPr>
          <w:rStyle w:val="Heading1Char"/>
        </w:rPr>
        <w:t>Indigenous Ranger Sector Strategy Information Sheet</w:t>
      </w:r>
      <w:r w:rsidR="00EF112B">
        <w:rPr>
          <w:b/>
          <w:sz w:val="60"/>
          <w:szCs w:val="60"/>
        </w:rPr>
        <w:br/>
      </w:r>
      <w:r w:rsidR="00EF112B" w:rsidRPr="00EF112B">
        <w:rPr>
          <w:rStyle w:val="SubtitleChar"/>
        </w:rPr>
        <w:t xml:space="preserve">Strong </w:t>
      </w:r>
      <w:r w:rsidR="00237078">
        <w:rPr>
          <w:rStyle w:val="SubtitleChar"/>
        </w:rPr>
        <w:t>Economy (</w:t>
      </w:r>
      <w:r w:rsidR="00B46131">
        <w:rPr>
          <w:rStyle w:val="SubtitleChar"/>
        </w:rPr>
        <w:t>Jobs</w:t>
      </w:r>
      <w:r w:rsidR="00237078">
        <w:rPr>
          <w:rStyle w:val="SubtitleChar"/>
        </w:rPr>
        <w:t>)</w:t>
      </w:r>
      <w:r w:rsidR="00EF112B" w:rsidRPr="00EF112B">
        <w:rPr>
          <w:rStyle w:val="SubtitleChar"/>
        </w:rPr>
        <w:t xml:space="preserve"> – Proposed Actions</w:t>
      </w:r>
    </w:p>
    <w:p w14:paraId="7D98331D" w14:textId="77777777" w:rsidR="00EF38A6" w:rsidRPr="00EF112B" w:rsidRDefault="00EF112B" w:rsidP="002C0B94">
      <w:pPr>
        <w:pStyle w:val="EmphasisPanelBody"/>
      </w:pPr>
      <w:r w:rsidRPr="00EF112B">
        <w:t>This Information Sheet explains why each lead action in the Draft Strategy is</w:t>
      </w:r>
      <w:r>
        <w:rPr>
          <w:b/>
        </w:rPr>
        <w:t xml:space="preserve"> </w:t>
      </w:r>
      <w:r w:rsidRPr="00EF112B">
        <w:t>important. It suggests ideas to implement the lead action. Some of these ideas were</w:t>
      </w:r>
      <w:r>
        <w:rPr>
          <w:b/>
        </w:rPr>
        <w:t xml:space="preserve"> </w:t>
      </w:r>
      <w:r w:rsidRPr="00EF112B">
        <w:t xml:space="preserve">proposed by Indigenous </w:t>
      </w:r>
      <w:r w:rsidRPr="002C0B94">
        <w:t>ranger organisations in earlier</w:t>
      </w:r>
      <w:r>
        <w:rPr>
          <w:b/>
        </w:rPr>
        <w:t xml:space="preserve"> </w:t>
      </w:r>
      <w:r w:rsidRPr="00EF112B">
        <w:t>consultations.</w:t>
      </w:r>
    </w:p>
    <w:p w14:paraId="7D98331E" w14:textId="77777777" w:rsidR="00A346CA" w:rsidRDefault="00237078" w:rsidP="00237078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7D983348" wp14:editId="7D983349">
            <wp:simplePos x="0" y="0"/>
            <wp:positionH relativeFrom="margin">
              <wp:posOffset>-57785</wp:posOffset>
            </wp:positionH>
            <wp:positionV relativeFrom="paragraph">
              <wp:posOffset>255270</wp:posOffset>
            </wp:positionV>
            <wp:extent cx="927100" cy="920750"/>
            <wp:effectExtent l="0" t="0" r="6350" b="0"/>
            <wp:wrapSquare wrapText="bothSides"/>
            <wp:docPr id="4" name="Picture 4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12B">
        <w:t>Action</w:t>
      </w:r>
      <w:r w:rsidR="00F60B6F">
        <w:t>s</w:t>
      </w:r>
      <w:r w:rsidR="00EF112B">
        <w:t xml:space="preserve"> </w:t>
      </w:r>
      <w:r w:rsidR="00F60B6F">
        <w:t>3</w:t>
      </w:r>
      <w:r w:rsidR="00EF112B">
        <w:t>.1</w:t>
      </w:r>
      <w:r w:rsidR="00F60B6F">
        <w:t xml:space="preserve"> &amp; 3.2</w:t>
      </w:r>
      <w:r w:rsidR="00EF112B">
        <w:t xml:space="preserve"> – </w:t>
      </w:r>
      <w:r w:rsidR="00F60B6F" w:rsidRPr="00F60B6F">
        <w:t xml:space="preserve">Support for Indigenous ranger employment and </w:t>
      </w:r>
      <w:r w:rsidR="00F60B6F">
        <w:br/>
      </w:r>
      <w:r w:rsidR="00F60B6F" w:rsidRPr="00F60B6F">
        <w:t>career development</w:t>
      </w:r>
      <w:bookmarkStart w:id="0" w:name="_GoBack"/>
      <w:bookmarkEnd w:id="0"/>
    </w:p>
    <w:p w14:paraId="7D98331F" w14:textId="77777777" w:rsidR="00A346CA" w:rsidRDefault="00EF112B" w:rsidP="00EF112B">
      <w:pPr>
        <w:pStyle w:val="Heading3"/>
      </w:pPr>
      <w:r w:rsidRPr="00EF112B">
        <w:t>Why this is important</w:t>
      </w:r>
    </w:p>
    <w:p w14:paraId="7D983320" w14:textId="77777777" w:rsidR="00237078" w:rsidRDefault="00F60B6F" w:rsidP="00F60B6F">
      <w:pPr>
        <w:pStyle w:val="BulletedListlvl1"/>
        <w:numPr>
          <w:ilvl w:val="0"/>
          <w:numId w:val="14"/>
        </w:numPr>
      </w:pPr>
      <w:r w:rsidRPr="00F60B6F">
        <w:t xml:space="preserve">Indigenous ranger work is a significant source of meaningful employment and leadership in </w:t>
      </w:r>
      <w:r w:rsidR="00437F3E">
        <w:br/>
      </w:r>
      <w:r w:rsidRPr="00F60B6F">
        <w:t>Indigenous communities.</w:t>
      </w:r>
    </w:p>
    <w:p w14:paraId="7D983321" w14:textId="77777777" w:rsidR="00F60B6F" w:rsidRDefault="00F60B6F" w:rsidP="00F60B6F">
      <w:pPr>
        <w:pStyle w:val="BulletedListlvl1"/>
        <w:numPr>
          <w:ilvl w:val="0"/>
          <w:numId w:val="14"/>
        </w:numPr>
      </w:pPr>
      <w:r w:rsidRPr="00F60B6F">
        <w:t xml:space="preserve">Supporting community members into ranger and other employment assists to maintain a local </w:t>
      </w:r>
      <w:r w:rsidR="00437F3E">
        <w:br/>
      </w:r>
      <w:r w:rsidRPr="00F60B6F">
        <w:t>employment base.</w:t>
      </w:r>
    </w:p>
    <w:p w14:paraId="7D983322" w14:textId="77777777" w:rsidR="00F60B6F" w:rsidRDefault="00F60B6F" w:rsidP="00F60B6F">
      <w:pPr>
        <w:pStyle w:val="BulletedListlvl1"/>
        <w:numPr>
          <w:ilvl w:val="0"/>
          <w:numId w:val="14"/>
        </w:numPr>
      </w:pPr>
      <w:r w:rsidRPr="00F60B6F">
        <w:t>Many rangers aspire to career progression within their organisations or beyond in Indigenous organisations, government agencies or industry.</w:t>
      </w:r>
    </w:p>
    <w:p w14:paraId="7D983323" w14:textId="77777777" w:rsidR="00F60B6F" w:rsidRDefault="00F60B6F" w:rsidP="00F60B6F">
      <w:pPr>
        <w:pStyle w:val="BulletedListlvl1"/>
        <w:numPr>
          <w:ilvl w:val="0"/>
          <w:numId w:val="14"/>
        </w:numPr>
      </w:pPr>
      <w:r w:rsidRPr="00F60B6F">
        <w:t>Obtaining management and leadership skills is needed to ensure local people can progress into these roles within ranger organisations.</w:t>
      </w:r>
    </w:p>
    <w:p w14:paraId="7D983324" w14:textId="77777777" w:rsidR="00F60B6F" w:rsidRDefault="00F60B6F" w:rsidP="00F60B6F">
      <w:pPr>
        <w:pStyle w:val="BulletedListlvl2"/>
      </w:pPr>
      <w:r w:rsidRPr="00F60B6F">
        <w:t>Ranger organisations told us staff exchanges,</w:t>
      </w:r>
      <w:r>
        <w:t xml:space="preserve"> secondments and mentoring can </w:t>
      </w:r>
      <w:r w:rsidRPr="00F60B6F">
        <w:t>assist with development of rangers’ technical and managerial skills and career development.</w:t>
      </w:r>
    </w:p>
    <w:p w14:paraId="7D983325" w14:textId="77777777" w:rsidR="00F60B6F" w:rsidRDefault="00F60B6F" w:rsidP="00F60B6F">
      <w:pPr>
        <w:pStyle w:val="BulletedListlvl1"/>
        <w:numPr>
          <w:ilvl w:val="0"/>
          <w:numId w:val="14"/>
        </w:numPr>
      </w:pPr>
      <w:r w:rsidRPr="00F60B6F">
        <w:t>Employment support is most effective if tailored and delivered to meet the needs of particular communities and individuals.</w:t>
      </w:r>
    </w:p>
    <w:p w14:paraId="7D983326" w14:textId="77777777" w:rsidR="003F5F4B" w:rsidRDefault="00EF112B" w:rsidP="00EF112B">
      <w:pPr>
        <w:pStyle w:val="Heading3"/>
      </w:pPr>
      <w:r w:rsidRPr="00EF112B">
        <w:t>What might be done?</w:t>
      </w:r>
    </w:p>
    <w:p w14:paraId="7D983327" w14:textId="77777777" w:rsidR="00F60B6F" w:rsidRDefault="00F60B6F" w:rsidP="00F60B6F">
      <w:pPr>
        <w:pStyle w:val="BulletedListlvl1"/>
        <w:numPr>
          <w:ilvl w:val="0"/>
          <w:numId w:val="14"/>
        </w:numPr>
      </w:pPr>
      <w:r w:rsidRPr="00F60B6F">
        <w:t xml:space="preserve">Regional implementation planning for the Strategy to identify Indigenous ranger regional employment support needs and initiatives (Short term action). </w:t>
      </w:r>
    </w:p>
    <w:p w14:paraId="7D983328" w14:textId="77777777" w:rsidR="00F60B6F" w:rsidRDefault="00F60B6F" w:rsidP="00F60B6F">
      <w:pPr>
        <w:pStyle w:val="BulletedListlvl2"/>
      </w:pPr>
      <w:r w:rsidRPr="00F60B6F">
        <w:t>Consider initiatives that can support Indig</w:t>
      </w:r>
      <w:r w:rsidR="00AE4BEC">
        <w:t>enous ranger employment and are</w:t>
      </w:r>
      <w:r w:rsidRPr="00F60B6F">
        <w:t xml:space="preserve"> delivered by government programs, industry and other private sector partners.  Possible examples are support for: </w:t>
      </w:r>
    </w:p>
    <w:p w14:paraId="7D983329" w14:textId="77777777" w:rsidR="00F60B6F" w:rsidRDefault="00F60B6F" w:rsidP="00F60B6F">
      <w:pPr>
        <w:pStyle w:val="BulletedListlvl3"/>
      </w:pPr>
      <w:r>
        <w:t>traineeships, internships and work experience;</w:t>
      </w:r>
    </w:p>
    <w:p w14:paraId="7D98332A" w14:textId="77777777" w:rsidR="00F60B6F" w:rsidRDefault="00F60B6F" w:rsidP="00F60B6F">
      <w:pPr>
        <w:pStyle w:val="BulletedListlvl3"/>
      </w:pPr>
      <w:r>
        <w:t>career development planning by ranger organisations and their staff;</w:t>
      </w:r>
    </w:p>
    <w:p w14:paraId="7D98332B" w14:textId="77777777" w:rsidR="00F60B6F" w:rsidRDefault="00F60B6F" w:rsidP="00F60B6F">
      <w:pPr>
        <w:pStyle w:val="BulletedListlvl3"/>
      </w:pPr>
      <w:r>
        <w:t>leadership and management skills programs;</w:t>
      </w:r>
    </w:p>
    <w:p w14:paraId="7D98332C" w14:textId="77777777" w:rsidR="00F60B6F" w:rsidRDefault="00F60B6F" w:rsidP="00F60B6F">
      <w:pPr>
        <w:pStyle w:val="BulletedListlvl3"/>
      </w:pPr>
      <w:r>
        <w:lastRenderedPageBreak/>
        <w:t xml:space="preserve">people with family and other responsibilities to take up employment. </w:t>
      </w:r>
    </w:p>
    <w:p w14:paraId="7D98332D" w14:textId="77777777" w:rsidR="00F60B6F" w:rsidRDefault="00F60B6F" w:rsidP="00F60B6F">
      <w:pPr>
        <w:pStyle w:val="BulletedListlvl1"/>
        <w:numPr>
          <w:ilvl w:val="0"/>
          <w:numId w:val="14"/>
        </w:numPr>
      </w:pPr>
      <w:r w:rsidRPr="00F60B6F">
        <w:t xml:space="preserve">Government employment programs (both mainstream and Indigenous) address the needs of Indigenous ranger and land and water management employment through their design and implementation. </w:t>
      </w:r>
    </w:p>
    <w:p w14:paraId="7D98332E" w14:textId="77777777" w:rsidR="00F60B6F" w:rsidRDefault="00F60B6F" w:rsidP="00743377">
      <w:pPr>
        <w:pStyle w:val="BulletedListlvl1"/>
        <w:numPr>
          <w:ilvl w:val="0"/>
          <w:numId w:val="14"/>
        </w:numPr>
      </w:pPr>
      <w:r w:rsidRPr="00F60B6F">
        <w:t xml:space="preserve">Secondment and mentoring programs for Indigenous rangers are developed and offered by government agencies and the private sector. </w:t>
      </w:r>
    </w:p>
    <w:p w14:paraId="7D98332F" w14:textId="77777777" w:rsidR="00EF37D9" w:rsidRDefault="00F60B6F" w:rsidP="00F60B6F">
      <w:pPr>
        <w:pStyle w:val="BulletedListlvl2"/>
      </w:pPr>
      <w:r w:rsidRPr="00F60B6F">
        <w:t xml:space="preserve">Arrangements need to include staff exchanges or backfilling so ranger organisations can maintain their staffing levels. </w:t>
      </w:r>
    </w:p>
    <w:p w14:paraId="7D983330" w14:textId="77777777" w:rsidR="00FE0A96" w:rsidRDefault="00FE0A96" w:rsidP="00FE0A96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7D98334A" wp14:editId="7D98334B">
            <wp:simplePos x="0" y="0"/>
            <wp:positionH relativeFrom="margin">
              <wp:posOffset>-57785</wp:posOffset>
            </wp:positionH>
            <wp:positionV relativeFrom="paragraph">
              <wp:posOffset>93980</wp:posOffset>
            </wp:positionV>
            <wp:extent cx="927100" cy="927100"/>
            <wp:effectExtent l="0" t="0" r="6350" b="6350"/>
            <wp:wrapSquare wrapText="bothSides"/>
            <wp:docPr id="405" name="Picture 405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3.3 – </w:t>
      </w:r>
      <w:r w:rsidRPr="00FE0A96">
        <w:t>Awareness and promotion of Indigenous rangers’ employment potential</w:t>
      </w:r>
    </w:p>
    <w:p w14:paraId="7D983331" w14:textId="77777777" w:rsidR="00FE0A96" w:rsidRDefault="00FE0A96" w:rsidP="00FE0A96">
      <w:pPr>
        <w:pStyle w:val="Heading3"/>
      </w:pPr>
      <w:r w:rsidRPr="00EF112B">
        <w:t>Why this is important</w:t>
      </w:r>
    </w:p>
    <w:p w14:paraId="7D983332" w14:textId="77777777" w:rsidR="00FE0A96" w:rsidRDefault="00FE0A96" w:rsidP="00FE0A96">
      <w:pPr>
        <w:pStyle w:val="BulletedListlvl1"/>
        <w:numPr>
          <w:ilvl w:val="0"/>
          <w:numId w:val="14"/>
        </w:numPr>
      </w:pPr>
      <w:r w:rsidRPr="00FE0A96">
        <w:t>Expands opportunities for Indigenous rangers to move into employment in other Indigenous organisations, government agencies, industry and the private sector (if they so wish).</w:t>
      </w:r>
    </w:p>
    <w:p w14:paraId="7D983333" w14:textId="77777777" w:rsidR="00FE0A96" w:rsidRDefault="00FE0A96" w:rsidP="00FE0A96">
      <w:pPr>
        <w:pStyle w:val="BulletedListlvl1"/>
        <w:numPr>
          <w:ilvl w:val="0"/>
          <w:numId w:val="14"/>
        </w:numPr>
      </w:pPr>
      <w:r w:rsidRPr="00FE0A96">
        <w:t>Broadens the local and regional Indigenous community employment base.</w:t>
      </w:r>
    </w:p>
    <w:p w14:paraId="7D983334" w14:textId="77777777" w:rsidR="00FE0A96" w:rsidRDefault="00FE0A96" w:rsidP="00FE0A96">
      <w:pPr>
        <w:pStyle w:val="Heading3"/>
      </w:pPr>
      <w:r w:rsidRPr="00EF112B">
        <w:t>What might be done?</w:t>
      </w:r>
    </w:p>
    <w:p w14:paraId="7D983335" w14:textId="77777777" w:rsidR="00FE0A96" w:rsidRDefault="00FE0A96" w:rsidP="00FE0A96">
      <w:pPr>
        <w:pStyle w:val="BulletedListlvl1"/>
        <w:numPr>
          <w:ilvl w:val="0"/>
          <w:numId w:val="14"/>
        </w:numPr>
      </w:pPr>
      <w:r w:rsidRPr="00FE0A96">
        <w:t xml:space="preserve">Develop communications material to promote awareness of Indigenous rangers’ unique skill set on web platforms and other media channels. </w:t>
      </w:r>
    </w:p>
    <w:p w14:paraId="7D983336" w14:textId="77777777" w:rsidR="00FE0A96" w:rsidRDefault="00FE0A96" w:rsidP="00FE0A96">
      <w:pPr>
        <w:pStyle w:val="BulletedListlvl2"/>
      </w:pPr>
      <w:r w:rsidRPr="00FE0A96">
        <w:t>The target audience to include government agencies, industry and the private sector.</w:t>
      </w:r>
    </w:p>
    <w:p w14:paraId="7D983337" w14:textId="77777777" w:rsidR="00EF37D9" w:rsidRDefault="00EF37D9" w:rsidP="00FE0A96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7D98334C" wp14:editId="7D98334D">
            <wp:simplePos x="0" y="0"/>
            <wp:positionH relativeFrom="margin">
              <wp:posOffset>-64135</wp:posOffset>
            </wp:positionH>
            <wp:positionV relativeFrom="paragraph">
              <wp:posOffset>192405</wp:posOffset>
            </wp:positionV>
            <wp:extent cx="933450" cy="933450"/>
            <wp:effectExtent l="0" t="0" r="0" b="0"/>
            <wp:wrapSquare wrapText="bothSides"/>
            <wp:docPr id="6" name="Picture 6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</w:t>
      </w:r>
      <w:r w:rsidR="00FE0A96">
        <w:t>3</w:t>
      </w:r>
      <w:r>
        <w:t>.</w:t>
      </w:r>
      <w:r w:rsidR="009E7A16">
        <w:t>4</w:t>
      </w:r>
      <w:r>
        <w:t xml:space="preserve"> – </w:t>
      </w:r>
      <w:r w:rsidR="00FE0A96" w:rsidRPr="00FE0A96">
        <w:t>Youth awareness of pathways into and beyond ranger employment</w:t>
      </w:r>
    </w:p>
    <w:p w14:paraId="7D983338" w14:textId="77777777" w:rsidR="00EF37D9" w:rsidRDefault="00EF37D9" w:rsidP="00EF37D9">
      <w:pPr>
        <w:pStyle w:val="Heading3"/>
      </w:pPr>
      <w:r w:rsidRPr="00EF112B">
        <w:t>Why this is important</w:t>
      </w:r>
    </w:p>
    <w:p w14:paraId="7D983339" w14:textId="77777777" w:rsidR="009E7A16" w:rsidRDefault="00FE0A96" w:rsidP="00FE0A96">
      <w:pPr>
        <w:pStyle w:val="BulletedListlvl1"/>
      </w:pPr>
      <w:r w:rsidRPr="00FE0A96">
        <w:t>Encourage young people into ranger and other employment to develop as the next generation of rangers and community leaders.</w:t>
      </w:r>
    </w:p>
    <w:p w14:paraId="7D98333A" w14:textId="77777777" w:rsidR="00FE0A96" w:rsidRDefault="00FE0A96" w:rsidP="00FE0A96">
      <w:pPr>
        <w:pStyle w:val="BulletedListlvl1"/>
      </w:pPr>
      <w:r>
        <w:t>Inform young people, communities, schools, training providers and employers of the multiple career pathways that exist within and beyond Indigenous ranger work.</w:t>
      </w:r>
    </w:p>
    <w:p w14:paraId="7D98333B" w14:textId="77777777" w:rsidR="00EF37D9" w:rsidRDefault="00EF37D9" w:rsidP="00EF37D9">
      <w:pPr>
        <w:pStyle w:val="Heading3"/>
      </w:pPr>
      <w:r w:rsidRPr="00EF112B">
        <w:t>What might be done?</w:t>
      </w:r>
    </w:p>
    <w:p w14:paraId="7D98333C" w14:textId="77777777" w:rsidR="00EF37D9" w:rsidRDefault="00FE0A96" w:rsidP="00FE0A96">
      <w:pPr>
        <w:pStyle w:val="BulletedListlvl1"/>
      </w:pPr>
      <w:r w:rsidRPr="00FE0A96">
        <w:t>Develop and distribute information (e.g. a career wheel graphic) showing ranger career pathways into, within and beyond ranger programs.</w:t>
      </w:r>
    </w:p>
    <w:p w14:paraId="7D98333D" w14:textId="77777777" w:rsidR="00EF37D9" w:rsidRDefault="00EF37D9">
      <w:pPr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</w:pPr>
      <w:r>
        <w:br w:type="page"/>
      </w:r>
    </w:p>
    <w:p w14:paraId="7D98333E" w14:textId="77777777" w:rsidR="00EF37D9" w:rsidRDefault="00237078" w:rsidP="00616B1C">
      <w:pPr>
        <w:pStyle w:val="Heading2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9504" behindDoc="0" locked="0" layoutInCell="1" allowOverlap="1" wp14:anchorId="7D98334E" wp14:editId="7D98334F">
            <wp:simplePos x="0" y="0"/>
            <wp:positionH relativeFrom="margin">
              <wp:posOffset>-48895</wp:posOffset>
            </wp:positionH>
            <wp:positionV relativeFrom="paragraph">
              <wp:posOffset>635</wp:posOffset>
            </wp:positionV>
            <wp:extent cx="914400" cy="927100"/>
            <wp:effectExtent l="0" t="0" r="0" b="6350"/>
            <wp:wrapSquare wrapText="bothSides"/>
            <wp:docPr id="8" name="Picture 8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7D9">
        <w:t xml:space="preserve">Action </w:t>
      </w:r>
      <w:r w:rsidR="00FE0A96">
        <w:t>3</w:t>
      </w:r>
      <w:r w:rsidR="00EF37D9">
        <w:t>.</w:t>
      </w:r>
      <w:r w:rsidR="009E7A16">
        <w:t>5</w:t>
      </w:r>
      <w:r w:rsidR="00EF37D9">
        <w:t xml:space="preserve"> – </w:t>
      </w:r>
      <w:r w:rsidR="00A4709E" w:rsidRPr="00A4709E">
        <w:t>Indigenous ranger employment awards</w:t>
      </w:r>
      <w:r w:rsidR="00EF37D9">
        <w:br/>
      </w:r>
    </w:p>
    <w:p w14:paraId="7D98333F" w14:textId="77777777" w:rsidR="00EF37D9" w:rsidRDefault="00EF37D9" w:rsidP="00EF37D9">
      <w:pPr>
        <w:pStyle w:val="Heading3"/>
      </w:pPr>
      <w:r w:rsidRPr="00EF112B">
        <w:t>Why this is important</w:t>
      </w:r>
    </w:p>
    <w:p w14:paraId="7D983340" w14:textId="77777777" w:rsidR="009E7A16" w:rsidRDefault="00A4709E" w:rsidP="00A4709E">
      <w:pPr>
        <w:pStyle w:val="BulletedListlvl1"/>
      </w:pPr>
      <w:r w:rsidRPr="00A4709E">
        <w:t>To ensure Indigenous rangers work under conditions and pay that:</w:t>
      </w:r>
    </w:p>
    <w:p w14:paraId="7D983341" w14:textId="77777777" w:rsidR="00A4709E" w:rsidRDefault="00A4709E" w:rsidP="00A4709E">
      <w:pPr>
        <w:pStyle w:val="BulletedListlvl2"/>
      </w:pPr>
      <w:r>
        <w:t>reflect their experience and qualifications;</w:t>
      </w:r>
    </w:p>
    <w:p w14:paraId="7D983342" w14:textId="77777777" w:rsidR="00A4709E" w:rsidRDefault="00A4709E" w:rsidP="00A4709E">
      <w:pPr>
        <w:pStyle w:val="BulletedListlvl2"/>
      </w:pPr>
      <w:r>
        <w:t>offer flexibility to cater for individual family and cultural responsibilities and aspirations.</w:t>
      </w:r>
    </w:p>
    <w:p w14:paraId="7D983343" w14:textId="77777777" w:rsidR="00EF37D9" w:rsidRDefault="00EF37D9" w:rsidP="00EF37D9">
      <w:pPr>
        <w:pStyle w:val="Heading3"/>
      </w:pPr>
      <w:r w:rsidRPr="00EF112B">
        <w:t>What might be done?</w:t>
      </w:r>
    </w:p>
    <w:p w14:paraId="7D983344" w14:textId="77777777" w:rsidR="00A4709E" w:rsidRDefault="00A4709E" w:rsidP="00A4709E">
      <w:pPr>
        <w:pStyle w:val="BulletedListlvl1"/>
      </w:pPr>
      <w:r>
        <w:t>Develop a Federal Indigenous ranger employment award to apply to employees of Indigenous ranger organisations.</w:t>
      </w:r>
    </w:p>
    <w:p w14:paraId="7D983345" w14:textId="77777777" w:rsidR="00166BA7" w:rsidRPr="00EF112B" w:rsidRDefault="00A4709E" w:rsidP="002E429A">
      <w:pPr>
        <w:pStyle w:val="BulletedListlvl1"/>
      </w:pPr>
      <w:r>
        <w:t>The award could be developed by an Indigenous Ranger Industry Body, if it is established (</w:t>
      </w:r>
      <w:r w:rsidR="002E429A" w:rsidRPr="002E429A">
        <w:t>discussed on p. 12 of the Conversation Guide</w:t>
      </w:r>
      <w:r>
        <w:t>).</w:t>
      </w:r>
    </w:p>
    <w:sectPr w:rsidR="00166BA7" w:rsidRPr="00EF112B" w:rsidSect="00F60B6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3352" w14:textId="77777777" w:rsidR="00EF112B" w:rsidRDefault="00EF112B" w:rsidP="00B95533">
      <w:pPr>
        <w:spacing w:after="0" w:line="240" w:lineRule="auto"/>
      </w:pPr>
      <w:r>
        <w:separator/>
      </w:r>
    </w:p>
  </w:endnote>
  <w:endnote w:type="continuationSeparator" w:id="0">
    <w:p w14:paraId="7D983353" w14:textId="77777777" w:rsidR="00EF112B" w:rsidRDefault="00EF112B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3357" w14:textId="77777777" w:rsidR="009672EB" w:rsidRPr="00B87E45" w:rsidRDefault="009672EB" w:rsidP="001007B9">
    <w:pPr>
      <w:pStyle w:val="ProtectiveMarking"/>
    </w:pPr>
  </w:p>
  <w:p w14:paraId="7D983358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D98335E" wp14:editId="7D98335F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FAE78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D983360" wp14:editId="7D98336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83371" w14:textId="0522F525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3D1349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833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7D983371" w14:textId="0522F525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3D1349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D983359" w14:textId="77777777" w:rsidR="009672EB" w:rsidRPr="0040648D" w:rsidRDefault="00166BA7" w:rsidP="00166BA7">
    <w:pPr>
      <w:pStyle w:val="Footer"/>
      <w:rPr>
        <w:color w:val="25303B" w:themeColor="accent1"/>
      </w:rPr>
    </w:pPr>
    <w:r w:rsidRPr="00166BA7">
      <w:rPr>
        <w:color w:val="25303B" w:themeColor="accent1"/>
      </w:rPr>
      <w:t xml:space="preserve">NIAA | </w:t>
    </w:r>
    <w:r w:rsidRPr="00166BA7">
      <w:rPr>
        <w:b/>
        <w:color w:val="25303B" w:themeColor="accent1"/>
      </w:rPr>
      <w:t>Indigenous Ranger Sector Strategy Information Sheet</w:t>
    </w:r>
    <w:r w:rsidRP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>Strong Economy (</w:t>
    </w:r>
    <w:r w:rsidR="00B46131">
      <w:rPr>
        <w:color w:val="25303B" w:themeColor="accent1"/>
      </w:rPr>
      <w:t>Job</w:t>
    </w:r>
    <w:r w:rsidR="009E7A16" w:rsidRPr="009E7A16">
      <w:rPr>
        <w:color w:val="25303B" w:themeColor="accent1"/>
      </w:rPr>
      <w:t>s) – Proposed Actions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335B" w14:textId="77777777" w:rsidR="009672EB" w:rsidRPr="0040648D" w:rsidRDefault="00F60B6F" w:rsidP="00281E3E">
    <w:pPr>
      <w:pStyle w:val="Footer"/>
      <w:rPr>
        <w:color w:val="25303B" w:themeColor="accent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D98336C" wp14:editId="7D98336D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976972" id="Straight Connector 39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bottom;mso-position-vertical-relative:margin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" strokecolor="#bbb [2894]" strokeweight="2.25pt">
              <v:stroke joinstyle="miter"/>
              <w10:wrap anchorx="margin" anchory="margin"/>
            </v:line>
          </w:pict>
        </mc:Fallback>
      </mc:AlternateContent>
    </w:r>
    <w:r w:rsidR="009672EB"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7D98336E" wp14:editId="7D98336F">
              <wp:simplePos x="0" y="0"/>
              <wp:positionH relativeFrom="margin">
                <wp:posOffset>6136640</wp:posOffset>
              </wp:positionH>
              <wp:positionV relativeFrom="bottomMargin">
                <wp:posOffset>48260</wp:posOffset>
              </wp:positionV>
              <wp:extent cx="330835" cy="23114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83373" w14:textId="45E9CA89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3D1349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8336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3.2pt;margin-top:3.8pt;width:26.05pt;height:1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" filled="f" stroked="f">
              <v:textbox inset="0,0,0,0">
                <w:txbxContent>
                  <w:p w14:paraId="7D983373" w14:textId="45E9CA89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3D1349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672EB" w:rsidRPr="0040648D">
      <w:rPr>
        <w:color w:val="25303B" w:themeColor="accent1"/>
      </w:rPr>
      <w:t xml:space="preserve">NIAA | </w:t>
    </w:r>
    <w:r w:rsidR="00166BA7" w:rsidRPr="009E7A16">
      <w:rPr>
        <w:b/>
        <w:color w:val="25303B" w:themeColor="accent1"/>
      </w:rPr>
      <w:t>Indigenous Ranger Sector Strategy Information Sheet</w:t>
    </w:r>
    <w:r w:rsidR="00166BA7">
      <w:rPr>
        <w:color w:val="25303B" w:themeColor="accent1"/>
      </w:rPr>
      <w:t xml:space="preserve"> | </w:t>
    </w:r>
    <w:r w:rsidR="009E7A16" w:rsidRPr="009E7A16">
      <w:rPr>
        <w:color w:val="25303B" w:themeColor="accent1"/>
      </w:rPr>
      <w:t>Strong Economy (</w:t>
    </w:r>
    <w:r w:rsidR="00B46131">
      <w:rPr>
        <w:color w:val="25303B" w:themeColor="accent1"/>
      </w:rPr>
      <w:t>Job</w:t>
    </w:r>
    <w:r w:rsidR="009E7A16" w:rsidRPr="009E7A16">
      <w:rPr>
        <w:color w:val="25303B" w:themeColor="accent1"/>
      </w:rPr>
      <w:t>s) – Proposed Actions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3350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7D983351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3354" w14:textId="77777777" w:rsidR="002C0B0E" w:rsidRDefault="002C0B0E" w:rsidP="00510499">
    <w:pPr>
      <w:pStyle w:val="ProtectiveMarking"/>
    </w:pPr>
  </w:p>
  <w:p w14:paraId="7D983355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7D98335C" wp14:editId="7D98335D">
          <wp:simplePos x="0" y="0"/>
          <wp:positionH relativeFrom="margin">
            <wp:posOffset>2540</wp:posOffset>
          </wp:positionH>
          <wp:positionV relativeFrom="page">
            <wp:posOffset>648335</wp:posOffset>
          </wp:positionV>
          <wp:extent cx="6479540" cy="147320"/>
          <wp:effectExtent l="0" t="0" r="0" b="5080"/>
          <wp:wrapNone/>
          <wp:docPr id="401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83356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335A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7D983362" wp14:editId="7D983363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B17071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7D983364" wp14:editId="7D983365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83372" w14:textId="77777777" w:rsidR="00FB385B" w:rsidRPr="00A41F97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833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7D983372" w14:textId="77777777" w:rsidR="00FB385B" w:rsidRPr="00A41F97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7D983366" wp14:editId="23222BDA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2" name="Graphic 16" descr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7D983368" wp14:editId="2C6E95C2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03" name="Graphic 19" descr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7D98336A" wp14:editId="7D98336B">
          <wp:simplePos x="0" y="0"/>
          <wp:positionH relativeFrom="page">
            <wp:posOffset>133350</wp:posOffset>
          </wp:positionH>
          <wp:positionV relativeFrom="page">
            <wp:posOffset>83820</wp:posOffset>
          </wp:positionV>
          <wp:extent cx="7314565" cy="1212215"/>
          <wp:effectExtent l="0" t="0" r="635" b="6985"/>
          <wp:wrapSquare wrapText="bothSides"/>
          <wp:docPr id="40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B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2268"/>
    <w:rsid w:val="001336CF"/>
    <w:rsid w:val="00143288"/>
    <w:rsid w:val="0015537B"/>
    <w:rsid w:val="00166BA7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078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0B94"/>
    <w:rsid w:val="002C5F5B"/>
    <w:rsid w:val="002C777D"/>
    <w:rsid w:val="002D40B1"/>
    <w:rsid w:val="002D45CD"/>
    <w:rsid w:val="002D75F9"/>
    <w:rsid w:val="002E07AC"/>
    <w:rsid w:val="002E429A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1349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37F3E"/>
    <w:rsid w:val="0044371A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6B1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E7A16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1F97"/>
    <w:rsid w:val="00A4709E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4BEC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4613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44E0"/>
    <w:rsid w:val="00C464A7"/>
    <w:rsid w:val="00C511C3"/>
    <w:rsid w:val="00C51C42"/>
    <w:rsid w:val="00C52329"/>
    <w:rsid w:val="00C5392B"/>
    <w:rsid w:val="00C53F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3AB9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12B"/>
    <w:rsid w:val="00EF125F"/>
    <w:rsid w:val="00EF2497"/>
    <w:rsid w:val="00EF37D9"/>
    <w:rsid w:val="00EF38A6"/>
    <w:rsid w:val="00EF4AC8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0B6F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0A96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98331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437F3E"/>
    <w:pPr>
      <w:numPr>
        <w:numId w:val="5"/>
      </w:numPr>
      <w:spacing w:after="60"/>
      <w:ind w:left="568" w:hanging="284"/>
    </w:pPr>
    <w:rPr>
      <w:sz w:val="22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437F3E"/>
    <w:rPr>
      <w:sz w:val="22"/>
    </w:rPr>
  </w:style>
  <w:style w:type="character" w:customStyle="1" w:styleId="BodyTextChar">
    <w:name w:val="Body Text Char"/>
    <w:basedOn w:val="DefaultParagraphFont"/>
    <w:link w:val="BodyText"/>
    <w:rsid w:val="00437F3E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437F3E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ascii="Century Gothic" w:eastAsia="Times New Roman" w:hAnsi="Century Gothic" w:cstheme="minorHAnsi"/>
      <w:sz w:val="22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F112B"/>
    <w:pPr>
      <w:numPr>
        <w:ilvl w:val="1"/>
      </w:numPr>
      <w:spacing w:before="24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F112B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Choos Classification</Classification>
  <DLM/>
  <SectionName/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DOC22-81839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  <SharedWithUsers xmlns="166541c0-0594-4e6a-9105-c24d4b6de6f7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9AF682A0-6CFA-465C-97B0-E4CFCEF31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31400-6441-46DC-9646-9330A7295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79D7E-BB99-4275-B865-0FEFA10819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7788F82-CC31-4DAA-8935-6C45D31C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3320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Ranger Sector Strategy Information Sheet - Strong Economy (Jobs)</dc:title>
  <dc:subject/>
  <dc:creator/>
  <cp:keywords/>
  <dc:description/>
  <cp:lastModifiedBy/>
  <cp:revision>1</cp:revision>
  <dcterms:created xsi:type="dcterms:W3CDTF">2022-03-22T01:50:00Z</dcterms:created>
  <dcterms:modified xsi:type="dcterms:W3CDTF">2022-03-22T01:50:00Z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4" name="ESearchTags">
    <vt:lpwstr/>
  </property>
  <property fmtid="{D5CDD505-2E9C-101B-9397-08002B2CF9AE}" pid="7" name="HPRMSecurityLevel">
    <vt:lpwstr>57;#OFFICIAL|11463c70-78df-4e3b-b0ff-f66cd3cb26ec</vt:lpwstr>
  </property>
  <property fmtid="{D5CDD505-2E9C-101B-9397-08002B2CF9AE}" pid="10" name="HPRMSecurityCaveat">
    <vt:lpwstr/>
  </property>
  <property fmtid="{D5CDD505-2E9C-101B-9397-08002B2CF9AE}" pid="11" name="PMC.ESearch.TagGeneratedTime">
    <vt:lpwstr>2022-04-01T09:22:59</vt:lpwstr>
  </property>
</Properties>
</file>