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8BEE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08528BEF" w14:textId="77777777" w:rsidR="0086672B" w:rsidRPr="00562166" w:rsidRDefault="0040648D" w:rsidP="00EF112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8528C16" wp14:editId="08528C1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8C40" w14:textId="77777777" w:rsidR="0040648D" w:rsidRPr="00C91A83" w:rsidRDefault="0040648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8C1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14:paraId="08528C40" w14:textId="77777777" w:rsidR="0040648D" w:rsidRPr="00C91A83" w:rsidRDefault="0040648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F112B" w:rsidRPr="00EF112B">
        <w:rPr>
          <w:rStyle w:val="Heading1Char"/>
        </w:rPr>
        <w:t>Indigenous Ranger Sector Strategy Information Sheet</w:t>
      </w:r>
      <w:r w:rsidR="00EF112B">
        <w:rPr>
          <w:b/>
          <w:sz w:val="60"/>
          <w:szCs w:val="60"/>
        </w:rPr>
        <w:br/>
      </w:r>
      <w:r w:rsidR="00EF112B" w:rsidRPr="00EF112B">
        <w:rPr>
          <w:rStyle w:val="SubtitleChar"/>
        </w:rPr>
        <w:t xml:space="preserve">Strong </w:t>
      </w:r>
      <w:r w:rsidR="00237078">
        <w:rPr>
          <w:rStyle w:val="SubtitleChar"/>
        </w:rPr>
        <w:t>Economy (</w:t>
      </w:r>
      <w:r w:rsidR="001A1462">
        <w:rPr>
          <w:rStyle w:val="SubtitleChar"/>
        </w:rPr>
        <w:t>Business</w:t>
      </w:r>
      <w:r w:rsidR="00237078">
        <w:rPr>
          <w:rStyle w:val="SubtitleChar"/>
        </w:rPr>
        <w:t>)</w:t>
      </w:r>
      <w:r w:rsidR="00EF112B" w:rsidRPr="00EF112B">
        <w:rPr>
          <w:rStyle w:val="SubtitleChar"/>
        </w:rPr>
        <w:t xml:space="preserve"> – Proposed Actions</w:t>
      </w:r>
    </w:p>
    <w:p w14:paraId="08528BF0" w14:textId="77777777" w:rsidR="00EF38A6" w:rsidRPr="00EF112B" w:rsidRDefault="00EF112B" w:rsidP="002C0B94">
      <w:pPr>
        <w:pStyle w:val="EmphasisPanelBody"/>
      </w:pPr>
      <w:r w:rsidRPr="00EF112B">
        <w:t>This Information Sheet explains why each lead action in the Draft Strategy is</w:t>
      </w:r>
      <w:r>
        <w:rPr>
          <w:b/>
        </w:rPr>
        <w:t xml:space="preserve"> </w:t>
      </w:r>
      <w:r w:rsidRPr="00EF112B">
        <w:t>important. It suggests ideas to implement the lead action. Some of these ideas were</w:t>
      </w:r>
      <w:r>
        <w:rPr>
          <w:b/>
        </w:rPr>
        <w:t xml:space="preserve"> </w:t>
      </w:r>
      <w:r w:rsidRPr="00EF112B">
        <w:t xml:space="preserve">proposed by Indigenous </w:t>
      </w:r>
      <w:r w:rsidRPr="002C0B94">
        <w:t>ranger organisations in earlier</w:t>
      </w:r>
      <w:r>
        <w:rPr>
          <w:b/>
        </w:rPr>
        <w:t xml:space="preserve"> </w:t>
      </w:r>
      <w:r w:rsidRPr="00EF112B">
        <w:t>consultations.</w:t>
      </w:r>
    </w:p>
    <w:p w14:paraId="08528BF1" w14:textId="77777777" w:rsidR="00A346CA" w:rsidRDefault="00237078" w:rsidP="001A1462">
      <w:pPr>
        <w:pStyle w:val="Heading2"/>
        <w:ind w:left="1560" w:hanging="120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08528C18" wp14:editId="08528C19">
            <wp:simplePos x="0" y="0"/>
            <wp:positionH relativeFrom="margin">
              <wp:posOffset>-54653</wp:posOffset>
            </wp:positionH>
            <wp:positionV relativeFrom="paragraph">
              <wp:posOffset>249555</wp:posOffset>
            </wp:positionV>
            <wp:extent cx="920836" cy="933450"/>
            <wp:effectExtent l="0" t="0" r="0" b="0"/>
            <wp:wrapSquare wrapText="bothSides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3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12B">
        <w:t>Action</w:t>
      </w:r>
      <w:r w:rsidR="001A1462">
        <w:t xml:space="preserve"> 4</w:t>
      </w:r>
      <w:r w:rsidR="00EF112B">
        <w:t xml:space="preserve">.1 – </w:t>
      </w:r>
      <w:r w:rsidR="001A1462" w:rsidRPr="001A1462">
        <w:t xml:space="preserve">Increase demand for Indigenous ranger services in government and industry through awareness and </w:t>
      </w:r>
      <w:r w:rsidR="001A1462">
        <w:t xml:space="preserve">  </w:t>
      </w:r>
      <w:r w:rsidR="001A1462" w:rsidRPr="001A1462">
        <w:t>procurement policy</w:t>
      </w:r>
    </w:p>
    <w:p w14:paraId="08528BF2" w14:textId="77777777" w:rsidR="00A346CA" w:rsidRDefault="00EF112B" w:rsidP="00EF112B">
      <w:pPr>
        <w:pStyle w:val="Heading3"/>
      </w:pPr>
      <w:r w:rsidRPr="00EF112B">
        <w:t>Why this is important</w:t>
      </w:r>
    </w:p>
    <w:p w14:paraId="08528BF3" w14:textId="77777777" w:rsidR="00F60B6F" w:rsidRDefault="001A1462" w:rsidP="001A1462">
      <w:pPr>
        <w:pStyle w:val="BulletedListlvl1"/>
        <w:numPr>
          <w:ilvl w:val="0"/>
          <w:numId w:val="14"/>
        </w:numPr>
      </w:pPr>
      <w:r>
        <w:t>Growing awareness of ranger services will help increase ranger business opportunities in remote and regional areas, where opportunities are currently limited.</w:t>
      </w:r>
    </w:p>
    <w:p w14:paraId="08528BF4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>Ranger organisations say procurement policies could do more to encourage use of ranger services and businesses.</w:t>
      </w:r>
    </w:p>
    <w:p w14:paraId="08528BF5" w14:textId="77777777" w:rsidR="003F5F4B" w:rsidRDefault="00EF112B" w:rsidP="00EF112B">
      <w:pPr>
        <w:pStyle w:val="Heading3"/>
      </w:pPr>
      <w:r w:rsidRPr="00EF112B">
        <w:t>What might be done?</w:t>
      </w:r>
    </w:p>
    <w:p w14:paraId="08528BF6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>Publish information for agencies and industry on the benefits of using Indige</w:t>
      </w:r>
      <w:r>
        <w:t>nous ranger services.</w:t>
      </w:r>
    </w:p>
    <w:p w14:paraId="08528BF7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 xml:space="preserve">Government and private sector stakeholders investigate and implement Indigenous procurement policies for local and regional situations. </w:t>
      </w:r>
    </w:p>
    <w:p w14:paraId="08528BF8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 xml:space="preserve">Build a network of stakeholders to promote use of Indigenous ranger services. </w:t>
      </w:r>
    </w:p>
    <w:p w14:paraId="08528BF9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 xml:space="preserve">Create a web platform to link ranger services and commercial ventures with opportunities (e.g. through publishing capability statements for ranger organisations). </w:t>
      </w:r>
    </w:p>
    <w:p w14:paraId="08528BFA" w14:textId="77777777" w:rsidR="00EF37D9" w:rsidRDefault="001A1462" w:rsidP="001A1462">
      <w:pPr>
        <w:pStyle w:val="BulletedListlvl1"/>
        <w:numPr>
          <w:ilvl w:val="0"/>
          <w:numId w:val="14"/>
        </w:numPr>
      </w:pPr>
      <w:r w:rsidRPr="001A1462">
        <w:t xml:space="preserve">Advocacy by an Indigenous Ranger Sector Industry Body (discussed on p. </w:t>
      </w:r>
      <w:r>
        <w:t>12</w:t>
      </w:r>
      <w:r w:rsidRPr="001A1462">
        <w:t xml:space="preserve"> of the Conversation Guide). </w:t>
      </w:r>
      <w:r w:rsidR="00EF37D9">
        <w:br w:type="page"/>
      </w:r>
    </w:p>
    <w:p w14:paraId="08528BFB" w14:textId="77777777" w:rsidR="00FE0A96" w:rsidRDefault="00FE0A96" w:rsidP="00FE0A96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3600" behindDoc="0" locked="0" layoutInCell="1" allowOverlap="1" wp14:anchorId="08528C1A" wp14:editId="08528C1B">
            <wp:simplePos x="0" y="0"/>
            <wp:positionH relativeFrom="margin">
              <wp:posOffset>-57785</wp:posOffset>
            </wp:positionH>
            <wp:positionV relativeFrom="paragraph">
              <wp:posOffset>0</wp:posOffset>
            </wp:positionV>
            <wp:extent cx="927100" cy="927100"/>
            <wp:effectExtent l="0" t="0" r="6350" b="6350"/>
            <wp:wrapSquare wrapText="bothSides"/>
            <wp:docPr id="405" name="Picture 40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1A1462">
        <w:t>4</w:t>
      </w:r>
      <w:r>
        <w:t>.</w:t>
      </w:r>
      <w:r w:rsidR="001A1462">
        <w:t>2</w:t>
      </w:r>
      <w:r>
        <w:t xml:space="preserve"> – </w:t>
      </w:r>
      <w:r w:rsidR="001A1462" w:rsidRPr="001A1462">
        <w:t>Accessible, place-based business support</w:t>
      </w:r>
    </w:p>
    <w:p w14:paraId="08528BFC" w14:textId="77777777" w:rsidR="00FE0A96" w:rsidRDefault="001A1462" w:rsidP="00FE0A96">
      <w:pPr>
        <w:pStyle w:val="Heading3"/>
      </w:pPr>
      <w:r>
        <w:br/>
      </w:r>
      <w:r w:rsidR="00FE0A96" w:rsidRPr="00EF112B">
        <w:t>Why this is important</w:t>
      </w:r>
    </w:p>
    <w:p w14:paraId="08528BFD" w14:textId="77777777" w:rsidR="00FE0A96" w:rsidRDefault="001A1462" w:rsidP="001A1462">
      <w:pPr>
        <w:pStyle w:val="BulletedListlvl1"/>
        <w:numPr>
          <w:ilvl w:val="0"/>
          <w:numId w:val="14"/>
        </w:numPr>
      </w:pPr>
      <w:r w:rsidRPr="001A1462">
        <w:t xml:space="preserve">Developing business capability and accessing expertise are major challenges for ranger organisations in remote and regional areas. </w:t>
      </w:r>
    </w:p>
    <w:p w14:paraId="08528BFE" w14:textId="77777777" w:rsidR="001A1462" w:rsidRDefault="001A1462" w:rsidP="001A1462">
      <w:pPr>
        <w:pStyle w:val="BulletedListlvl1"/>
        <w:numPr>
          <w:ilvl w:val="0"/>
          <w:numId w:val="14"/>
        </w:numPr>
      </w:pPr>
      <w:r>
        <w:t>They seek better access to business development information and support programs.</w:t>
      </w:r>
    </w:p>
    <w:p w14:paraId="08528BFF" w14:textId="77777777" w:rsidR="00FE0A96" w:rsidRDefault="00FE0A96" w:rsidP="00FE0A96">
      <w:pPr>
        <w:pStyle w:val="Heading3"/>
      </w:pPr>
      <w:r w:rsidRPr="00EF112B">
        <w:t>What might be done?</w:t>
      </w:r>
    </w:p>
    <w:p w14:paraId="08528C00" w14:textId="77777777" w:rsidR="00FE0A96" w:rsidRDefault="001A1462" w:rsidP="001A1462">
      <w:pPr>
        <w:pStyle w:val="BulletedListlvl1"/>
        <w:numPr>
          <w:ilvl w:val="0"/>
          <w:numId w:val="14"/>
        </w:numPr>
      </w:pPr>
      <w:r w:rsidRPr="001A1462">
        <w:t>Identify ranger organisations’ regional business support needs.</w:t>
      </w:r>
    </w:p>
    <w:p w14:paraId="08528C01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>Develop place-based business support with the public and private sectors, including online support where workable.</w:t>
      </w:r>
    </w:p>
    <w:p w14:paraId="08528C02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>Provide information on business support programs to ranger organisations.</w:t>
      </w:r>
    </w:p>
    <w:p w14:paraId="08528C03" w14:textId="77777777" w:rsidR="001A1462" w:rsidRDefault="001A1462" w:rsidP="001A1462">
      <w:pPr>
        <w:pStyle w:val="BulletedListlvl1"/>
        <w:numPr>
          <w:ilvl w:val="0"/>
          <w:numId w:val="14"/>
        </w:numPr>
      </w:pPr>
      <w:r w:rsidRPr="001A1462">
        <w:t>Create and promote online business tools and resources.</w:t>
      </w:r>
    </w:p>
    <w:p w14:paraId="08528C04" w14:textId="77777777" w:rsidR="00EF37D9" w:rsidRDefault="00EF37D9" w:rsidP="00FE0A96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08528C1C" wp14:editId="08528C1D">
            <wp:simplePos x="0" y="0"/>
            <wp:positionH relativeFrom="margin">
              <wp:posOffset>-64135</wp:posOffset>
            </wp:positionH>
            <wp:positionV relativeFrom="paragraph">
              <wp:posOffset>314325</wp:posOffset>
            </wp:positionV>
            <wp:extent cx="933450" cy="933450"/>
            <wp:effectExtent l="0" t="0" r="0" b="0"/>
            <wp:wrapSquare wrapText="bothSides"/>
            <wp:docPr id="6" name="Picture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1A1462">
        <w:t>4</w:t>
      </w:r>
      <w:r>
        <w:t>.</w:t>
      </w:r>
      <w:r w:rsidR="001A1462">
        <w:t>3</w:t>
      </w:r>
      <w:r>
        <w:t xml:space="preserve"> – </w:t>
      </w:r>
      <w:r w:rsidR="001A1462" w:rsidRPr="001A1462">
        <w:t>Ranger funding programs accommodate capability and business needs of the growing sector</w:t>
      </w:r>
    </w:p>
    <w:p w14:paraId="08528C05" w14:textId="77777777" w:rsidR="00EF37D9" w:rsidRDefault="00EF37D9" w:rsidP="00EF37D9">
      <w:pPr>
        <w:pStyle w:val="Heading3"/>
      </w:pPr>
      <w:r w:rsidRPr="00EF112B">
        <w:t>Why this is important</w:t>
      </w:r>
    </w:p>
    <w:p w14:paraId="08528C06" w14:textId="77777777" w:rsidR="00FE0A96" w:rsidRDefault="001A1462" w:rsidP="001A1462">
      <w:pPr>
        <w:pStyle w:val="BulletedListlvl1"/>
      </w:pPr>
      <w:r w:rsidRPr="001A1462">
        <w:t>Ranger organisations seek program design, support and processes that reduce administrative burden and reflect their developing needs and aspirations. Examples they raised include:</w:t>
      </w:r>
    </w:p>
    <w:p w14:paraId="08528C07" w14:textId="77777777" w:rsidR="001A1462" w:rsidRDefault="001A1462" w:rsidP="001A1462">
      <w:pPr>
        <w:pStyle w:val="BulletedListlvl2"/>
      </w:pPr>
      <w:r>
        <w:t>greater funding certainty;</w:t>
      </w:r>
    </w:p>
    <w:p w14:paraId="08528C08" w14:textId="77777777" w:rsidR="001A1462" w:rsidRDefault="001A1462" w:rsidP="001A1462">
      <w:pPr>
        <w:pStyle w:val="BulletedListlvl2"/>
      </w:pPr>
      <w:r>
        <w:t>alignment of requirements across different programs; more flexible purchasing and asset management; improved strategic planning support;</w:t>
      </w:r>
    </w:p>
    <w:p w14:paraId="08528C09" w14:textId="77777777" w:rsidR="001A1462" w:rsidRDefault="001A1462" w:rsidP="001A1462">
      <w:pPr>
        <w:pStyle w:val="BulletedListlvl2"/>
      </w:pPr>
      <w:r>
        <w:t>streamlined performance reporting.</w:t>
      </w:r>
    </w:p>
    <w:p w14:paraId="08528C0A" w14:textId="77777777" w:rsidR="00EF37D9" w:rsidRDefault="00EF37D9" w:rsidP="00EF37D9">
      <w:pPr>
        <w:pStyle w:val="Heading3"/>
      </w:pPr>
      <w:r w:rsidRPr="00EF112B">
        <w:t>What might be done?</w:t>
      </w:r>
    </w:p>
    <w:p w14:paraId="08528C0B" w14:textId="77777777" w:rsidR="00EF37D9" w:rsidRDefault="001A1462" w:rsidP="001A1462">
      <w:pPr>
        <w:pStyle w:val="BulletedListlvl1"/>
      </w:pPr>
      <w:r w:rsidRPr="001A1462">
        <w:t>Collaborate to review and adjust program policies and processes to meet organisations’ needs.</w:t>
      </w:r>
    </w:p>
    <w:p w14:paraId="08528C0C" w14:textId="77777777" w:rsidR="001A1462" w:rsidRDefault="001A1462" w:rsidP="001A1462">
      <w:pPr>
        <w:pStyle w:val="BulletedListlvl1"/>
      </w:pPr>
      <w:r w:rsidRPr="001A1462">
        <w:t>Improve coordination of program policies and processes across jurisdictions.</w:t>
      </w:r>
    </w:p>
    <w:p w14:paraId="08528C0D" w14:textId="77777777" w:rsidR="001A1462" w:rsidRDefault="001A1462" w:rsidP="001A1462">
      <w:pPr>
        <w:pStyle w:val="BulletedListlvl1"/>
      </w:pPr>
      <w:r w:rsidRPr="001A1462">
        <w:t>Improve program guidance materials.</w:t>
      </w:r>
    </w:p>
    <w:p w14:paraId="08528C0E" w14:textId="77777777" w:rsidR="001A1462" w:rsidRDefault="001A1462" w:rsidP="001A1462">
      <w:pPr>
        <w:pStyle w:val="BulletedListlvl1"/>
      </w:pPr>
      <w:r w:rsidRPr="001A1462">
        <w:t>Provide support and guidance for strategic planning to underpin ranger operations and organisational success.</w:t>
      </w:r>
    </w:p>
    <w:p w14:paraId="08528C0F" w14:textId="77777777" w:rsidR="001A1462" w:rsidRDefault="001A1462" w:rsidP="001A1462">
      <w:pPr>
        <w:pStyle w:val="BulletedListlvl1"/>
      </w:pPr>
      <w:r w:rsidRPr="001A1462">
        <w:t>Provide information and facilitate opportunities between organisations on an Indigenous ranger web platform(s).</w:t>
      </w:r>
    </w:p>
    <w:p w14:paraId="08528C10" w14:textId="77777777" w:rsidR="00EF37D9" w:rsidRDefault="00237078" w:rsidP="00616B1C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08528C1E" wp14:editId="08528C1F">
            <wp:simplePos x="0" y="0"/>
            <wp:positionH relativeFrom="margin">
              <wp:posOffset>-57785</wp:posOffset>
            </wp:positionH>
            <wp:positionV relativeFrom="paragraph">
              <wp:posOffset>635</wp:posOffset>
            </wp:positionV>
            <wp:extent cx="927100" cy="927100"/>
            <wp:effectExtent l="0" t="0" r="6350" b="6350"/>
            <wp:wrapSquare wrapText="bothSides"/>
            <wp:docPr id="8" name="Picture 8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D9">
        <w:t xml:space="preserve">Action </w:t>
      </w:r>
      <w:r w:rsidR="001A1462">
        <w:t>4</w:t>
      </w:r>
      <w:r w:rsidR="00EF37D9">
        <w:t>.</w:t>
      </w:r>
      <w:r w:rsidR="001A1462">
        <w:t>4</w:t>
      </w:r>
      <w:r w:rsidR="00EF37D9">
        <w:t xml:space="preserve"> – </w:t>
      </w:r>
      <w:r w:rsidR="001A1462" w:rsidRPr="001A1462">
        <w:t>Indigenous-led initiatives for business development and advocacy</w:t>
      </w:r>
      <w:r w:rsidR="00EF37D9">
        <w:br/>
      </w:r>
    </w:p>
    <w:p w14:paraId="08528C11" w14:textId="77777777" w:rsidR="00EF37D9" w:rsidRDefault="00EF37D9" w:rsidP="00EF37D9">
      <w:pPr>
        <w:pStyle w:val="Heading3"/>
      </w:pPr>
      <w:r w:rsidRPr="00EF112B">
        <w:t>Why this is important</w:t>
      </w:r>
    </w:p>
    <w:p w14:paraId="08528C12" w14:textId="77777777" w:rsidR="00A4709E" w:rsidRDefault="001A1462" w:rsidP="001A1462">
      <w:pPr>
        <w:pStyle w:val="BulletedListlvl1"/>
        <w:numPr>
          <w:ilvl w:val="0"/>
          <w:numId w:val="14"/>
        </w:numPr>
      </w:pPr>
      <w:r w:rsidRPr="001A1462">
        <w:t>Assisting Indigenous rangers in their land and water business initiatives now and for future development.</w:t>
      </w:r>
    </w:p>
    <w:p w14:paraId="08528C13" w14:textId="77777777" w:rsidR="00EF37D9" w:rsidRDefault="00EF37D9" w:rsidP="00EF37D9">
      <w:pPr>
        <w:pStyle w:val="Heading3"/>
      </w:pPr>
      <w:r w:rsidRPr="00EF112B">
        <w:t>What might be done?</w:t>
      </w:r>
    </w:p>
    <w:p w14:paraId="08528C14" w14:textId="77777777" w:rsidR="00166BA7" w:rsidRDefault="003808BB" w:rsidP="003808BB">
      <w:pPr>
        <w:pStyle w:val="BulletedListlvl1"/>
      </w:pPr>
      <w:r>
        <w:t>If supported by Indigenous stakeholders, establish an Indigenous Ranger Sector Industry Body to support an advocate for the sector, including business (discussed on p. 12 of the Conversation Guide).</w:t>
      </w:r>
    </w:p>
    <w:p w14:paraId="08528C15" w14:textId="77777777" w:rsidR="003808BB" w:rsidRPr="00EF112B" w:rsidRDefault="003808BB" w:rsidP="003808BB">
      <w:pPr>
        <w:pStyle w:val="BulletedListlvl1"/>
      </w:pPr>
      <w:r w:rsidRPr="003808BB">
        <w:t>Support opportunities for ranger organisations to use their collective buying power (e.g. pool and/or share resources for operations and business).</w:t>
      </w:r>
    </w:p>
    <w:sectPr w:rsidR="003808BB" w:rsidRPr="00EF112B" w:rsidSect="00F60B6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59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28C22" w14:textId="77777777" w:rsidR="00EF112B" w:rsidRDefault="00EF112B" w:rsidP="00B95533">
      <w:pPr>
        <w:spacing w:after="0" w:line="240" w:lineRule="auto"/>
      </w:pPr>
      <w:r>
        <w:separator/>
      </w:r>
    </w:p>
  </w:endnote>
  <w:endnote w:type="continuationSeparator" w:id="0">
    <w:p w14:paraId="08528C23" w14:textId="77777777" w:rsidR="00EF112B" w:rsidRDefault="00EF112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8C27" w14:textId="77777777" w:rsidR="009672EB" w:rsidRPr="00B87E45" w:rsidRDefault="009672EB" w:rsidP="001007B9">
    <w:pPr>
      <w:pStyle w:val="ProtectiveMarking"/>
    </w:pPr>
  </w:p>
  <w:p w14:paraId="08528C28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8528C2E" wp14:editId="08528C2F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B83857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8528C30" wp14:editId="08528C3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/>
                        <w:p w14:paraId="08528C41" w14:textId="63B2FA20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DA6027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28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bookmarkStart w:id="1" w:name="_GoBack"/>
                  <w:p w14:paraId="08528C41" w14:textId="63B2FA20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DA6027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8528C29" w14:textId="77777777" w:rsidR="009672EB" w:rsidRPr="0040648D" w:rsidRDefault="00166BA7" w:rsidP="00166BA7">
    <w:pPr>
      <w:pStyle w:val="Footer"/>
      <w:rPr>
        <w:color w:val="25303B" w:themeColor="accent1"/>
      </w:rPr>
    </w:pPr>
    <w:r w:rsidRPr="00166BA7">
      <w:rPr>
        <w:color w:val="25303B" w:themeColor="accent1"/>
      </w:rPr>
      <w:t xml:space="preserve">NIAA | </w:t>
    </w:r>
    <w:r w:rsidRPr="00166BA7">
      <w:rPr>
        <w:b/>
        <w:color w:val="25303B" w:themeColor="accent1"/>
      </w:rPr>
      <w:t>Indigenous Ranger Sector Strategy Information Sheet</w:t>
    </w:r>
    <w:r w:rsidRP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</w:t>
    </w:r>
    <w:r w:rsidR="003808BB">
      <w:rPr>
        <w:color w:val="25303B" w:themeColor="accent1"/>
      </w:rPr>
      <w:t>Business</w:t>
    </w:r>
    <w:r w:rsidR="009E7A16" w:rsidRPr="009E7A16">
      <w:rPr>
        <w:color w:val="25303B" w:themeColor="accent1"/>
      </w:rPr>
      <w:t>) – Proposed Actions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8C2B" w14:textId="77777777" w:rsidR="009672EB" w:rsidRPr="0040648D" w:rsidRDefault="00F60B6F" w:rsidP="00281E3E">
    <w:pPr>
      <w:pStyle w:val="Footer"/>
      <w:rPr>
        <w:color w:val="25303B" w:themeColor="accent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8528C3C" wp14:editId="08528C3D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F2A70" id="Straight Connector 39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" strokecolor="#bbb [2894]" strokeweight="2.25pt">
              <v:stroke joinstyle="miter"/>
              <w10:wrap anchorx="margin" anchory="margin"/>
            </v:line>
          </w:pict>
        </mc:Fallback>
      </mc:AlternateContent>
    </w:r>
    <w:r w:rsidR="009672EB"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8528C3E" wp14:editId="08528C3F">
              <wp:simplePos x="0" y="0"/>
              <wp:positionH relativeFrom="margin">
                <wp:posOffset>6136640</wp:posOffset>
              </wp:positionH>
              <wp:positionV relativeFrom="bottomMargin">
                <wp:posOffset>48260</wp:posOffset>
              </wp:positionV>
              <wp:extent cx="330835" cy="23114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28C43" w14:textId="5D018516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DA6027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28C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3.2pt;margin-top:3.8pt;width:26.05pt;height:1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" filled="f" stroked="f">
              <v:textbox inset="0,0,0,0">
                <w:txbxContent>
                  <w:p w14:paraId="08528C43" w14:textId="5D018516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DA6027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672EB" w:rsidRPr="0040648D">
      <w:rPr>
        <w:color w:val="25303B" w:themeColor="accent1"/>
      </w:rPr>
      <w:t xml:space="preserve">NIAA | </w:t>
    </w:r>
    <w:r w:rsidR="00166BA7" w:rsidRPr="009E7A16">
      <w:rPr>
        <w:b/>
        <w:color w:val="25303B" w:themeColor="accent1"/>
      </w:rPr>
      <w:t>Indigenous Ranger Sector Strategy Information Sheet</w:t>
    </w:r>
    <w:r w:rsid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</w:t>
    </w:r>
    <w:r w:rsidR="003808BB">
      <w:rPr>
        <w:color w:val="25303B" w:themeColor="accent1"/>
      </w:rPr>
      <w:t>Business</w:t>
    </w:r>
    <w:r w:rsidR="009E7A16" w:rsidRPr="009E7A16">
      <w:rPr>
        <w:color w:val="25303B" w:themeColor="accent1"/>
      </w:rPr>
      <w:t>) – Proposed 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8C20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08528C21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8C24" w14:textId="77777777" w:rsidR="002C0B0E" w:rsidRDefault="002C0B0E" w:rsidP="00510499">
    <w:pPr>
      <w:pStyle w:val="ProtectiveMarking"/>
    </w:pPr>
  </w:p>
  <w:p w14:paraId="08528C25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08528C2C" wp14:editId="08528C2D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401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28C26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8C2A" w14:textId="75FB9767" w:rsidR="009672EB" w:rsidRDefault="00DA6027">
    <w:pPr>
      <w:pStyle w:val="Header"/>
    </w:pPr>
    <w:r w:rsidRPr="00DA6027">
      <w:t xml:space="preserve">Australian Government National Indigenous Australians Agency logo </w:t>
    </w:r>
    <w:r w:rsidR="00FB385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8528C32" wp14:editId="08528C33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98DE8D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 w:rsidR="00FB385B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08528C34" wp14:editId="08528C35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28C42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28C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08528C42" w14:textId="77777777"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B385B"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08528C36" wp14:editId="7645D206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2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85B"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08528C38" wp14:editId="08528C39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03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85B"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08528C3A" wp14:editId="08528C3B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0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B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537B"/>
    <w:rsid w:val="00166BA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462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078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0B94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08BB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57BDD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A67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6B1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1D5F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7A1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09E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963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46131"/>
    <w:rsid w:val="00B53058"/>
    <w:rsid w:val="00B61EA9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BE6956"/>
    <w:rsid w:val="00C00697"/>
    <w:rsid w:val="00C0095A"/>
    <w:rsid w:val="00C444E0"/>
    <w:rsid w:val="00C464A7"/>
    <w:rsid w:val="00C511C3"/>
    <w:rsid w:val="00C51C42"/>
    <w:rsid w:val="00C52329"/>
    <w:rsid w:val="00C5392B"/>
    <w:rsid w:val="00C53F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31F05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A6027"/>
    <w:rsid w:val="00DB015B"/>
    <w:rsid w:val="00DB20CE"/>
    <w:rsid w:val="00DB35E7"/>
    <w:rsid w:val="00DB5E67"/>
    <w:rsid w:val="00DB6F16"/>
    <w:rsid w:val="00DC3380"/>
    <w:rsid w:val="00DD3AB9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12B"/>
    <w:rsid w:val="00EF125F"/>
    <w:rsid w:val="00EF2497"/>
    <w:rsid w:val="00EF37D9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0B6F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0A96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528BE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5A0A67"/>
    <w:pPr>
      <w:numPr>
        <w:numId w:val="5"/>
      </w:numPr>
      <w:spacing w:after="60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A0A67"/>
    <w:rPr>
      <w:sz w:val="22"/>
    </w:rPr>
  </w:style>
  <w:style w:type="character" w:customStyle="1" w:styleId="BodyTextChar">
    <w:name w:val="Body Text Char"/>
    <w:basedOn w:val="DefaultParagraphFont"/>
    <w:link w:val="BodyText"/>
    <w:rsid w:val="005A0A67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5A0A67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Century Gothic" w:eastAsia="Times New Roman" w:hAnsi="Century Gothic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F112B"/>
    <w:pPr>
      <w:numPr>
        <w:ilvl w:val="1"/>
      </w:numPr>
      <w:spacing w:before="24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F112B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DOC22-81837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979108E-F2D7-4F2A-9D70-06F8DE1AD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C557-1448-480D-9861-B7E8C44D48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19D427-FC57-4A3F-8788-74661F39C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05FD4-527B-474B-A169-A2286E2B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2957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Ranger Sector Strategy Information Sheet Strong Economy – Business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Ranger Sector Strategy Information Sheet Strong Economy – Business</dc:title>
  <dc:subject/>
  <dc:creator/>
  <cp:keywords/>
  <dc:description/>
  <cp:lastModifiedBy/>
  <cp:revision>1</cp:revision>
  <dcterms:created xsi:type="dcterms:W3CDTF">2022-03-22T01:46:00Z</dcterms:created>
  <dcterms:modified xsi:type="dcterms:W3CDTF">2022-03-22T01:48:00Z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5" name="PMC.ESearch.TagGeneratedTime">
    <vt:lpwstr>2022-04-01T09:22:55</vt:lpwstr>
  </property>
  <property fmtid="{D5CDD505-2E9C-101B-9397-08002B2CF9AE}" pid="6" name="HPRMSecurityCaveat">
    <vt:lpwstr/>
  </property>
</Properties>
</file>