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FE498" w14:textId="77777777" w:rsidR="004163FA" w:rsidRDefault="004163FA" w:rsidP="004163FA">
      <w:pPr>
        <w:pStyle w:val="ProtectiveMarking"/>
        <w:rPr>
          <w:caps w:val="0"/>
          <w:noProof w:val="0"/>
          <w:color w:val="191919" w:themeColor="text1" w:themeTint="E6"/>
        </w:rPr>
      </w:pPr>
    </w:p>
    <w:p w14:paraId="562FE499" w14:textId="77777777" w:rsidR="0086672B" w:rsidRPr="00562166" w:rsidRDefault="0040648D" w:rsidP="00EF112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62FE4C8" wp14:editId="562FE4C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FE4F8" w14:textId="77777777" w:rsidR="0040648D" w:rsidRPr="00C91A83" w:rsidRDefault="0040648D" w:rsidP="0040648D">
                            <w:pPr>
                              <w:pStyle w:val="SectionNameRev"/>
                            </w:pPr>
                          </w:p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FFCF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p w:rsidR="0040648D" w:rsidRPr="00C91A83" w:rsidRDefault="0040648D" w:rsidP="0040648D">
                      <w:pPr>
                        <w:pStyle w:val="SectionNameRev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EF112B" w:rsidRPr="00EF112B">
        <w:rPr>
          <w:rStyle w:val="Heading1Char"/>
        </w:rPr>
        <w:t>Indigenous Ranger Sector Strategy Information Sheet</w:t>
      </w:r>
      <w:r w:rsidR="00EF112B">
        <w:rPr>
          <w:b/>
          <w:sz w:val="60"/>
          <w:szCs w:val="60"/>
        </w:rPr>
        <w:br/>
      </w:r>
      <w:r w:rsidR="00EF112B" w:rsidRPr="00EF112B">
        <w:rPr>
          <w:rStyle w:val="SubtitleChar"/>
        </w:rPr>
        <w:t>Strong Country – Proposed Actions</w:t>
      </w:r>
    </w:p>
    <w:p w14:paraId="562FE49A" w14:textId="77777777" w:rsidR="00EF38A6" w:rsidRPr="00EF112B" w:rsidRDefault="00EF112B" w:rsidP="002C0B94">
      <w:pPr>
        <w:pStyle w:val="EmphasisPanelBody"/>
      </w:pPr>
      <w:r w:rsidRPr="00EF112B">
        <w:t>This Information Sheet explains why each lead action in the Draft Strategy is</w:t>
      </w:r>
      <w:r>
        <w:rPr>
          <w:b/>
        </w:rPr>
        <w:t xml:space="preserve"> </w:t>
      </w:r>
      <w:r w:rsidRPr="00EF112B">
        <w:t>important. It suggests ideas to implement the lead action. Some of these ideas were</w:t>
      </w:r>
      <w:r>
        <w:rPr>
          <w:b/>
        </w:rPr>
        <w:t xml:space="preserve"> </w:t>
      </w:r>
      <w:r w:rsidRPr="00EF112B">
        <w:t xml:space="preserve">proposed by Indigenous </w:t>
      </w:r>
      <w:r w:rsidRPr="002C0B94">
        <w:t>ranger organisations in earlier</w:t>
      </w:r>
      <w:r>
        <w:rPr>
          <w:b/>
        </w:rPr>
        <w:t xml:space="preserve"> </w:t>
      </w:r>
      <w:r w:rsidRPr="00EF112B">
        <w:t>consultations.</w:t>
      </w:r>
    </w:p>
    <w:p w14:paraId="562FE49B" w14:textId="77777777" w:rsidR="00A346CA" w:rsidRDefault="00EF112B" w:rsidP="00EF112B">
      <w:pPr>
        <w:pStyle w:val="Heading2"/>
      </w:pP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562FE4CA" wp14:editId="562FE4CB">
            <wp:simplePos x="0" y="0"/>
            <wp:positionH relativeFrom="margin">
              <wp:posOffset>-64770</wp:posOffset>
            </wp:positionH>
            <wp:positionV relativeFrom="paragraph">
              <wp:posOffset>294005</wp:posOffset>
            </wp:positionV>
            <wp:extent cx="933450" cy="933450"/>
            <wp:effectExtent l="0" t="0" r="0" b="0"/>
            <wp:wrapSquare wrapText="bothSides"/>
            <wp:docPr id="4" name="Picture 4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Action 1.1 – Assisting rangers to access land and water management technology, expertise and advice</w:t>
      </w:r>
    </w:p>
    <w:p w14:paraId="562FE49C" w14:textId="77777777" w:rsidR="00A346CA" w:rsidRDefault="00EF112B" w:rsidP="00EF112B">
      <w:pPr>
        <w:pStyle w:val="Heading3"/>
      </w:pPr>
      <w:r w:rsidRPr="00EF112B">
        <w:t>Why this is important</w:t>
      </w:r>
      <w:bookmarkStart w:id="0" w:name="_GoBack"/>
      <w:bookmarkEnd w:id="0"/>
    </w:p>
    <w:p w14:paraId="562FE49D" w14:textId="77777777" w:rsidR="00EF112B" w:rsidRDefault="00EF112B" w:rsidP="00EF112B">
      <w:pPr>
        <w:pStyle w:val="BulletedListlvl1"/>
      </w:pPr>
      <w:r>
        <w:t>Digital technology is critical for monitoring and data management, and effective Country management, especially in remote areas and for large-scale operations.</w:t>
      </w:r>
    </w:p>
    <w:p w14:paraId="562FE49E" w14:textId="77777777" w:rsidR="00EF112B" w:rsidRDefault="00EF112B" w:rsidP="00EF112B">
      <w:pPr>
        <w:pStyle w:val="BulletedListlvl1"/>
      </w:pPr>
      <w:r>
        <w:t xml:space="preserve">Some ranger organisations say they need more technical science support and training, as part of </w:t>
      </w:r>
      <w:r w:rsidR="008B4C09">
        <w:br/>
      </w:r>
      <w:r>
        <w:t>two-way science.</w:t>
      </w:r>
    </w:p>
    <w:p w14:paraId="562FE49F" w14:textId="77777777" w:rsidR="003F5F4B" w:rsidRDefault="00EF112B" w:rsidP="00EF112B">
      <w:pPr>
        <w:pStyle w:val="Heading3"/>
      </w:pPr>
      <w:r w:rsidRPr="00EF112B">
        <w:t>What might be done?</w:t>
      </w:r>
    </w:p>
    <w:p w14:paraId="562FE4A0" w14:textId="77777777" w:rsidR="00EF112B" w:rsidRDefault="00EF112B" w:rsidP="008B4C09">
      <w:pPr>
        <w:pStyle w:val="BulletedListlvl1"/>
      </w:pPr>
      <w:r w:rsidRPr="00EF112B">
        <w:t>Identify technical needs through strategic and Country planning.</w:t>
      </w:r>
    </w:p>
    <w:p w14:paraId="562FE4A1" w14:textId="77777777" w:rsidR="00EF112B" w:rsidRDefault="00EF112B" w:rsidP="008B4C09">
      <w:pPr>
        <w:pStyle w:val="BulletedListlvl1"/>
      </w:pPr>
      <w:r w:rsidRPr="00EF112B">
        <w:t>Support arrangements for the delivery of technical advice from expert sources.</w:t>
      </w:r>
    </w:p>
    <w:p w14:paraId="562FE4A2" w14:textId="77777777" w:rsidR="00EF112B" w:rsidRDefault="00EF112B" w:rsidP="008B4C09">
      <w:pPr>
        <w:pStyle w:val="BulletedListlvl1"/>
      </w:pPr>
      <w:r>
        <w:t>Build a web platform to provide information on technology, advice and training sources, and examples of approaches used by ranger organisations.</w:t>
      </w:r>
    </w:p>
    <w:p w14:paraId="562FE4A3" w14:textId="77777777" w:rsidR="00EF112B" w:rsidRDefault="00EF112B" w:rsidP="008B4C09">
      <w:pPr>
        <w:pStyle w:val="BulletedListlvl1"/>
      </w:pPr>
      <w:r>
        <w:t>An Indigenous Ranger Industry Body (if established) may be able to provide support for organisations to share information (discussed on p. 12 of the Conversation Guide).</w:t>
      </w:r>
    </w:p>
    <w:p w14:paraId="562FE4A4" w14:textId="77777777" w:rsidR="00EF37D9" w:rsidRDefault="00EF112B" w:rsidP="008B4C09">
      <w:pPr>
        <w:pStyle w:val="BulletedListlvl1"/>
      </w:pPr>
      <w:r w:rsidRPr="00EF112B">
        <w:t>Support information-sharing forums between rangers and environmental experts.</w:t>
      </w:r>
    </w:p>
    <w:p w14:paraId="562FE4A5" w14:textId="77777777" w:rsidR="00EF37D9" w:rsidRDefault="00EF37D9">
      <w:r>
        <w:br w:type="page"/>
      </w:r>
    </w:p>
    <w:p w14:paraId="562FE4A6" w14:textId="77777777" w:rsidR="00EF37D9" w:rsidRDefault="00EF37D9" w:rsidP="00EF37D9">
      <w:pPr>
        <w:pStyle w:val="Heading2"/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65408" behindDoc="0" locked="0" layoutInCell="1" allowOverlap="1" wp14:anchorId="562FE4CC" wp14:editId="562FE4CD">
            <wp:simplePos x="0" y="0"/>
            <wp:positionH relativeFrom="margin">
              <wp:posOffset>-64135</wp:posOffset>
            </wp:positionH>
            <wp:positionV relativeFrom="paragraph">
              <wp:posOffset>6985</wp:posOffset>
            </wp:positionV>
            <wp:extent cx="933450" cy="933450"/>
            <wp:effectExtent l="0" t="0" r="0" b="0"/>
            <wp:wrapSquare wrapText="bothSides"/>
            <wp:docPr id="5" name="Picture 5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Action 1.2 – Accessing technology and expertise through grants, partnerships and fee-for-service arrangements</w:t>
      </w:r>
    </w:p>
    <w:p w14:paraId="562FE4A7" w14:textId="77777777" w:rsidR="00EF37D9" w:rsidRDefault="00EF37D9" w:rsidP="00EF37D9">
      <w:pPr>
        <w:pStyle w:val="Heading3"/>
      </w:pPr>
      <w:r w:rsidRPr="00EF112B">
        <w:t>Why this is important</w:t>
      </w:r>
    </w:p>
    <w:p w14:paraId="562FE4A8" w14:textId="77777777" w:rsidR="00EF37D9" w:rsidRDefault="00EF37D9" w:rsidP="00EF37D9">
      <w:pPr>
        <w:pStyle w:val="BulletedListlvl1"/>
      </w:pPr>
      <w:r>
        <w:t>Some ranger organisations say they need additional support to develop and</w:t>
      </w:r>
      <w:r w:rsidR="008B4C09">
        <w:t xml:space="preserve"> manage partnerships that meet </w:t>
      </w:r>
      <w:r>
        <w:t>their needs.</w:t>
      </w:r>
    </w:p>
    <w:p w14:paraId="562FE4A9" w14:textId="77777777" w:rsidR="00EF37D9" w:rsidRDefault="00EF37D9" w:rsidP="00EF37D9">
      <w:pPr>
        <w:pStyle w:val="BulletedListlvl1"/>
      </w:pPr>
      <w:r>
        <w:t xml:space="preserve">Ranger organisations want greater flexibility under funding agreements to allow for technology uptake </w:t>
      </w:r>
      <w:r w:rsidR="008B4C09">
        <w:br/>
      </w:r>
      <w:r>
        <w:t>and training.</w:t>
      </w:r>
    </w:p>
    <w:p w14:paraId="562FE4AA" w14:textId="77777777" w:rsidR="00EF37D9" w:rsidRDefault="00EF37D9" w:rsidP="00EF37D9">
      <w:pPr>
        <w:pStyle w:val="Heading3"/>
      </w:pPr>
      <w:r w:rsidRPr="00EF112B">
        <w:t>What might be done?</w:t>
      </w:r>
    </w:p>
    <w:p w14:paraId="562FE4AB" w14:textId="77777777" w:rsidR="00EF37D9" w:rsidRDefault="00EF37D9" w:rsidP="00EF37D9">
      <w:pPr>
        <w:pStyle w:val="BulletedListlvl1"/>
      </w:pPr>
      <w:r>
        <w:t>Provide information on the key features of successful reciprocal partnerships with ranger organisations.</w:t>
      </w:r>
    </w:p>
    <w:p w14:paraId="562FE4AC" w14:textId="77777777" w:rsidR="00EF37D9" w:rsidRDefault="00EF37D9" w:rsidP="00EF37D9">
      <w:pPr>
        <w:pStyle w:val="BulletedListlvl1"/>
      </w:pPr>
      <w:r>
        <w:t xml:space="preserve">Build stakeholder awareness of the technology and scientific needs of ranger groups, as part of two-way </w:t>
      </w:r>
      <w:r>
        <w:br/>
        <w:t>knowledge partnerships.</w:t>
      </w:r>
    </w:p>
    <w:p w14:paraId="562FE4AD" w14:textId="77777777" w:rsidR="00EF37D9" w:rsidRDefault="00EF37D9" w:rsidP="00EF37D9">
      <w:pPr>
        <w:pStyle w:val="BulletedListlvl1"/>
      </w:pPr>
      <w:r>
        <w:t>Improve flexibility in funding agreements for uptake of technology and access to expert resources.</w:t>
      </w:r>
    </w:p>
    <w:p w14:paraId="562FE4AE" w14:textId="77777777" w:rsidR="00EF37D9" w:rsidRDefault="00EF37D9" w:rsidP="00EF37D9">
      <w:pPr>
        <w:pStyle w:val="Heading2"/>
      </w:pPr>
      <w:r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562FE4CE" wp14:editId="562FE4CF">
            <wp:simplePos x="0" y="0"/>
            <wp:positionH relativeFrom="margin">
              <wp:posOffset>-64135</wp:posOffset>
            </wp:positionH>
            <wp:positionV relativeFrom="paragraph">
              <wp:posOffset>196215</wp:posOffset>
            </wp:positionV>
            <wp:extent cx="933450" cy="927100"/>
            <wp:effectExtent l="0" t="0" r="0" b="6350"/>
            <wp:wrapSquare wrapText="bothSides"/>
            <wp:docPr id="6" name="Picture 6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Action 1.3 – Support Indigenous rangers’ knowledge-sharing events</w:t>
      </w:r>
    </w:p>
    <w:p w14:paraId="562FE4AF" w14:textId="77777777" w:rsidR="00EF37D9" w:rsidRDefault="00EF37D9" w:rsidP="00EF37D9">
      <w:pPr>
        <w:pStyle w:val="Heading3"/>
      </w:pPr>
      <w:r w:rsidRPr="00EF112B">
        <w:t>Why this is important</w:t>
      </w:r>
    </w:p>
    <w:p w14:paraId="562FE4B0" w14:textId="77777777" w:rsidR="00EF37D9" w:rsidRDefault="00EF37D9" w:rsidP="00EF37D9">
      <w:pPr>
        <w:pStyle w:val="BulletedListlvl1"/>
      </w:pPr>
      <w:r>
        <w:t>Indigenous ranger organisations say sharing information among ranger groups and stakeholders will develop a ‘community of practice’ for the Indigenous ranger sector.</w:t>
      </w:r>
    </w:p>
    <w:p w14:paraId="562FE4B1" w14:textId="77777777" w:rsidR="00EF37D9" w:rsidRDefault="00EF37D9" w:rsidP="00EF37D9">
      <w:pPr>
        <w:pStyle w:val="BulletedListlvl1"/>
      </w:pPr>
      <w:r w:rsidRPr="00EF37D9">
        <w:t>Indigenous-led knowledge-sharing forums are being held in some places.</w:t>
      </w:r>
    </w:p>
    <w:p w14:paraId="562FE4B2" w14:textId="77777777" w:rsidR="00EF37D9" w:rsidRDefault="00EF37D9" w:rsidP="00EF37D9">
      <w:pPr>
        <w:pStyle w:val="Heading3"/>
      </w:pPr>
      <w:r w:rsidRPr="00EF112B">
        <w:t>What might be done?</w:t>
      </w:r>
    </w:p>
    <w:p w14:paraId="562FE4B3" w14:textId="77777777" w:rsidR="00EF37D9" w:rsidRDefault="00EF37D9" w:rsidP="00EF37D9">
      <w:pPr>
        <w:pStyle w:val="BulletedListlvl1"/>
      </w:pPr>
      <w:r w:rsidRPr="00EF37D9">
        <w:t>Hold a biennial (every two years) national Indigenous ranger conference.</w:t>
      </w:r>
    </w:p>
    <w:p w14:paraId="562FE4B4" w14:textId="77777777" w:rsidR="00EF37D9" w:rsidRDefault="00EF37D9" w:rsidP="00EF37D9">
      <w:pPr>
        <w:pStyle w:val="BulletedListlvl1"/>
      </w:pPr>
      <w:r w:rsidRPr="00EF37D9">
        <w:t>Support delivery of regional Indigenous ranger forums.</w:t>
      </w:r>
    </w:p>
    <w:p w14:paraId="562FE4B5" w14:textId="77777777" w:rsidR="00EF37D9" w:rsidRDefault="00EF37D9" w:rsidP="00EF37D9">
      <w:pPr>
        <w:pStyle w:val="BulletedListlvl1"/>
      </w:pPr>
      <w:r>
        <w:t xml:space="preserve">Build an Australia-wide Indigenous ranger web platform (knowledge hub) for information and </w:t>
      </w:r>
      <w:r w:rsidR="008B4C09">
        <w:br/>
      </w:r>
      <w:r>
        <w:t>knowledge-sharing.</w:t>
      </w:r>
    </w:p>
    <w:p w14:paraId="562FE4B6" w14:textId="77777777" w:rsidR="00EF37D9" w:rsidRDefault="00EF37D9" w:rsidP="00EF37D9">
      <w:pPr>
        <w:pStyle w:val="BulletedListlvl1"/>
      </w:pPr>
      <w:r>
        <w:t xml:space="preserve">Create and publish resources on the features of successful ranger operations, including program </w:t>
      </w:r>
      <w:r w:rsidR="008B4C09">
        <w:br/>
      </w:r>
      <w:r>
        <w:t>policy resources.</w:t>
      </w:r>
    </w:p>
    <w:p w14:paraId="562FE4B7" w14:textId="77777777" w:rsidR="00EF37D9" w:rsidRDefault="00EF37D9">
      <w:pPr>
        <w:rPr>
          <w:rFonts w:asciiTheme="majorHAnsi" w:eastAsiaTheme="majorEastAsia" w:hAnsiTheme="majorHAnsi" w:cstheme="majorBidi"/>
          <w:b/>
          <w:color w:val="25303B" w:themeColor="accent1"/>
          <w:sz w:val="40"/>
          <w:szCs w:val="40"/>
        </w:rPr>
      </w:pPr>
      <w:r>
        <w:br w:type="page"/>
      </w:r>
    </w:p>
    <w:p w14:paraId="562FE4B8" w14:textId="77777777" w:rsidR="00EF37D9" w:rsidRDefault="00EF37D9" w:rsidP="00616B1C">
      <w:pPr>
        <w:pStyle w:val="Heading2"/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69504" behindDoc="0" locked="0" layoutInCell="1" allowOverlap="1" wp14:anchorId="562FE4D0" wp14:editId="562FE4D1">
            <wp:simplePos x="0" y="0"/>
            <wp:positionH relativeFrom="margin">
              <wp:posOffset>-60960</wp:posOffset>
            </wp:positionH>
            <wp:positionV relativeFrom="paragraph">
              <wp:posOffset>635</wp:posOffset>
            </wp:positionV>
            <wp:extent cx="927100" cy="927100"/>
            <wp:effectExtent l="0" t="0" r="6350" b="6350"/>
            <wp:wrapSquare wrapText="bothSides"/>
            <wp:docPr id="8" name="Picture 8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Action 1.4 – Publicising Indigenous ranger activities and successes</w:t>
      </w:r>
      <w:r>
        <w:br/>
      </w:r>
    </w:p>
    <w:p w14:paraId="562FE4B9" w14:textId="77777777" w:rsidR="00EF37D9" w:rsidRDefault="00EF37D9" w:rsidP="00EF37D9">
      <w:pPr>
        <w:pStyle w:val="Heading3"/>
      </w:pPr>
      <w:r w:rsidRPr="00EF112B">
        <w:t>Why this is important</w:t>
      </w:r>
    </w:p>
    <w:p w14:paraId="562FE4BA" w14:textId="77777777" w:rsidR="00EF37D9" w:rsidRDefault="00616B1C" w:rsidP="00616B1C">
      <w:pPr>
        <w:pStyle w:val="BulletedListlvl1"/>
      </w:pPr>
      <w:r>
        <w:t>Publicising activities and successes can help raise awareness and support among stakeholders, potential partners and the public for Indigenous ranger land and water management and services.</w:t>
      </w:r>
    </w:p>
    <w:p w14:paraId="562FE4BB" w14:textId="77777777" w:rsidR="00EF37D9" w:rsidRDefault="00EF37D9" w:rsidP="00EF37D9">
      <w:pPr>
        <w:pStyle w:val="Heading3"/>
      </w:pPr>
      <w:r w:rsidRPr="00EF112B">
        <w:t>What might be done?</w:t>
      </w:r>
    </w:p>
    <w:p w14:paraId="562FE4BC" w14:textId="77777777" w:rsidR="00616B1C" w:rsidRDefault="00616B1C" w:rsidP="00616B1C">
      <w:pPr>
        <w:pStyle w:val="BulletedListlvl1"/>
      </w:pPr>
      <w:r w:rsidRPr="00616B1C">
        <w:t>Hold a biennial national Indigenous ranger conference (1.3 above).</w:t>
      </w:r>
    </w:p>
    <w:p w14:paraId="562FE4BD" w14:textId="77777777" w:rsidR="00EF37D9" w:rsidRDefault="00616B1C" w:rsidP="00616B1C">
      <w:pPr>
        <w:pStyle w:val="BulletedListlvl1"/>
      </w:pPr>
      <w:r>
        <w:t xml:space="preserve">Regularly publish on an Indigenous ranger web platform (1.3 above) and other channels and forums, </w:t>
      </w:r>
      <w:r>
        <w:br/>
        <w:t>including social media.</w:t>
      </w:r>
    </w:p>
    <w:p w14:paraId="562FE4BE" w14:textId="77777777" w:rsidR="00616B1C" w:rsidRDefault="00616B1C" w:rsidP="00616B1C">
      <w:pPr>
        <w:pStyle w:val="BulletedListlvl1"/>
      </w:pPr>
      <w:r>
        <w:t>Collaborate with partner stakeholders to develop and distribute information on ranger activities and service offering in land and water management forums (e.g. including capability statements).</w:t>
      </w:r>
    </w:p>
    <w:p w14:paraId="562FE4BF" w14:textId="77777777" w:rsidR="00616B1C" w:rsidRDefault="00616B1C" w:rsidP="00616B1C">
      <w:pPr>
        <w:pStyle w:val="Heading2"/>
      </w:pPr>
      <w:r>
        <w:rPr>
          <w:noProof/>
          <w:lang w:eastAsia="en-AU"/>
        </w:rPr>
        <w:drawing>
          <wp:anchor distT="0" distB="0" distL="114300" distR="114300" simplePos="0" relativeHeight="251671552" behindDoc="0" locked="0" layoutInCell="1" allowOverlap="1" wp14:anchorId="562FE4D2" wp14:editId="562FE4D3">
            <wp:simplePos x="0" y="0"/>
            <wp:positionH relativeFrom="margin">
              <wp:posOffset>-57785</wp:posOffset>
            </wp:positionH>
            <wp:positionV relativeFrom="paragraph">
              <wp:posOffset>154940</wp:posOffset>
            </wp:positionV>
            <wp:extent cx="927100" cy="927100"/>
            <wp:effectExtent l="0" t="0" r="6350" b="6350"/>
            <wp:wrapSquare wrapText="bothSides"/>
            <wp:docPr id="9" name="Picture 9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Action 1.5 – Publicising Indigenous ranger activities and successes</w:t>
      </w:r>
    </w:p>
    <w:p w14:paraId="562FE4C0" w14:textId="77777777" w:rsidR="00616B1C" w:rsidRDefault="00616B1C" w:rsidP="00616B1C">
      <w:pPr>
        <w:pStyle w:val="Heading3"/>
      </w:pPr>
      <w:r w:rsidRPr="00EF112B">
        <w:t>Why this is important</w:t>
      </w:r>
    </w:p>
    <w:p w14:paraId="562FE4C1" w14:textId="77777777" w:rsidR="00616B1C" w:rsidRDefault="00616B1C" w:rsidP="00616B1C">
      <w:pPr>
        <w:pStyle w:val="BulletedListlvl1"/>
      </w:pPr>
      <w:r>
        <w:t>Many Indigenous ranger organisations seek greater support to identify emerging opportunities in regional land and water management. This includes information about government agency functions, policies and programs.</w:t>
      </w:r>
    </w:p>
    <w:p w14:paraId="562FE4C2" w14:textId="77777777" w:rsidR="00616B1C" w:rsidRDefault="00616B1C" w:rsidP="00616B1C">
      <w:pPr>
        <w:pStyle w:val="BulletedListlvl1"/>
      </w:pPr>
      <w:r>
        <w:t>Identifying current opportunities will create a focus for future action with regional stakeholders.</w:t>
      </w:r>
    </w:p>
    <w:p w14:paraId="562FE4C3" w14:textId="77777777" w:rsidR="00616B1C" w:rsidRDefault="00616B1C" w:rsidP="00616B1C">
      <w:pPr>
        <w:pStyle w:val="Heading3"/>
      </w:pPr>
      <w:r w:rsidRPr="00EF112B">
        <w:t>What might be done?</w:t>
      </w:r>
    </w:p>
    <w:p w14:paraId="562FE4C4" w14:textId="77777777" w:rsidR="00616B1C" w:rsidRDefault="00616B1C" w:rsidP="00616B1C">
      <w:pPr>
        <w:pStyle w:val="BulletedListlvl1"/>
      </w:pPr>
      <w:r>
        <w:t>In the short term, deliver an investigation (at national or regional level) to identify opportunities, gaps and barriers for ranger organisations to participate in regional land and water management.</w:t>
      </w:r>
    </w:p>
    <w:p w14:paraId="562FE4C5" w14:textId="77777777" w:rsidR="00616B1C" w:rsidRDefault="00616B1C" w:rsidP="00616B1C">
      <w:pPr>
        <w:pStyle w:val="BulletedListlvl1"/>
      </w:pPr>
      <w:r>
        <w:t>Provide access to information about the function of government agencies, stakeholders and the opportunities available through a web platform (1.3 above) including for organisations and government to work in partnership to identify shared environmental priorities.</w:t>
      </w:r>
    </w:p>
    <w:p w14:paraId="562FE4C6" w14:textId="77777777" w:rsidR="00166BA7" w:rsidRDefault="00166BA7" w:rsidP="00166BA7">
      <w:pPr>
        <w:pStyle w:val="Heading2"/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73600" behindDoc="0" locked="0" layoutInCell="1" allowOverlap="1" wp14:anchorId="562FE4D4" wp14:editId="562FE4D5">
            <wp:simplePos x="0" y="0"/>
            <wp:positionH relativeFrom="margin">
              <wp:posOffset>-57785</wp:posOffset>
            </wp:positionH>
            <wp:positionV relativeFrom="paragraph">
              <wp:posOffset>-537</wp:posOffset>
            </wp:positionV>
            <wp:extent cx="927100" cy="927100"/>
            <wp:effectExtent l="0" t="0" r="6350" b="6350"/>
            <wp:wrapSquare wrapText="bothSides"/>
            <wp:docPr id="10" name="Picture 10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Action 1.6 </w:t>
      </w:r>
      <w:r w:rsidR="005A7F8E">
        <w:t>&amp;</w:t>
      </w:r>
      <w:r>
        <w:t xml:space="preserve"> 1.7 – Promoting opportunities and addressing barriers to participation</w:t>
      </w:r>
    </w:p>
    <w:p w14:paraId="562FE4C7" w14:textId="77777777" w:rsidR="00166BA7" w:rsidRPr="00EF112B" w:rsidRDefault="008B4C09" w:rsidP="00166BA7">
      <w:pPr>
        <w:pStyle w:val="BodyText"/>
      </w:pPr>
      <w:r>
        <w:br/>
      </w:r>
      <w:r w:rsidR="00166BA7">
        <w:t>In the medium to long term, specific actions will be developed to address gaps and barriers identified in Action 1.5.</w:t>
      </w:r>
    </w:p>
    <w:sectPr w:rsidR="00166BA7" w:rsidRPr="00EF112B" w:rsidSect="001E4245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559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FE4D8" w14:textId="77777777" w:rsidR="00EF112B" w:rsidRDefault="00EF112B" w:rsidP="00B95533">
      <w:pPr>
        <w:spacing w:after="0" w:line="240" w:lineRule="auto"/>
      </w:pPr>
      <w:r>
        <w:separator/>
      </w:r>
    </w:p>
  </w:endnote>
  <w:endnote w:type="continuationSeparator" w:id="0">
    <w:p w14:paraId="562FE4D9" w14:textId="77777777" w:rsidR="00EF112B" w:rsidRDefault="00EF112B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FE4DD" w14:textId="77777777" w:rsidR="009672EB" w:rsidRPr="00B87E45" w:rsidRDefault="009672EB" w:rsidP="001007B9">
    <w:pPr>
      <w:pStyle w:val="ProtectiveMarking"/>
    </w:pPr>
  </w:p>
  <w:p w14:paraId="562FE4DE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62FE4E6" wp14:editId="562FE4E7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10927A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562FE4E8" wp14:editId="562FE4E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FE4F9" w14:textId="63D88E8B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3F1481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FE4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562FE4F9" w14:textId="63D88E8B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3F1481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62FE4DF" w14:textId="77777777" w:rsidR="009672EB" w:rsidRPr="0040648D" w:rsidRDefault="00166BA7" w:rsidP="00166BA7">
    <w:pPr>
      <w:pStyle w:val="Footer"/>
      <w:rPr>
        <w:color w:val="25303B" w:themeColor="accent1"/>
      </w:rPr>
    </w:pPr>
    <w:r w:rsidRPr="00166BA7">
      <w:rPr>
        <w:color w:val="25303B" w:themeColor="accent1"/>
      </w:rPr>
      <w:t xml:space="preserve">NIAA | </w:t>
    </w:r>
    <w:r w:rsidRPr="00166BA7">
      <w:rPr>
        <w:b/>
        <w:color w:val="25303B" w:themeColor="accent1"/>
      </w:rPr>
      <w:t>Indigenous Ranger Sector Strategy Information Sheet</w:t>
    </w:r>
    <w:r w:rsidRPr="00166BA7">
      <w:rPr>
        <w:color w:val="25303B" w:themeColor="accent1"/>
      </w:rPr>
      <w:t xml:space="preserve"> | Strong Country – Proposed Actions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FE4E1" w14:textId="77777777" w:rsidR="009672EB" w:rsidRPr="00B87E45" w:rsidRDefault="009672EB" w:rsidP="00917F95">
    <w:pPr>
      <w:pStyle w:val="ProtectiveMarking"/>
    </w:pPr>
  </w:p>
  <w:p w14:paraId="562FE4E2" w14:textId="7777777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62FE4F4" wp14:editId="562FE4F5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41D71B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562FE4E3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562FE4F6" wp14:editId="562FE4F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FE4FB" w14:textId="37BD5E7F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3F1481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FE4F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562FE4FB" w14:textId="37BD5E7F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3F1481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r w:rsidR="00166BA7" w:rsidRPr="00166BA7">
      <w:rPr>
        <w:b/>
        <w:color w:val="25303B" w:themeColor="accent1"/>
      </w:rPr>
      <w:t>Indigenous Ranger Sector Strategy Information Sheet</w:t>
    </w:r>
    <w:r w:rsidR="00166BA7">
      <w:rPr>
        <w:color w:val="25303B" w:themeColor="accent1"/>
      </w:rPr>
      <w:t xml:space="preserve"> | </w:t>
    </w:r>
    <w:r w:rsidR="00166BA7" w:rsidRPr="00166BA7">
      <w:rPr>
        <w:color w:val="25303B" w:themeColor="accent1"/>
      </w:rPr>
      <w:t>Strong Country – Proposed Actions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FE4D6" w14:textId="77777777" w:rsidR="00EF112B" w:rsidRPr="007A6FC6" w:rsidRDefault="00EF112B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562FE4D7" w14:textId="77777777" w:rsidR="00EF112B" w:rsidRPr="007A6FC6" w:rsidRDefault="00EF112B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FE4DA" w14:textId="77777777" w:rsidR="002C0B0E" w:rsidRDefault="002C0B0E" w:rsidP="00510499">
    <w:pPr>
      <w:pStyle w:val="ProtectiveMarking"/>
    </w:pPr>
  </w:p>
  <w:p w14:paraId="562FE4DB" w14:textId="77777777"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562FE4E4" wp14:editId="562FE4E5">
          <wp:simplePos x="0" y="0"/>
          <wp:positionH relativeFrom="margin">
            <wp:posOffset>2540</wp:posOffset>
          </wp:positionH>
          <wp:positionV relativeFrom="page">
            <wp:posOffset>648335</wp:posOffset>
          </wp:positionV>
          <wp:extent cx="6479540" cy="147320"/>
          <wp:effectExtent l="0" t="0" r="0" b="5080"/>
          <wp:wrapNone/>
          <wp:docPr id="33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47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2FE4DC" w14:textId="77777777" w:rsidR="009672EB" w:rsidRDefault="0096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FE4E0" w14:textId="77777777" w:rsidR="009672EB" w:rsidRDefault="00FB38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562FE4EA" wp14:editId="562FE4EB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4E981D" id="Straight Connector 3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AP2AEAAA0EAAAOAAAAZHJzL2Uyb0RvYy54bWysU02P0zAQvSPxHyzfadqudheipnvoarkg&#10;qFj4Aa4zTiz5S2PTpP+esdOmK0BCoL048Xjem3nP483DaA07AkbtXcNXiyVn4KRvtesa/v3b07v3&#10;nMUkXCuMd9DwE0T+sH37ZjOEGta+96YFZETiYj2EhvcphbqqouzBirjwARwdKo9WJNpiV7UoBmK3&#10;plovl3fV4LEN6CXESNHH6ZBvC79SINMXpSIkZhpOvaWyYlkPea22G1F3KEKv5bkN8R9dWKEdFZ2p&#10;HkUS7Afq36isluijV2khva28UlpC0UBqVstf1Dz3IkDRQubEMNsUX49Wfj7ukem24Tf3nDlh6Y6e&#10;Ewrd9YntvHPkoEdGh+TUEGJNgJ3b43kXwx6z7FGhzV8SxMbi7ml2F8bE5BSUFL2ja7svdNUVFzCm&#10;j+Atyz8NN9pl3aIWx08xUS1KvaTksHFsaPiH2/VtyYre6PZJG5PPyujAziA7Crr0Q7fKrRPBiyza&#10;GUfBLGiSUP7SycBE/xUUmUJNr6YCeRyvnEJKcOnCaxxlZ5iiDmbg8u/Ac36GQhnVfwHPiFLZuzSD&#10;rXYe/1Q9jZeW1ZR/cWDSnS04+PZULrdYQzNXnDu/jzzUL/cFfn3F258AAAD//wMAUEsDBBQABgAI&#10;AAAAIQCj/obS3wAAAAoBAAAPAAAAZHJzL2Rvd25yZXYueG1sTI9BS8QwEIXvgv8hjODNTbVVbG26&#10;iLAiglDrwuIt24xt2WZSmrRb/70je9DbzLyPN+/l68X2YsbRd44UXK8iEEi1Mx01CrYfm6t7ED5o&#10;Mrp3hAq+0cO6OD/LdWbckd5xrkIj2IR8phW0IQyZlL5u0Wq/cgMSa19utDrwOjbSjPrI5raXN1F0&#10;J63uiD+0esCnFutDNVkF0zI/bz5fdlXZv71GaXloqjgtlbq8WB4fQARcwh8Mv/E5OhScae8mMl70&#10;CpIkjRnl4ZYrMHA67JlM4gRkkcv/FYofAAAA//8DAFBLAQItABQABgAIAAAAIQC2gziS/gAAAOEB&#10;AAATAAAAAAAAAAAAAAAAAAAAAABbQ29udGVudF9UeXBlc10ueG1sUEsBAi0AFAAGAAgAAAAhADj9&#10;If/WAAAAlAEAAAsAAAAAAAAAAAAAAAAALwEAAF9yZWxzLy5yZWxzUEsBAi0AFAAGAAgAAAAhAI8a&#10;QA/YAQAADQQAAA4AAAAAAAAAAAAAAAAALgIAAGRycy9lMm9Eb2MueG1sUEsBAi0AFAAGAAgAAAAh&#10;AKP+htLfAAAACgEAAA8AAAAAAAAAAAAAAAAAMgQAAGRycy9kb3ducmV2LnhtbFBLBQYAAAAABAAE&#10;APMAAAA+BQAAAAA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562FE4EC" wp14:editId="562FE4ED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FE4FA" w14:textId="77777777" w:rsidR="00FB385B" w:rsidRPr="00A41F97" w:rsidRDefault="00FB385B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DD7500" w:themeColor="accent4"/>
                              <w:sz w:val="16"/>
                              <w:szCs w:val="16"/>
                            </w:rPr>
                          </w:pPr>
                          <w:r w:rsidRPr="00A41F97">
                            <w:rPr>
                              <w:i/>
                              <w:iCs/>
                              <w:color w:val="DD7500" w:themeColor="accent4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7A1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/fCQIAAPEDAAAOAAAAZHJzL2Uyb0RvYy54bWysU9tu2zAMfR+wfxD0vthJmq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M5TcqCoRk9&#10;yyGyjziwWZKnd6GiqCdHcXGgZxpzphrcI4pfgVm868Bu5K332HcSGmpvmjKLs9QRJySQdf8VGyoD&#10;24gZaGi9SdqRGozQaUz702hSK4Ie5+X1ZVmSS5BvejFfTPPsCqiO2c6H+FmiYcmouafRZ3TYPYaY&#10;uoHqGJKKWXxQWufxa8v6ml8vZouccOYxKtJ2amVqfkXVqX5OSCQ/2SbbEZQebSqg7YF1IjpSjsN6&#10;yPpmSZIia2z2JIPHcRnp85DRof/DWU+LWPPwewtecqa/WJJycZELs5hvpIA/GuujAVZQfs1F9JyN&#10;l7uYl3xkektKtyqL8NLAoVPaq6zN4Q+kxT2/56iXn7r6Cw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DXW7/f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:rsidR="00FB385B" w:rsidRPr="00A41F97" w:rsidRDefault="00FB385B" w:rsidP="009672EB">
                    <w:pPr>
                      <w:spacing w:after="0" w:line="240" w:lineRule="auto"/>
                      <w:rPr>
                        <w:i/>
                        <w:iCs/>
                        <w:color w:val="DD7500" w:themeColor="accent4"/>
                        <w:sz w:val="16"/>
                        <w:szCs w:val="16"/>
                      </w:rPr>
                    </w:pPr>
                    <w:r w:rsidRPr="00A41F97">
                      <w:rPr>
                        <w:i/>
                        <w:iCs/>
                        <w:color w:val="DD7500" w:themeColor="accent4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562FE4EE" wp14:editId="14CED609">
          <wp:simplePos x="0" y="0"/>
          <wp:positionH relativeFrom="page">
            <wp:posOffset>3023870</wp:posOffset>
          </wp:positionH>
          <wp:positionV relativeFrom="page">
            <wp:posOffset>291465</wp:posOffset>
          </wp:positionV>
          <wp:extent cx="1584000" cy="518400"/>
          <wp:effectExtent l="0" t="0" r="0" b="0"/>
          <wp:wrapNone/>
          <wp:docPr id="40" name="Graphic 16" descr="NIA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562FE4F0" wp14:editId="0AA12E1A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41" name="Graphic 19" descr="Australian Government National Indigenous Australians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562FE4F2" wp14:editId="562FE4F3">
          <wp:simplePos x="0" y="0"/>
          <wp:positionH relativeFrom="page">
            <wp:posOffset>133350</wp:posOffset>
          </wp:positionH>
          <wp:positionV relativeFrom="page">
            <wp:posOffset>83820</wp:posOffset>
          </wp:positionV>
          <wp:extent cx="7314565" cy="1212215"/>
          <wp:effectExtent l="0" t="0" r="635" b="6985"/>
          <wp:wrapSquare wrapText="bothSides"/>
          <wp:docPr id="42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4565" cy="1212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7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8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5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4"/>
  </w:num>
  <w:num w:numId="20">
    <w:abstractNumId w:val="9"/>
  </w:num>
  <w:num w:numId="21">
    <w:abstractNumId w:val="0"/>
  </w:num>
  <w:num w:numId="22">
    <w:abstractNumId w:val="7"/>
  </w:num>
  <w:num w:numId="23">
    <w:abstractNumId w:val="7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2B"/>
    <w:rsid w:val="00002F73"/>
    <w:rsid w:val="00007EB1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8F0"/>
    <w:rsid w:val="00053B99"/>
    <w:rsid w:val="00053CD9"/>
    <w:rsid w:val="00057B46"/>
    <w:rsid w:val="00063034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D106A"/>
    <w:rsid w:val="000D113F"/>
    <w:rsid w:val="000E351D"/>
    <w:rsid w:val="000E60F7"/>
    <w:rsid w:val="000F1B86"/>
    <w:rsid w:val="000F23B0"/>
    <w:rsid w:val="000F5917"/>
    <w:rsid w:val="001007B9"/>
    <w:rsid w:val="00105ECB"/>
    <w:rsid w:val="00131315"/>
    <w:rsid w:val="00132268"/>
    <w:rsid w:val="001336CF"/>
    <w:rsid w:val="00143288"/>
    <w:rsid w:val="0015537B"/>
    <w:rsid w:val="00166BA7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957"/>
    <w:rsid w:val="001A2F86"/>
    <w:rsid w:val="001B0144"/>
    <w:rsid w:val="001B10ED"/>
    <w:rsid w:val="001C2FC8"/>
    <w:rsid w:val="001D283B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4705"/>
    <w:rsid w:val="00237365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94D1D"/>
    <w:rsid w:val="002955DD"/>
    <w:rsid w:val="002A0289"/>
    <w:rsid w:val="002A371E"/>
    <w:rsid w:val="002B4B0A"/>
    <w:rsid w:val="002C0866"/>
    <w:rsid w:val="002C0B0E"/>
    <w:rsid w:val="002C0B94"/>
    <w:rsid w:val="002C5F5B"/>
    <w:rsid w:val="002C777D"/>
    <w:rsid w:val="002D40B1"/>
    <w:rsid w:val="002D45CD"/>
    <w:rsid w:val="002D75F9"/>
    <w:rsid w:val="002E07AC"/>
    <w:rsid w:val="002E6AA1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63AE5"/>
    <w:rsid w:val="003848EF"/>
    <w:rsid w:val="00385B65"/>
    <w:rsid w:val="00391929"/>
    <w:rsid w:val="003A3E57"/>
    <w:rsid w:val="003C6961"/>
    <w:rsid w:val="003D21A3"/>
    <w:rsid w:val="003D33F7"/>
    <w:rsid w:val="003E6B8B"/>
    <w:rsid w:val="003F017E"/>
    <w:rsid w:val="003F1481"/>
    <w:rsid w:val="003F17BC"/>
    <w:rsid w:val="003F1A1E"/>
    <w:rsid w:val="003F5F4B"/>
    <w:rsid w:val="003F7E70"/>
    <w:rsid w:val="0040648D"/>
    <w:rsid w:val="00414CEB"/>
    <w:rsid w:val="004163FA"/>
    <w:rsid w:val="00423E92"/>
    <w:rsid w:val="004257F1"/>
    <w:rsid w:val="004366AE"/>
    <w:rsid w:val="0044371A"/>
    <w:rsid w:val="00454696"/>
    <w:rsid w:val="004616FF"/>
    <w:rsid w:val="004759ED"/>
    <w:rsid w:val="004945F7"/>
    <w:rsid w:val="004957BB"/>
    <w:rsid w:val="00497F14"/>
    <w:rsid w:val="004B2CB0"/>
    <w:rsid w:val="004B7B8B"/>
    <w:rsid w:val="004C18F6"/>
    <w:rsid w:val="004C6518"/>
    <w:rsid w:val="004D0B40"/>
    <w:rsid w:val="004D24EB"/>
    <w:rsid w:val="004D688C"/>
    <w:rsid w:val="004E58AE"/>
    <w:rsid w:val="004F20A9"/>
    <w:rsid w:val="004F73E8"/>
    <w:rsid w:val="0051316F"/>
    <w:rsid w:val="00523958"/>
    <w:rsid w:val="0053301E"/>
    <w:rsid w:val="005370B2"/>
    <w:rsid w:val="005400C8"/>
    <w:rsid w:val="00543E44"/>
    <w:rsid w:val="00543FDE"/>
    <w:rsid w:val="0055019D"/>
    <w:rsid w:val="00552F1C"/>
    <w:rsid w:val="00562166"/>
    <w:rsid w:val="00574F28"/>
    <w:rsid w:val="00576C8D"/>
    <w:rsid w:val="0058793B"/>
    <w:rsid w:val="005917FA"/>
    <w:rsid w:val="00596D03"/>
    <w:rsid w:val="005A0DE7"/>
    <w:rsid w:val="005A355D"/>
    <w:rsid w:val="005A7F8E"/>
    <w:rsid w:val="005B210C"/>
    <w:rsid w:val="005B241C"/>
    <w:rsid w:val="005B27D0"/>
    <w:rsid w:val="005C7655"/>
    <w:rsid w:val="005C7C79"/>
    <w:rsid w:val="005D1BC5"/>
    <w:rsid w:val="005D2D7A"/>
    <w:rsid w:val="005D7026"/>
    <w:rsid w:val="005F3D48"/>
    <w:rsid w:val="005F79CC"/>
    <w:rsid w:val="00602577"/>
    <w:rsid w:val="00603EA6"/>
    <w:rsid w:val="00603FC1"/>
    <w:rsid w:val="0061381E"/>
    <w:rsid w:val="006159CC"/>
    <w:rsid w:val="00616B1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75EDF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53B4D"/>
    <w:rsid w:val="00754949"/>
    <w:rsid w:val="007660B9"/>
    <w:rsid w:val="00780AC4"/>
    <w:rsid w:val="00781797"/>
    <w:rsid w:val="007836C4"/>
    <w:rsid w:val="007956C4"/>
    <w:rsid w:val="007A27C5"/>
    <w:rsid w:val="007A52E1"/>
    <w:rsid w:val="007A6FC6"/>
    <w:rsid w:val="007B7EC7"/>
    <w:rsid w:val="007C3F60"/>
    <w:rsid w:val="007D680C"/>
    <w:rsid w:val="007F75D2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A6759"/>
    <w:rsid w:val="008B13B1"/>
    <w:rsid w:val="008B493F"/>
    <w:rsid w:val="008B4C09"/>
    <w:rsid w:val="008C115E"/>
    <w:rsid w:val="008D0504"/>
    <w:rsid w:val="008D1256"/>
    <w:rsid w:val="008D275A"/>
    <w:rsid w:val="008E109E"/>
    <w:rsid w:val="008E3760"/>
    <w:rsid w:val="008E66E6"/>
    <w:rsid w:val="008F112A"/>
    <w:rsid w:val="00900D4B"/>
    <w:rsid w:val="009014BC"/>
    <w:rsid w:val="00902CAC"/>
    <w:rsid w:val="009036CA"/>
    <w:rsid w:val="00917F95"/>
    <w:rsid w:val="00923EDF"/>
    <w:rsid w:val="00935AD4"/>
    <w:rsid w:val="00937CE1"/>
    <w:rsid w:val="0094513B"/>
    <w:rsid w:val="0094688C"/>
    <w:rsid w:val="00963FB3"/>
    <w:rsid w:val="009672EB"/>
    <w:rsid w:val="00973090"/>
    <w:rsid w:val="0099436F"/>
    <w:rsid w:val="009959E0"/>
    <w:rsid w:val="00996BEA"/>
    <w:rsid w:val="009A33FB"/>
    <w:rsid w:val="009A409C"/>
    <w:rsid w:val="009A5056"/>
    <w:rsid w:val="009B1A44"/>
    <w:rsid w:val="009B300F"/>
    <w:rsid w:val="009B4379"/>
    <w:rsid w:val="009D161E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1F97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C1AA3"/>
    <w:rsid w:val="00AC4EB2"/>
    <w:rsid w:val="00AC7F21"/>
    <w:rsid w:val="00AD0F94"/>
    <w:rsid w:val="00AE0E38"/>
    <w:rsid w:val="00AE11C4"/>
    <w:rsid w:val="00AE297B"/>
    <w:rsid w:val="00AE58D5"/>
    <w:rsid w:val="00AE6686"/>
    <w:rsid w:val="00AF7794"/>
    <w:rsid w:val="00B0259B"/>
    <w:rsid w:val="00B06546"/>
    <w:rsid w:val="00B13055"/>
    <w:rsid w:val="00B151CC"/>
    <w:rsid w:val="00B24D0A"/>
    <w:rsid w:val="00B3317D"/>
    <w:rsid w:val="00B36583"/>
    <w:rsid w:val="00B37705"/>
    <w:rsid w:val="00B455C1"/>
    <w:rsid w:val="00B53058"/>
    <w:rsid w:val="00B83B2F"/>
    <w:rsid w:val="00B87E45"/>
    <w:rsid w:val="00B95533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64F3"/>
    <w:rsid w:val="00C00697"/>
    <w:rsid w:val="00C0095A"/>
    <w:rsid w:val="00C464A7"/>
    <w:rsid w:val="00C511C3"/>
    <w:rsid w:val="00C51C42"/>
    <w:rsid w:val="00C52329"/>
    <w:rsid w:val="00C53F29"/>
    <w:rsid w:val="00C57F4E"/>
    <w:rsid w:val="00C66A73"/>
    <w:rsid w:val="00C67AA6"/>
    <w:rsid w:val="00C80CAE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E1635"/>
    <w:rsid w:val="00CF0D33"/>
    <w:rsid w:val="00CF7819"/>
    <w:rsid w:val="00D171A8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E02E5D"/>
    <w:rsid w:val="00E14B90"/>
    <w:rsid w:val="00E23B18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76B9"/>
    <w:rsid w:val="00EF112B"/>
    <w:rsid w:val="00EF125F"/>
    <w:rsid w:val="00EF2497"/>
    <w:rsid w:val="00EF37D9"/>
    <w:rsid w:val="00EF38A6"/>
    <w:rsid w:val="00F017E0"/>
    <w:rsid w:val="00F03B20"/>
    <w:rsid w:val="00F065A0"/>
    <w:rsid w:val="00F21C70"/>
    <w:rsid w:val="00F26D11"/>
    <w:rsid w:val="00F27CBE"/>
    <w:rsid w:val="00F4121E"/>
    <w:rsid w:val="00F4212B"/>
    <w:rsid w:val="00F46D66"/>
    <w:rsid w:val="00F4704F"/>
    <w:rsid w:val="00F50EE3"/>
    <w:rsid w:val="00F651C4"/>
    <w:rsid w:val="00F7682E"/>
    <w:rsid w:val="00F92C57"/>
    <w:rsid w:val="00F9344F"/>
    <w:rsid w:val="00F97B14"/>
    <w:rsid w:val="00FB20C4"/>
    <w:rsid w:val="00FB385B"/>
    <w:rsid w:val="00FB3C96"/>
    <w:rsid w:val="00FB60EF"/>
    <w:rsid w:val="00FC3D4F"/>
    <w:rsid w:val="00FC49FB"/>
    <w:rsid w:val="00FC5756"/>
    <w:rsid w:val="00FD659E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2FE498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B4C09"/>
    <w:pPr>
      <w:numPr>
        <w:numId w:val="5"/>
      </w:numPr>
      <w:spacing w:after="60"/>
      <w:ind w:left="568" w:hanging="284"/>
    </w:pPr>
    <w:rPr>
      <w:sz w:val="22"/>
    </w:r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8B4C09"/>
    <w:rPr>
      <w:sz w:val="22"/>
    </w:rPr>
  </w:style>
  <w:style w:type="character" w:customStyle="1" w:styleId="BodyTextChar">
    <w:name w:val="Body Text Char"/>
    <w:basedOn w:val="DefaultParagraphFont"/>
    <w:link w:val="BodyText"/>
    <w:rsid w:val="008B4C09"/>
    <w:rPr>
      <w:sz w:val="22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8B4C09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ascii="Century Gothic" w:eastAsia="Times New Roman" w:hAnsi="Century Gothic" w:cstheme="minorHAnsi"/>
      <w:sz w:val="22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EF112B"/>
    <w:pPr>
      <w:numPr>
        <w:ilvl w:val="1"/>
      </w:numPr>
      <w:spacing w:before="24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EF112B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DOC22-81832</ShareHubID>
    <TaxCatchAll xmlns="166541c0-0594-4e6a-9105-c24d4b6de6f7">
      <Value>29</Value>
      <Value>57</Value>
    </TaxCatchAll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2f396fb6-baad-479d-8254-1550153bbe31</TermId>
        </TermInfo>
      </Terms>
    </hc4a8f51d7584793bcee84017ea96cb3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DC937125-21C6-4256-A908-6DC81C34C2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46EDB-37E2-4C3A-9B16-278306FE3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5B29D-6953-4020-AF23-653A031AF2E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http://purl.org/dc/terms/"/>
    <ds:schemaRef ds:uri="166541c0-0594-4e6a-9105-c24d4b6de6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8F867E-F7F1-4D26-AA9A-B155F6C9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3777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2022-03-18T06:43:00Z</dcterms:created>
  <dcterms:modified xsi:type="dcterms:W3CDTF">2022-03-22T01:37:00Z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57;#OFFICIAL|11463c70-78df-4e3b-b0ff-f66cd3cb26ec</vt:lpwstr>
  </property>
  <property fmtid="{D5CDD505-2E9C-101B-9397-08002B2CF9AE}" pid="3" name="ContentTypeId">
    <vt:lpwstr>0x0101002825A64A6E1845A99A9D8EE8A5686ECB009B58D7D72C3ED54C851955501673F8AC</vt:lpwstr>
  </property>
  <property fmtid="{D5CDD505-2E9C-101B-9397-08002B2CF9AE}" pid="4" name="ESearchTags">
    <vt:lpwstr>29;#Training|2f396fb6-baad-479d-8254-1550153bbe31</vt:lpwstr>
  </property>
  <property fmtid="{D5CDD505-2E9C-101B-9397-08002B2CF9AE}" pid="5" name="PMC.ESearch.TagGeneratedTime">
    <vt:lpwstr>2022-04-01T09:22:48</vt:lpwstr>
  </property>
  <property fmtid="{D5CDD505-2E9C-101B-9397-08002B2CF9AE}" pid="6" name="HPRMSecurityCaveat">
    <vt:lpwstr/>
  </property>
</Properties>
</file>